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de-DE"/>
        </w:rPr>
      </w:pPr>
      <w:r>
        <w:rPr>
          <w:lang w:val="de-DE"/>
        </w:rPr>
        <w:t>3GPP TSG-RAN WG2 #119-e</w:t>
      </w:r>
      <w:r>
        <w:rPr>
          <w:lang w:val="de-DE"/>
        </w:rPr>
        <w:tab/>
      </w:r>
      <w:r>
        <w:rPr>
          <w:sz w:val="32"/>
          <w:szCs w:val="32"/>
          <w:lang w:val="de-DE"/>
        </w:rPr>
        <w:t>R2-22</w:t>
      </w:r>
      <w:r>
        <w:rPr>
          <w:sz w:val="32"/>
          <w:szCs w:val="32"/>
          <w:highlight w:val="yellow"/>
          <w:lang w:val="de-DE"/>
        </w:rPr>
        <w:t>xxxxx</w:t>
      </w:r>
    </w:p>
    <w:p>
      <w:pPr>
        <w:pStyle w:val="62"/>
      </w:pPr>
      <w:r>
        <w:t>Electronic meeting, 17</w:t>
      </w:r>
      <w:r>
        <w:rPr>
          <w:vertAlign w:val="superscript"/>
        </w:rPr>
        <w:t>th</w:t>
      </w:r>
      <w:r>
        <w:t xml:space="preserve"> – 29</w:t>
      </w:r>
      <w:r>
        <w:rPr>
          <w:vertAlign w:val="superscript"/>
        </w:rPr>
        <w:t>th</w:t>
      </w:r>
      <w:r>
        <w:t xml:space="preserve"> August 2022</w:t>
      </w:r>
    </w:p>
    <w:p>
      <w:pPr>
        <w:pStyle w:val="62"/>
      </w:pPr>
    </w:p>
    <w:p>
      <w:pPr>
        <w:pStyle w:val="62"/>
        <w:rPr>
          <w:sz w:val="22"/>
          <w:szCs w:val="22"/>
        </w:rPr>
      </w:pPr>
      <w:r>
        <w:rPr>
          <w:sz w:val="22"/>
          <w:szCs w:val="22"/>
        </w:rPr>
        <w:t>Agenda Item:</w:t>
      </w:r>
      <w:r>
        <w:rPr>
          <w:sz w:val="22"/>
          <w:szCs w:val="22"/>
        </w:rPr>
        <w:tab/>
      </w:r>
      <w:r>
        <w:rPr>
          <w:sz w:val="22"/>
          <w:szCs w:val="22"/>
        </w:rPr>
        <w:t>6.4.2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[AT119-e][017][IAB17] Control Plane</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tabs>
          <w:tab w:val="left" w:pos="1429"/>
        </w:tabs>
      </w:pPr>
      <w:r>
        <w:t>This paper addresses the following email discussion:</w:t>
      </w:r>
    </w:p>
    <w:p>
      <w:pPr>
        <w:pStyle w:val="117"/>
        <w:overflowPunct/>
        <w:autoSpaceDE/>
        <w:autoSpaceDN/>
        <w:adjustRightInd/>
        <w:textAlignment w:val="auto"/>
        <w:rPr>
          <w:lang w:val="en-US"/>
        </w:rPr>
      </w:pPr>
      <w:r>
        <w:rPr>
          <w:lang w:val="en-US"/>
        </w:rPr>
        <w:t>[AT119-e][017][IAB17] Control Plane (Ericsson)</w:t>
      </w:r>
    </w:p>
    <w:p>
      <w:pPr>
        <w:pStyle w:val="148"/>
        <w:rPr>
          <w:lang w:val="en-US"/>
        </w:rPr>
      </w:pPr>
      <w:r>
        <w:rPr>
          <w:lang w:val="en-US"/>
        </w:rPr>
        <w:tab/>
      </w:r>
      <w:r>
        <w:rPr>
          <w:lang w:val="en-US"/>
        </w:rPr>
        <w:t>Scope: Treat R2-2206929, R2-2206935, R2-2207190, R2-2207783, R2-2208642, R2-2208101,</w:t>
      </w:r>
    </w:p>
    <w:p>
      <w:pPr>
        <w:pStyle w:val="148"/>
        <w:rPr>
          <w:lang w:val="en-US"/>
        </w:rPr>
      </w:pPr>
      <w:r>
        <w:rPr>
          <w:lang w:val="en-US"/>
        </w:rPr>
        <w:tab/>
      </w:r>
      <w:r>
        <w:rPr>
          <w:lang w:val="en-US"/>
        </w:rPr>
        <w:t>Determine agreeable parts. For agreeable parts, agree CRs.</w:t>
      </w:r>
    </w:p>
    <w:p>
      <w:pPr>
        <w:pStyle w:val="148"/>
        <w:rPr>
          <w:lang w:val="en-US"/>
        </w:rPr>
      </w:pPr>
      <w:r>
        <w:rPr>
          <w:lang w:val="en-US"/>
        </w:rPr>
        <w:tab/>
      </w:r>
      <w:r>
        <w:rPr>
          <w:lang w:val="en-US"/>
        </w:rPr>
        <w:t>Intended outcome: Report, Agreed CRs, Reply LS if applicable</w:t>
      </w:r>
    </w:p>
    <w:p>
      <w:pPr>
        <w:pStyle w:val="148"/>
        <w:rPr>
          <w:lang w:val="en-US"/>
        </w:rPr>
      </w:pPr>
      <w:r>
        <w:rPr>
          <w:lang w:val="en-US"/>
        </w:rPr>
        <w:tab/>
      </w:r>
      <w:r>
        <w:rPr>
          <w:lang w:val="en-US"/>
        </w:rPr>
        <w:t>Deadline: Schedule 1</w:t>
      </w:r>
    </w:p>
    <w:p>
      <w:pPr>
        <w:pStyle w:val="15"/>
        <w:tabs>
          <w:tab w:val="left" w:pos="1429"/>
        </w:tabs>
      </w:pPr>
    </w:p>
    <w:p>
      <w:pPr>
        <w:pStyle w:val="15"/>
        <w:tabs>
          <w:tab w:val="left" w:pos="1429"/>
        </w:tabs>
      </w:pPr>
      <w:r>
        <w:t>According to the schedule:</w:t>
      </w:r>
    </w:p>
    <w:p>
      <w:pPr>
        <w:pStyle w:val="15"/>
        <w:tabs>
          <w:tab w:val="left" w:pos="1429"/>
        </w:tabs>
      </w:pPr>
      <w:r>
        <w:rPr>
          <w:color w:val="FF0000"/>
        </w:rPr>
        <w:t xml:space="preserve">A first round with Deadline for comments W1 Friday Aug 19th 1400 UTC </w:t>
      </w:r>
      <w:r>
        <w:t>to settle scope what is agreeable etc.</w:t>
      </w:r>
    </w:p>
    <w:p>
      <w:pPr>
        <w:pStyle w:val="15"/>
        <w:tabs>
          <w:tab w:val="left" w:pos="1429"/>
        </w:tabs>
      </w:pPr>
      <w:r>
        <w:rPr>
          <w:color w:val="00B050"/>
        </w:rPr>
        <w:t xml:space="preserve">A final round with Final deadline W2 Thursday Aug 25th 1200 UTC </w:t>
      </w:r>
      <w:r>
        <w:t>to settle details / agree CRs etc.</w:t>
      </w:r>
    </w:p>
    <w:p>
      <w:pPr>
        <w:pStyle w:val="15"/>
        <w:tabs>
          <w:tab w:val="left" w:pos="1429"/>
        </w:tabs>
      </w:pPr>
    </w:p>
    <w:p>
      <w:pPr>
        <w:pStyle w:val="2"/>
      </w:pPr>
      <w:r>
        <w:t>2</w:t>
      </w:r>
      <w:r>
        <w:tab/>
      </w:r>
      <w:r>
        <w:t>Contact information</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rPr>
              <w:t>Huawei</w:t>
            </w:r>
          </w:p>
        </w:tc>
        <w:tc>
          <w:tcPr>
            <w:tcW w:w="1701" w:type="dxa"/>
            <w:shd w:val="clear" w:color="auto" w:fill="auto"/>
          </w:tcPr>
          <w:p>
            <w:pPr>
              <w:pStyle w:val="15"/>
            </w:pPr>
            <w:r>
              <w:rPr>
                <w:rFonts w:hint="eastAsia"/>
              </w:rPr>
              <w:t>Y</w:t>
            </w:r>
            <w:r>
              <w:t>ulong</w:t>
            </w:r>
          </w:p>
        </w:tc>
        <w:tc>
          <w:tcPr>
            <w:tcW w:w="5665" w:type="dxa"/>
            <w:shd w:val="clear" w:color="auto" w:fill="auto"/>
          </w:tcPr>
          <w:p>
            <w:pPr>
              <w:pStyle w:val="15"/>
            </w:pPr>
            <w: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Tony</w:t>
            </w:r>
          </w:p>
        </w:tc>
        <w:tc>
          <w:tcPr>
            <w:tcW w:w="5665" w:type="dxa"/>
            <w:shd w:val="clear" w:color="auto" w:fill="auto"/>
          </w:tcPr>
          <w:p>
            <w:pPr>
              <w:pStyle w:val="15"/>
            </w:pPr>
            <w: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ko-KR"/>
              </w:rPr>
              <w:t>L</w:t>
            </w:r>
            <w:r>
              <w:rPr>
                <w:b/>
                <w:bCs/>
                <w:lang w:eastAsia="ko-KR"/>
              </w:rPr>
              <w:t>GE</w:t>
            </w:r>
          </w:p>
        </w:tc>
        <w:tc>
          <w:tcPr>
            <w:tcW w:w="1701" w:type="dxa"/>
            <w:shd w:val="clear" w:color="auto" w:fill="auto"/>
          </w:tcPr>
          <w:p>
            <w:pPr>
              <w:pStyle w:val="15"/>
            </w:pPr>
            <w:r>
              <w:rPr>
                <w:rFonts w:hint="eastAsia"/>
                <w:lang w:eastAsia="ko-KR"/>
              </w:rPr>
              <w:t>Gyeong-Cheol LEE</w:t>
            </w:r>
          </w:p>
        </w:tc>
        <w:tc>
          <w:tcPr>
            <w:tcW w:w="5665" w:type="dxa"/>
            <w:shd w:val="clear" w:color="auto" w:fill="auto"/>
          </w:tcPr>
          <w:p>
            <w:pPr>
              <w:pStyle w:val="15"/>
            </w:pPr>
            <w:r>
              <w:rPr>
                <w:rFonts w:hint="eastAsia"/>
                <w:lang w:eastAsia="ko-KR"/>
              </w:rPr>
              <w:t>gyeongcheol.</w:t>
            </w:r>
            <w:r>
              <w:rPr>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Samsung</w:t>
            </w:r>
            <w:r>
              <w:rPr>
                <w:rFonts w:hint="eastAsia" w:eastAsia="Malgun Gothic"/>
                <w:b/>
                <w:bCs/>
                <w:lang w:eastAsia="ko-KR"/>
              </w:rPr>
              <w:t xml:space="preserve"> </w:t>
            </w:r>
          </w:p>
        </w:tc>
        <w:tc>
          <w:tcPr>
            <w:tcW w:w="1701" w:type="dxa"/>
            <w:shd w:val="clear" w:color="auto" w:fill="auto"/>
          </w:tcPr>
          <w:p>
            <w:pPr>
              <w:pStyle w:val="15"/>
              <w:rPr>
                <w:rFonts w:eastAsia="Malgun Gothic"/>
                <w:lang w:eastAsia="ko-KR"/>
              </w:rPr>
            </w:pPr>
            <w:r>
              <w:rPr>
                <w:rFonts w:eastAsia="Malgun Gothic"/>
                <w:lang w:eastAsia="ko-KR"/>
              </w:rPr>
              <w:t>J</w:t>
            </w:r>
            <w:r>
              <w:rPr>
                <w:rFonts w:hint="eastAsia" w:eastAsia="Malgun Gothic"/>
                <w:lang w:eastAsia="ko-KR"/>
              </w:rPr>
              <w:t xml:space="preserve">une </w:t>
            </w:r>
            <w:r>
              <w:rPr>
                <w:rFonts w:eastAsia="Malgun Gothic"/>
                <w:lang w:eastAsia="ko-KR"/>
              </w:rPr>
              <w:t>Hwang</w:t>
            </w:r>
          </w:p>
        </w:tc>
        <w:tc>
          <w:tcPr>
            <w:tcW w:w="5665" w:type="dxa"/>
            <w:shd w:val="clear" w:color="auto" w:fill="auto"/>
          </w:tcPr>
          <w:p>
            <w:pPr>
              <w:pStyle w:val="15"/>
              <w:rPr>
                <w:rFonts w:eastAsia="Malgun Gothic"/>
                <w:lang w:eastAsia="ko-KR"/>
              </w:rPr>
            </w:pPr>
            <w:r>
              <w:fldChar w:fldCharType="begin"/>
            </w:r>
            <w:r>
              <w:instrText xml:space="preserve"> HYPERLINK "mailto:June77.hwang@samsung.com" </w:instrText>
            </w:r>
            <w:r>
              <w:fldChar w:fldCharType="separate"/>
            </w:r>
            <w:r>
              <w:rPr>
                <w:rStyle w:val="57"/>
                <w:rFonts w:eastAsia="Malgun Gothic"/>
                <w:lang w:eastAsia="ko-KR"/>
              </w:rPr>
              <w:t>J</w:t>
            </w:r>
            <w:r>
              <w:rPr>
                <w:rStyle w:val="57"/>
                <w:rFonts w:hint="eastAsia" w:eastAsia="Malgun Gothic"/>
                <w:lang w:eastAsia="ko-KR"/>
              </w:rPr>
              <w:t>une7</w:t>
            </w:r>
            <w:r>
              <w:rPr>
                <w:rStyle w:val="57"/>
                <w:rFonts w:eastAsia="Malgun Gothic"/>
                <w:lang w:eastAsia="ko-KR"/>
              </w:rPr>
              <w:t>7.hwang@samsung.com</w:t>
            </w:r>
            <w:r>
              <w:rPr>
                <w:rStyle w:val="57"/>
                <w:rFonts w:eastAsia="Malgun Gothic"/>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Intel</w:t>
            </w:r>
          </w:p>
        </w:tc>
        <w:tc>
          <w:tcPr>
            <w:tcW w:w="1701" w:type="dxa"/>
            <w:shd w:val="clear" w:color="auto" w:fill="auto"/>
          </w:tcPr>
          <w:p>
            <w:pPr>
              <w:pStyle w:val="15"/>
              <w:rPr>
                <w:rFonts w:eastAsia="Malgun Gothic"/>
                <w:lang w:eastAsia="ko-KR"/>
              </w:rPr>
            </w:pPr>
            <w:r>
              <w:rPr>
                <w:rFonts w:eastAsia="Malgun Gothic"/>
                <w:lang w:eastAsia="ko-KR"/>
              </w:rPr>
              <w:t>Sudeep Palat</w:t>
            </w:r>
          </w:p>
          <w:p>
            <w:pPr>
              <w:pStyle w:val="15"/>
              <w:rPr>
                <w:rFonts w:eastAsia="Malgun Gothic"/>
                <w:lang w:eastAsia="ko-KR"/>
              </w:rPr>
            </w:pPr>
            <w:r>
              <w:rPr>
                <w:rFonts w:eastAsia="Malgun Gothic"/>
                <w:lang w:eastAsia="ko-KR"/>
              </w:rPr>
              <w:t>Ziyi Li</w:t>
            </w:r>
          </w:p>
        </w:tc>
        <w:tc>
          <w:tcPr>
            <w:tcW w:w="5665" w:type="dxa"/>
            <w:shd w:val="clear" w:color="auto" w:fill="auto"/>
          </w:tcPr>
          <w:p>
            <w:pPr>
              <w:pStyle w:val="15"/>
              <w:rPr>
                <w:rFonts w:eastAsia="Malgun Gothic"/>
                <w:lang w:eastAsia="ko-KR"/>
              </w:rPr>
            </w:pPr>
            <w:r>
              <w:fldChar w:fldCharType="begin"/>
            </w:r>
            <w:r>
              <w:instrText xml:space="preserve"> HYPERLINK "mailto:Sudeep.k.palat@intel.com" </w:instrText>
            </w:r>
            <w:r>
              <w:fldChar w:fldCharType="separate"/>
            </w:r>
            <w:r>
              <w:rPr>
                <w:rStyle w:val="57"/>
                <w:rFonts w:eastAsia="Malgun Gothic"/>
                <w:lang w:eastAsia="ko-KR"/>
              </w:rPr>
              <w:t>Sudeep.k.palat@intel.com</w:t>
            </w:r>
            <w:r>
              <w:rPr>
                <w:rStyle w:val="57"/>
                <w:rFonts w:eastAsia="Malgun Gothic"/>
                <w:lang w:eastAsia="ko-KR"/>
              </w:rPr>
              <w:fldChar w:fldCharType="end"/>
            </w:r>
          </w:p>
          <w:p>
            <w:pPr>
              <w:pStyle w:val="15"/>
              <w:rPr>
                <w:rFonts w:eastAsia="Malgun Gothic"/>
                <w:lang w:eastAsia="ko-KR"/>
              </w:rPr>
            </w:pPr>
            <w:r>
              <w:rPr>
                <w:rFonts w:eastAsia="Malgun Gothic"/>
                <w:lang w:eastAsia="ko-KR"/>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b/>
                <w:bCs/>
              </w:rPr>
              <w:t>Qualcomm</w:t>
            </w:r>
          </w:p>
        </w:tc>
        <w:tc>
          <w:tcPr>
            <w:tcW w:w="1701" w:type="dxa"/>
            <w:shd w:val="clear" w:color="auto" w:fill="auto"/>
          </w:tcPr>
          <w:p>
            <w:pPr>
              <w:pStyle w:val="15"/>
              <w:rPr>
                <w:rFonts w:eastAsia="Malgun Gothic"/>
                <w:lang w:eastAsia="ko-KR"/>
              </w:rPr>
            </w:pPr>
            <w:r>
              <w:t>Georg Hampel</w:t>
            </w:r>
          </w:p>
        </w:tc>
        <w:tc>
          <w:tcPr>
            <w:tcW w:w="5665" w:type="dxa"/>
            <w:shd w:val="clear" w:color="auto" w:fill="auto"/>
          </w:tcPr>
          <w:p>
            <w:pPr>
              <w:pStyle w:val="15"/>
            </w:pPr>
            <w: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top"/>
          </w:tcPr>
          <w:p>
            <w:pPr>
              <w:pStyle w:val="15"/>
              <w:rPr>
                <w:b/>
                <w:bCs/>
              </w:rPr>
            </w:pPr>
            <w:r>
              <w:rPr>
                <w:rFonts w:hint="eastAsia" w:eastAsia="宋体"/>
                <w:b/>
                <w:bCs/>
                <w:lang w:val="en-US" w:eastAsia="zh-CN"/>
              </w:rPr>
              <w:t>ZTE</w:t>
            </w:r>
          </w:p>
        </w:tc>
        <w:tc>
          <w:tcPr>
            <w:tcW w:w="1701" w:type="dxa"/>
            <w:shd w:val="clear" w:color="auto" w:fill="auto"/>
            <w:vAlign w:val="top"/>
          </w:tcPr>
          <w:p>
            <w:pPr>
              <w:pStyle w:val="15"/>
            </w:pPr>
            <w:r>
              <w:rPr>
                <w:rFonts w:hint="eastAsia" w:eastAsia="宋体"/>
                <w:lang w:val="en-US" w:eastAsia="zh-CN"/>
              </w:rPr>
              <w:t>Lin Chen</w:t>
            </w:r>
          </w:p>
        </w:tc>
        <w:tc>
          <w:tcPr>
            <w:tcW w:w="5665" w:type="dxa"/>
            <w:shd w:val="clear" w:color="auto" w:fill="auto"/>
            <w:vAlign w:val="top"/>
          </w:tcPr>
          <w:p>
            <w:pPr>
              <w:pStyle w:val="15"/>
            </w:pPr>
            <w:r>
              <w:rPr>
                <w:rFonts w:hint="eastAsia" w:eastAsia="宋体"/>
                <w:lang w:val="en-US" w:eastAsia="zh-CN"/>
              </w:rPr>
              <w:t>chen.lin23@zte.com.cn</w:t>
            </w:r>
          </w:p>
        </w:tc>
      </w:tr>
    </w:tbl>
    <w:p>
      <w:pPr>
        <w:pStyle w:val="15"/>
        <w:tabs>
          <w:tab w:val="left" w:pos="1429"/>
        </w:tabs>
      </w:pPr>
    </w:p>
    <w:p>
      <w:pPr>
        <w:pStyle w:val="2"/>
      </w:pPr>
      <w:bookmarkStart w:id="0" w:name="_Ref178064866"/>
      <w:r>
        <w:t>3</w:t>
      </w:r>
      <w:r>
        <w:tab/>
      </w:r>
      <w:r>
        <w:t>Discussion</w:t>
      </w:r>
      <w:bookmarkEnd w:id="0"/>
      <w:r>
        <w:t xml:space="preserve"> of control plane contributions</w:t>
      </w:r>
    </w:p>
    <w:p>
      <w:pPr>
        <w:pStyle w:val="3"/>
      </w:pPr>
      <w:r>
        <w:t>3.1</w:t>
      </w:r>
      <w:r>
        <w:tab/>
      </w:r>
      <w:r>
        <w:fldChar w:fldCharType="begin"/>
      </w:r>
      <w:r>
        <w:instrText xml:space="preserve"> HYPERLINK "http://www.3gpp.org/ftp//tsg_ran/WG2_RL2/TSGR2_119-e/Docs/%0dR2-2208101.zip" </w:instrText>
      </w:r>
      <w:r>
        <w:fldChar w:fldCharType="separate"/>
      </w:r>
      <w:r>
        <w:rPr>
          <w:rStyle w:val="57"/>
        </w:rPr>
        <w:t>R2-2208101</w:t>
      </w:r>
      <w:r>
        <w:rPr>
          <w:rStyle w:val="57"/>
        </w:rPr>
        <w:fldChar w:fldCharType="end"/>
      </w:r>
      <w:r>
        <w:t xml:space="preserve"> – Rapporteur miscellaneous RRC corrections</w:t>
      </w:r>
    </w:p>
    <w:p>
      <w:pPr>
        <w:pStyle w:val="15"/>
      </w:pPr>
      <w:r>
        <w:t>The CR includes few miscellaneous editorial corrections. Companies are invited to comment on the proposed changes plus suggest more, if identified:</w:t>
      </w:r>
    </w:p>
    <w:p>
      <w:pPr>
        <w:pStyle w:val="15"/>
      </w:pPr>
    </w:p>
    <w:p>
      <w:pPr>
        <w:pStyle w:val="15"/>
      </w:pPr>
      <w:r>
        <w:rPr>
          <w:b/>
          <w:bCs/>
        </w:rPr>
        <w:t>Q1</w:t>
      </w:r>
      <w:r>
        <w:t>: Do companies agree with the changes proposed in R2-2208101?</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rPr>
              <w:t>H</w:t>
            </w:r>
            <w:r>
              <w:rPr>
                <w:b/>
                <w:bCs/>
              </w:rPr>
              <w:t>uawei, HiSilicon</w:t>
            </w:r>
          </w:p>
        </w:tc>
        <w:tc>
          <w:tcPr>
            <w:tcW w:w="1701" w:type="dxa"/>
            <w:shd w:val="clear" w:color="auto" w:fill="auto"/>
          </w:tcPr>
          <w:p>
            <w:pPr>
              <w:pStyle w:val="15"/>
            </w:pPr>
            <w:r>
              <w:rPr>
                <w:rFonts w:hint="eastAsia"/>
              </w:rPr>
              <w:t>Y</w:t>
            </w:r>
            <w:r>
              <w:t>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ko-KR"/>
              </w:rPr>
              <w:t>LGE</w:t>
            </w:r>
          </w:p>
        </w:tc>
        <w:tc>
          <w:tcPr>
            <w:tcW w:w="1701" w:type="dxa"/>
            <w:shd w:val="clear" w:color="auto" w:fill="auto"/>
          </w:tcPr>
          <w:p>
            <w:pPr>
              <w:pStyle w:val="15"/>
            </w:pPr>
            <w:r>
              <w:rPr>
                <w:rFonts w:hint="eastAsia"/>
                <w:lang w:eastAsia="ko-KR"/>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Samsung</w:t>
            </w:r>
            <w:r>
              <w:rPr>
                <w:rFonts w:hint="eastAsia" w:eastAsia="Malgun Gothic"/>
                <w:b/>
                <w:bCs/>
                <w:lang w:eastAsia="ko-KR"/>
              </w:rPr>
              <w:t xml:space="preserve"> </w:t>
            </w:r>
          </w:p>
        </w:tc>
        <w:tc>
          <w:tcPr>
            <w:tcW w:w="1701" w:type="dxa"/>
            <w:shd w:val="clear" w:color="auto" w:fill="auto"/>
          </w:tcPr>
          <w:p>
            <w:pPr>
              <w:pStyle w:val="15"/>
              <w:rPr>
                <w:rFonts w:eastAsia="Malgun Gothic"/>
                <w:lang w:eastAsia="ko-KR"/>
              </w:rPr>
            </w:pPr>
            <w:r>
              <w:rPr>
                <w:rFonts w:eastAsia="Malgun Gothic"/>
                <w:lang w:eastAsia="ko-KR"/>
              </w:rPr>
              <w:t>Y</w:t>
            </w:r>
            <w:r>
              <w:rPr>
                <w:rFonts w:hint="eastAsia" w:eastAsia="Malgun Gothic"/>
                <w:lang w:eastAsia="ko-KR"/>
              </w:rPr>
              <w:t xml:space="preserve">es </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Intel</w:t>
            </w:r>
          </w:p>
        </w:tc>
        <w:tc>
          <w:tcPr>
            <w:tcW w:w="1701" w:type="dxa"/>
            <w:shd w:val="clear" w:color="auto" w:fill="auto"/>
          </w:tcPr>
          <w:p>
            <w:pPr>
              <w:pStyle w:val="15"/>
              <w:rPr>
                <w:rFonts w:eastAsia="Malgun Gothic"/>
                <w:lang w:eastAsia="ko-KR"/>
              </w:rPr>
            </w:pPr>
            <w:r>
              <w:rPr>
                <w:rFonts w:eastAsia="Malgun Gothic"/>
                <w:lang w:eastAsia="ko-KR"/>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Qualcomm</w:t>
            </w:r>
          </w:p>
        </w:tc>
        <w:tc>
          <w:tcPr>
            <w:tcW w:w="1701" w:type="dxa"/>
            <w:shd w:val="clear" w:color="auto" w:fill="auto"/>
          </w:tcPr>
          <w:p>
            <w:pPr>
              <w:pStyle w:val="15"/>
              <w:rPr>
                <w:rFonts w:eastAsia="Malgun Gothic"/>
                <w:lang w:eastAsia="ko-KR"/>
              </w:rPr>
            </w:pPr>
            <w:r>
              <w:rPr>
                <w:rFonts w:eastAsia="Malgun Gothic"/>
                <w:lang w:eastAsia="ko-KR"/>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top"/>
          </w:tcPr>
          <w:p>
            <w:pPr>
              <w:pStyle w:val="15"/>
              <w:rPr>
                <w:rFonts w:eastAsia="Malgun Gothic"/>
                <w:b/>
                <w:bCs/>
                <w:lang w:eastAsia="ko-KR"/>
              </w:rPr>
            </w:pPr>
            <w:r>
              <w:rPr>
                <w:rFonts w:hint="eastAsia" w:eastAsia="宋体"/>
                <w:b/>
                <w:bCs/>
                <w:lang w:val="en-US" w:eastAsia="zh-CN"/>
              </w:rPr>
              <w:t>ZTE</w:t>
            </w:r>
          </w:p>
        </w:tc>
        <w:tc>
          <w:tcPr>
            <w:tcW w:w="1701" w:type="dxa"/>
            <w:shd w:val="clear" w:color="auto" w:fill="auto"/>
            <w:vAlign w:val="top"/>
          </w:tcPr>
          <w:p>
            <w:pPr>
              <w:pStyle w:val="15"/>
              <w:rPr>
                <w:rFonts w:eastAsia="Malgun Gothic"/>
                <w:lang w:eastAsia="ko-KR"/>
              </w:rPr>
            </w:pPr>
            <w:r>
              <w:rPr>
                <w:rFonts w:hint="eastAsia" w:eastAsia="宋体"/>
                <w:lang w:val="en-US" w:eastAsia="zh-CN"/>
              </w:rPr>
              <w:t>Yes</w:t>
            </w:r>
          </w:p>
        </w:tc>
        <w:tc>
          <w:tcPr>
            <w:tcW w:w="5665" w:type="dxa"/>
            <w:shd w:val="clear" w:color="auto" w:fill="auto"/>
            <w:vAlign w:val="top"/>
          </w:tcPr>
          <w:p>
            <w:pPr>
              <w:pStyle w:val="15"/>
            </w:pPr>
          </w:p>
        </w:tc>
      </w:tr>
    </w:tbl>
    <w:p>
      <w:pPr>
        <w:pStyle w:val="15"/>
      </w:pPr>
    </w:p>
    <w:p>
      <w:pPr>
        <w:pStyle w:val="3"/>
      </w:pPr>
      <w:r>
        <w:t>3.2</w:t>
      </w:r>
      <w:r>
        <w:tab/>
      </w:r>
      <w:r>
        <w:fldChar w:fldCharType="begin"/>
      </w:r>
      <w:r>
        <w:instrText xml:space="preserve"> HYPERLINK "http://www.3gpp.org/ftp//tsg_ran/WG2_RL2/TSGR2_119-e/Docs/%0dR2-2207190.zip" </w:instrText>
      </w:r>
      <w:r>
        <w:fldChar w:fldCharType="separate"/>
      </w:r>
      <w:r>
        <w:rPr>
          <w:rStyle w:val="57"/>
        </w:rPr>
        <w:t>R2-2207190</w:t>
      </w:r>
      <w:r>
        <w:rPr>
          <w:rStyle w:val="57"/>
        </w:rPr>
        <w:fldChar w:fldCharType="end"/>
      </w:r>
      <w:r>
        <w:t xml:space="preserve"> – Correction on the release of BAP configuration</w:t>
      </w:r>
    </w:p>
    <w:p>
      <w:pPr>
        <w:pStyle w:val="15"/>
      </w:pPr>
      <w:r>
        <w:t>The CR proposes to clarify that when bap-Config is set to release the UE should release the BAP configuration.</w:t>
      </w:r>
    </w:p>
    <w:p>
      <w:pPr>
        <w:pStyle w:val="15"/>
        <w:rPr>
          <w:u w:val="single"/>
        </w:rPr>
      </w:pPr>
    </w:p>
    <w:p>
      <w:pPr>
        <w:pStyle w:val="15"/>
        <w:rPr>
          <w:u w:val="single"/>
        </w:rPr>
      </w:pPr>
      <w:r>
        <w:rPr>
          <w:u w:val="single"/>
        </w:rPr>
        <w:t>Rapporteur´s view:</w:t>
      </w:r>
    </w:p>
    <w:p>
      <w:pPr>
        <w:pStyle w:val="15"/>
      </w:pPr>
      <w:r>
        <w:t xml:space="preserve">Rapporteur notes that the </w:t>
      </w:r>
      <w:r>
        <w:rPr>
          <w:i/>
          <w:iCs/>
        </w:rPr>
        <w:t>bap-config</w:t>
      </w:r>
      <w:r>
        <w:t xml:space="preserve"> is a setup/release type, and thus it seems obvious that when the UE receives a release indication for a CG, the UE should release the BAP configuration previously configured in that CG. Since the release happens already for a parent UE, it does not seem necessary to specify it also for a child IE.</w:t>
      </w:r>
    </w:p>
    <w:p>
      <w:pPr>
        <w:pStyle w:val="15"/>
      </w:pPr>
      <w:r>
        <w:t>Rapporteur also notes that the original intention of the legacy text was to clarify that the UE should not release the entire BAP entity if there is a BAP configuration still configured in the MCG or SCG.</w:t>
      </w:r>
    </w:p>
    <w:p>
      <w:pPr>
        <w:pStyle w:val="15"/>
      </w:pPr>
    </w:p>
    <w:p>
      <w:pPr>
        <w:pStyle w:val="15"/>
      </w:pPr>
      <w:r>
        <w:rPr>
          <w:b/>
          <w:bCs/>
        </w:rPr>
        <w:t>Q2</w:t>
      </w:r>
      <w:r>
        <w:t xml:space="preserve">: Do companies agree that the changes proposed in R2-2207190 are </w:t>
      </w:r>
      <w:r>
        <w:rPr>
          <w:highlight w:val="yellow"/>
        </w:rPr>
        <w:t>not</w:t>
      </w:r>
      <w:r>
        <w:t xml:space="preserve"> necessary?</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rPr>
              <w:t>H</w:t>
            </w:r>
            <w:r>
              <w:rPr>
                <w:b/>
                <w:bCs/>
              </w:rPr>
              <w:t>uawei, HiSilicon</w:t>
            </w:r>
          </w:p>
        </w:tc>
        <w:tc>
          <w:tcPr>
            <w:tcW w:w="1701" w:type="dxa"/>
            <w:shd w:val="clear" w:color="auto" w:fill="auto"/>
          </w:tcPr>
          <w:p>
            <w:pPr>
              <w:pStyle w:val="15"/>
            </w:pPr>
            <w:r>
              <w:t>Yes (CR is not needed)</w:t>
            </w:r>
          </w:p>
        </w:tc>
        <w:tc>
          <w:tcPr>
            <w:tcW w:w="5665" w:type="dxa"/>
            <w:shd w:val="clear" w:color="auto" w:fill="auto"/>
          </w:tcPr>
          <w:p>
            <w:pPr>
              <w:pStyle w:val="15"/>
            </w:pPr>
            <w:r>
              <w:rPr>
                <w:rFonts w:hint="eastAsia"/>
              </w:rPr>
              <w:t>I</w:t>
            </w:r>
            <w:r>
              <w:t>t is already clear if you set the Setup/Release field as “release”, as mentioned by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ko-KR"/>
              </w:rPr>
              <w:t>LGE</w:t>
            </w:r>
          </w:p>
        </w:tc>
        <w:tc>
          <w:tcPr>
            <w:tcW w:w="1701" w:type="dxa"/>
            <w:shd w:val="clear" w:color="auto" w:fill="auto"/>
          </w:tcPr>
          <w:p>
            <w:pPr>
              <w:pStyle w:val="15"/>
            </w:pPr>
            <w:r>
              <w:rPr>
                <w:rFonts w:hint="eastAsia"/>
                <w:lang w:eastAsia="ko-KR"/>
              </w:rPr>
              <w:t>No</w:t>
            </w:r>
          </w:p>
        </w:tc>
        <w:tc>
          <w:tcPr>
            <w:tcW w:w="5665" w:type="dxa"/>
            <w:shd w:val="clear" w:color="auto" w:fill="auto"/>
          </w:tcPr>
          <w:p>
            <w:pPr>
              <w:pStyle w:val="15"/>
            </w:pPr>
            <w:r>
              <w:rPr>
                <w:lang w:eastAsia="ko-KR"/>
              </w:rPr>
              <w:t>The change may be helpful to clarify bap-Config release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S</w:t>
            </w:r>
            <w:r>
              <w:rPr>
                <w:rFonts w:hint="eastAsia" w:eastAsia="Malgun Gothic"/>
                <w:b/>
                <w:bCs/>
                <w:lang w:eastAsia="ko-KR"/>
              </w:rPr>
              <w:t xml:space="preserve">amsung </w:t>
            </w:r>
          </w:p>
        </w:tc>
        <w:tc>
          <w:tcPr>
            <w:tcW w:w="1701" w:type="dxa"/>
            <w:shd w:val="clear" w:color="auto" w:fill="auto"/>
          </w:tcPr>
          <w:p>
            <w:pPr>
              <w:pStyle w:val="15"/>
              <w:rPr>
                <w:rFonts w:eastAsia="Malgun Gothic"/>
                <w:lang w:eastAsia="ko-KR"/>
              </w:rPr>
            </w:pPr>
            <w:r>
              <w:rPr>
                <w:rFonts w:eastAsia="Malgun Gothic"/>
                <w:lang w:eastAsia="ko-KR"/>
              </w:rPr>
              <w:t xml:space="preserve">No </w:t>
            </w:r>
          </w:p>
        </w:tc>
        <w:tc>
          <w:tcPr>
            <w:tcW w:w="5665" w:type="dxa"/>
            <w:shd w:val="clear" w:color="auto" w:fill="auto"/>
          </w:tcPr>
          <w:p>
            <w:pPr>
              <w:pStyle w:val="15"/>
              <w:rPr>
                <w:rFonts w:eastAsia="Malgun Gothic"/>
                <w:lang w:eastAsia="ko-KR"/>
              </w:rPr>
            </w:pPr>
            <w:r>
              <w:rPr>
                <w:rFonts w:eastAsia="Malgun Gothic"/>
                <w:lang w:eastAsia="ko-KR"/>
              </w:rPr>
              <w:t>T</w:t>
            </w:r>
            <w:r>
              <w:rPr>
                <w:rFonts w:hint="eastAsia" w:eastAsia="Malgun Gothic"/>
                <w:lang w:eastAsia="ko-KR"/>
              </w:rPr>
              <w:t xml:space="preserve">he </w:t>
            </w:r>
            <w:r>
              <w:rPr>
                <w:rFonts w:eastAsia="Malgun Gothic"/>
                <w:lang w:eastAsia="ko-KR"/>
              </w:rPr>
              <w:t>change helps and makes consistency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Intel</w:t>
            </w:r>
          </w:p>
        </w:tc>
        <w:tc>
          <w:tcPr>
            <w:tcW w:w="1701" w:type="dxa"/>
            <w:shd w:val="clear" w:color="auto" w:fill="auto"/>
          </w:tcPr>
          <w:p>
            <w:pPr>
              <w:pStyle w:val="15"/>
              <w:rPr>
                <w:rFonts w:eastAsia="Malgun Gothic"/>
                <w:lang w:eastAsia="ko-KR"/>
              </w:rPr>
            </w:pPr>
            <w:r>
              <w:rPr>
                <w:rFonts w:eastAsia="Malgun Gothic"/>
                <w:lang w:eastAsia="ko-KR"/>
              </w:rPr>
              <w:t>See comment</w:t>
            </w:r>
          </w:p>
        </w:tc>
        <w:tc>
          <w:tcPr>
            <w:tcW w:w="5665" w:type="dxa"/>
            <w:shd w:val="clear" w:color="auto" w:fill="auto"/>
          </w:tcPr>
          <w:p>
            <w:pPr>
              <w:pStyle w:val="15"/>
              <w:rPr>
                <w:rFonts w:eastAsia="Malgun Gothic"/>
                <w:lang w:eastAsia="ko-KR"/>
              </w:rPr>
            </w:pPr>
            <w:r>
              <w:rPr>
                <w:rFonts w:eastAsia="Malgun Gothic"/>
                <w:lang w:eastAsia="ko-KR"/>
              </w:rPr>
              <w:t>Agree with the intention, but we have a comment on the change.</w:t>
            </w:r>
          </w:p>
          <w:p>
            <w:pPr>
              <w:pStyle w:val="15"/>
              <w:rPr>
                <w:rFonts w:eastAsia="Malgun Gothic"/>
                <w:lang w:eastAsia="ko-KR"/>
              </w:rPr>
            </w:pPr>
            <w:r>
              <w:rPr>
                <w:rFonts w:eastAsia="Malgun Gothic"/>
                <w:lang w:eastAsia="ko-KR"/>
              </w:rPr>
              <w:t>Current change will seem to imply to release all bap-config for both MCG and SCG, which is not intended. Suggest to add some descritption/clarification (e.g. “corresponding”) after bap-Config to clarify which one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b/>
                <w:bCs/>
              </w:rPr>
              <w:t>Qualcomm</w:t>
            </w:r>
          </w:p>
        </w:tc>
        <w:tc>
          <w:tcPr>
            <w:tcW w:w="1701" w:type="dxa"/>
            <w:shd w:val="clear" w:color="auto" w:fill="auto"/>
          </w:tcPr>
          <w:p>
            <w:pPr>
              <w:pStyle w:val="15"/>
              <w:rPr>
                <w:rFonts w:eastAsia="Malgun Gothic"/>
                <w:lang w:eastAsia="ko-KR"/>
              </w:rPr>
            </w:pPr>
            <w:r>
              <w:t>Yes (not necessary)</w:t>
            </w:r>
          </w:p>
        </w:tc>
        <w:tc>
          <w:tcPr>
            <w:tcW w:w="5665" w:type="dxa"/>
            <w:shd w:val="clear" w:color="auto" w:fill="auto"/>
          </w:tcPr>
          <w:p>
            <w:pPr>
              <w:pStyle w:val="15"/>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top"/>
          </w:tcPr>
          <w:p>
            <w:pPr>
              <w:pStyle w:val="15"/>
              <w:rPr>
                <w:b/>
                <w:bCs/>
              </w:rPr>
            </w:pPr>
            <w:r>
              <w:rPr>
                <w:rFonts w:hint="eastAsia" w:eastAsia="宋体"/>
                <w:b/>
                <w:bCs/>
                <w:lang w:val="en-US" w:eastAsia="zh-CN"/>
              </w:rPr>
              <w:t>ZTE</w:t>
            </w:r>
          </w:p>
        </w:tc>
        <w:tc>
          <w:tcPr>
            <w:tcW w:w="1701" w:type="dxa"/>
            <w:shd w:val="clear" w:color="auto" w:fill="auto"/>
            <w:vAlign w:val="top"/>
          </w:tcPr>
          <w:p>
            <w:pPr>
              <w:pStyle w:val="15"/>
            </w:pPr>
            <w:r>
              <w:rPr>
                <w:rFonts w:hint="eastAsia" w:eastAsia="宋体"/>
                <w:lang w:val="en-US" w:eastAsia="zh-CN"/>
              </w:rPr>
              <w:t>No</w:t>
            </w:r>
          </w:p>
        </w:tc>
        <w:tc>
          <w:tcPr>
            <w:tcW w:w="5665" w:type="dxa"/>
            <w:shd w:val="clear" w:color="auto" w:fill="auto"/>
            <w:vAlign w:val="top"/>
          </w:tcPr>
          <w:p>
            <w:pPr>
              <w:pStyle w:val="15"/>
              <w:rPr>
                <w:rFonts w:eastAsia="Malgun Gothic"/>
                <w:lang w:eastAsia="ko-KR"/>
              </w:rPr>
            </w:pPr>
            <w:r>
              <w:rPr>
                <w:rFonts w:hint="eastAsia" w:eastAsia="宋体"/>
                <w:lang w:val="en-US" w:eastAsia="zh-CN"/>
              </w:rPr>
              <w:t>Without this change, the BAP entity can not be really released. It is suggested to add the</w:t>
            </w:r>
            <w:r>
              <w:rPr>
                <w:rFonts w:hint="eastAsia"/>
                <w:lang w:val="en-US" w:eastAsia="zh-CN"/>
              </w:rPr>
              <w:t xml:space="preserve"> release of bap-config description when the </w:t>
            </w:r>
            <w:r>
              <w:rPr>
                <w:i/>
                <w:iCs/>
              </w:rPr>
              <w:t xml:space="preserve">bap-Config </w:t>
            </w:r>
            <w:r>
              <w:t xml:space="preserve">is set to </w:t>
            </w:r>
            <w:r>
              <w:rPr>
                <w:i/>
                <w:iCs/>
              </w:rPr>
              <w:t>release</w:t>
            </w:r>
            <w:r>
              <w:rPr>
                <w:rFonts w:hint="eastAsia"/>
                <w:i/>
                <w:iCs/>
                <w:lang w:val="en-US" w:eastAsia="zh-CN"/>
              </w:rPr>
              <w:t xml:space="preserve">, </w:t>
            </w:r>
            <w:r>
              <w:rPr>
                <w:rFonts w:hint="eastAsia"/>
                <w:i w:val="0"/>
                <w:iCs w:val="0"/>
                <w:lang w:val="en-US" w:eastAsia="zh-CN"/>
              </w:rPr>
              <w:t>which help to make the specification clear without ambiguity.</w:t>
            </w:r>
          </w:p>
        </w:tc>
      </w:tr>
    </w:tbl>
    <w:p>
      <w:pPr>
        <w:pStyle w:val="15"/>
      </w:pPr>
    </w:p>
    <w:p>
      <w:pPr>
        <w:pStyle w:val="3"/>
      </w:pPr>
      <w:r>
        <w:t>3.3</w:t>
      </w:r>
      <w:r>
        <w:tab/>
      </w:r>
      <w:r>
        <w:fldChar w:fldCharType="begin"/>
      </w:r>
      <w:r>
        <w:instrText xml:space="preserve"> HYPERLINK "http://www.3gpp.org/ftp//tsg_ran/WG2_RL2/TSGR2_119-e/Docs/%0dR2-2207783.zip" </w:instrText>
      </w:r>
      <w:r>
        <w:fldChar w:fldCharType="separate"/>
      </w:r>
      <w:r>
        <w:rPr>
          <w:rStyle w:val="57"/>
        </w:rPr>
        <w:t>R2-2207783</w:t>
      </w:r>
      <w:r>
        <w:rPr>
          <w:rStyle w:val="57"/>
        </w:rPr>
        <w:fldChar w:fldCharType="end"/>
      </w:r>
      <w:r>
        <w:t xml:space="preserve"> – Corrections on availabilityCombinations and IAB-ResourceConfig for eIAB</w:t>
      </w:r>
    </w:p>
    <w:p>
      <w:pPr>
        <w:pStyle w:val="15"/>
      </w:pPr>
      <w:r>
        <w:t>The CR includes two proposed changes:</w:t>
      </w:r>
    </w:p>
    <w:p>
      <w:pPr>
        <w:pStyle w:val="15"/>
        <w:numPr>
          <w:ilvl w:val="0"/>
          <w:numId w:val="13"/>
        </w:numPr>
      </w:pPr>
      <w:r>
        <w:t>If the new table availabilityCombinationsRBGroups-r17 is configured, the legacy availabilityCombinations table configuration should be ignored</w:t>
      </w:r>
    </w:p>
    <w:p>
      <w:pPr>
        <w:pStyle w:val="15"/>
        <w:numPr>
          <w:ilvl w:val="0"/>
          <w:numId w:val="13"/>
        </w:numPr>
      </w:pPr>
      <w:r>
        <w:t>It is proposed to clarify in the field description of slotListSubcarrierSpacing that the new Rel.17 IAB MAC CEs only applies to the BWP with the same subcarrier spacing as this field, associated with the IAB-ResourceConfigID included in the MAC CE</w:t>
      </w:r>
    </w:p>
    <w:p>
      <w:pPr>
        <w:pStyle w:val="15"/>
      </w:pPr>
    </w:p>
    <w:p>
      <w:pPr>
        <w:pStyle w:val="15"/>
        <w:rPr>
          <w:u w:val="single"/>
        </w:rPr>
      </w:pPr>
      <w:r>
        <w:rPr>
          <w:u w:val="single"/>
        </w:rPr>
        <w:t>Rapporteur´s view:</w:t>
      </w:r>
    </w:p>
    <w:p>
      <w:pPr>
        <w:pStyle w:val="15"/>
      </w:pPr>
      <w:r>
        <w:rPr>
          <w:i/>
          <w:iCs/>
        </w:rPr>
        <w:t>On the first change</w:t>
      </w:r>
      <w:r>
        <w:t xml:space="preserve">: RAN1 agreed in RAN1#109 that “An IAB node can be configured with two availabilityCombinations tables, one for TDM and one for FDM”. </w:t>
      </w:r>
    </w:p>
    <w:p>
      <w:pPr>
        <w:pStyle w:val="15"/>
      </w:pPr>
      <w:r>
        <w:t xml:space="preserve">There is no RAN1 agreement saying that the new FDM availabilityCombination tables (provided in availabilityCombinationsRBGroups-r17) should override the legacy TDM availabilityCombination tables (provided in the legacy availabilityCombinations). Rapporteur´s view is that if a slot applies TDM H/S/NA, the legacy TDM availabilityCombination table should be used; if a slot applies FDM H/S/NA, the new Rel.17 FDM availabilityCombination table (in availabilityCombinationsRBGroups-r17) should be used. Right now, there seems to be no RAN1 agreement supporting the proposed correction. </w:t>
      </w:r>
    </w:p>
    <w:p>
      <w:pPr>
        <w:pStyle w:val="15"/>
      </w:pPr>
    </w:p>
    <w:p>
      <w:pPr>
        <w:pStyle w:val="15"/>
      </w:pPr>
      <w:r>
        <w:rPr>
          <w:i/>
          <w:iCs/>
        </w:rPr>
        <w:t>On the second change</w:t>
      </w:r>
      <w:r>
        <w:t>: Rapporteur´s note that the IAB-ResourceConfig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pPr>
        <w:pStyle w:val="15"/>
      </w:pPr>
    </w:p>
    <w:p>
      <w:pPr>
        <w:pStyle w:val="15"/>
      </w:pPr>
      <w:r>
        <w:rPr>
          <w:b/>
          <w:bCs/>
        </w:rPr>
        <w:t>Q3</w:t>
      </w:r>
      <w:r>
        <w:t xml:space="preserve">: Do companies agree that the changes proposed in R2-2207783 are </w:t>
      </w:r>
      <w:r>
        <w:rPr>
          <w:highlight w:val="yellow"/>
        </w:rPr>
        <w:t>not</w:t>
      </w:r>
      <w:r>
        <w:t xml:space="preserve"> necessary?</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9"/>
        <w:gridCol w:w="1217"/>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217"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6173"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b/>
                <w:bCs/>
              </w:rPr>
            </w:pPr>
            <w:r>
              <w:rPr>
                <w:rFonts w:hint="eastAsia"/>
                <w:b/>
                <w:bCs/>
              </w:rPr>
              <w:t>H</w:t>
            </w:r>
            <w:r>
              <w:rPr>
                <w:b/>
                <w:bCs/>
              </w:rPr>
              <w:t>uawei, HiSilicon</w:t>
            </w:r>
          </w:p>
        </w:tc>
        <w:tc>
          <w:tcPr>
            <w:tcW w:w="1217" w:type="dxa"/>
            <w:shd w:val="clear" w:color="auto" w:fill="auto"/>
          </w:tcPr>
          <w:p>
            <w:pPr>
              <w:pStyle w:val="15"/>
            </w:pPr>
            <w:r>
              <w:rPr>
                <w:rFonts w:hint="eastAsia"/>
              </w:rPr>
              <w:t>N</w:t>
            </w:r>
            <w:r>
              <w:t>o (some clarification is needed)</w:t>
            </w:r>
          </w:p>
        </w:tc>
        <w:tc>
          <w:tcPr>
            <w:tcW w:w="6173" w:type="dxa"/>
            <w:shd w:val="clear" w:color="auto" w:fill="auto"/>
          </w:tcPr>
          <w:p>
            <w:pPr>
              <w:pStyle w:val="15"/>
            </w:pPr>
            <w:r>
              <w:rPr>
                <w:rFonts w:hint="eastAsia"/>
              </w:rPr>
              <w:t>1</w:t>
            </w:r>
            <w:r>
              <w:rPr>
                <w:vertAlign w:val="superscript"/>
              </w:rPr>
              <w:t>st</w:t>
            </w:r>
            <w:r>
              <w:t xml:space="preserve"> change: when rb-SetGroups-r17 is absent in availabilityCombinationsRBGroups-r17, it becomes TDM.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lang w:eastAsia="en-GB"/>
              </w:rPr>
              <w:t xml:space="preserve">AvailabilityCombination-r16 ::=         </w:t>
            </w:r>
            <w:r>
              <w:rPr>
                <w:rFonts w:ascii="Courier New" w:hAnsi="Courier New" w:eastAsia="Times New Roman" w:cs="Courier New"/>
                <w:color w:val="993366"/>
                <w:sz w:val="11"/>
                <w:lang w:eastAsia="en-GB"/>
              </w:rPr>
              <w:t>SEQUENCE</w:t>
            </w:r>
            <w:r>
              <w:rPr>
                <w:rFonts w:ascii="Courier New" w:hAnsi="Courier New" w:eastAsia="Times New Roman" w:cs="Courier New"/>
                <w:sz w:val="11"/>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highlight w:val="green"/>
                <w:lang w:eastAsia="en-GB"/>
              </w:rPr>
            </w:pPr>
            <w:r>
              <w:rPr>
                <w:rFonts w:ascii="Courier New" w:hAnsi="Courier New" w:eastAsia="Times New Roman" w:cs="Courier New"/>
                <w:sz w:val="11"/>
                <w:lang w:eastAsia="en-GB"/>
              </w:rPr>
              <w:t xml:space="preserve">    </w:t>
            </w:r>
            <w:r>
              <w:rPr>
                <w:rFonts w:ascii="Courier New" w:hAnsi="Courier New" w:eastAsia="Times New Roman" w:cs="Courier New"/>
                <w:sz w:val="11"/>
                <w:highlight w:val="green"/>
                <w:lang w:eastAsia="en-GB"/>
              </w:rPr>
              <w:t>availabilityCombinationId-r16           AvailabilityCombinationId-r16,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highlight w:val="green"/>
                <w:lang w:eastAsia="en-GB"/>
              </w:rPr>
              <w:t xml:space="preserve">    resourceAvailability-r16                </w:t>
            </w:r>
            <w:r>
              <w:rPr>
                <w:rFonts w:ascii="Courier New" w:hAnsi="Courier New" w:eastAsia="Times New Roman" w:cs="Courier New"/>
                <w:color w:val="993366"/>
                <w:sz w:val="11"/>
                <w:highlight w:val="green"/>
                <w:lang w:eastAsia="en-GB"/>
              </w:rPr>
              <w:t>SEQUENCE</w:t>
            </w:r>
            <w:r>
              <w:rPr>
                <w:rFonts w:ascii="Courier New" w:hAnsi="Courier New" w:eastAsia="Times New Roman" w:cs="Courier New"/>
                <w:sz w:val="11"/>
                <w:highlight w:val="green"/>
                <w:lang w:eastAsia="en-GB"/>
              </w:rPr>
              <w:t xml:space="preserve"> (</w:t>
            </w:r>
            <w:r>
              <w:rPr>
                <w:rFonts w:ascii="Courier New" w:hAnsi="Courier New" w:eastAsia="Times New Roman" w:cs="Courier New"/>
                <w:color w:val="993366"/>
                <w:sz w:val="11"/>
                <w:highlight w:val="green"/>
                <w:lang w:eastAsia="en-GB"/>
              </w:rPr>
              <w:t>SIZE</w:t>
            </w:r>
            <w:r>
              <w:rPr>
                <w:rFonts w:ascii="Courier New" w:hAnsi="Courier New" w:eastAsia="Times New Roman" w:cs="Courier New"/>
                <w:sz w:val="11"/>
                <w:highlight w:val="green"/>
                <w:lang w:eastAsia="en-GB"/>
              </w:rPr>
              <w:t xml:space="preserve"> (1..maxNrofResourceAvailabilityPerCombination-r16))</w:t>
            </w:r>
            <w:r>
              <w:rPr>
                <w:rFonts w:ascii="Courier New" w:hAnsi="Courier New" w:eastAsia="Times New Roman" w:cs="Courier New"/>
                <w:color w:val="993366"/>
                <w:sz w:val="11"/>
                <w:highlight w:val="green"/>
                <w:lang w:eastAsia="en-GB"/>
              </w:rPr>
              <w:t xml:space="preserve"> OF</w:t>
            </w:r>
            <w:r>
              <w:rPr>
                <w:rFonts w:ascii="Courier New" w:hAnsi="Courier New" w:eastAsia="Times New Roman" w:cs="Courier New"/>
                <w:sz w:val="11"/>
                <w:highlight w:val="green"/>
                <w:lang w:eastAsia="en-GB"/>
              </w:rPr>
              <w:t xml:space="preserve"> </w:t>
            </w:r>
            <w:r>
              <w:rPr>
                <w:rFonts w:ascii="Courier New" w:hAnsi="Courier New" w:eastAsia="Times New Roman" w:cs="Courier New"/>
                <w:color w:val="993366"/>
                <w:sz w:val="11"/>
                <w:highlight w:val="green"/>
                <w:lang w:eastAsia="en-GB"/>
              </w:rPr>
              <w:t>INTEGER</w:t>
            </w:r>
            <w:r>
              <w:rPr>
                <w:rFonts w:ascii="Courier New" w:hAnsi="Courier New" w:eastAsia="Times New Roman" w:cs="Courier New"/>
                <w:sz w:val="11"/>
                <w:highlight w:val="green"/>
                <w:lang w:eastAsia="en-GB"/>
              </w:rPr>
              <w:t xml:space="preserve">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lang w:eastAsia="en-GB"/>
              </w:rPr>
              <w:t xml:space="preserve">AvailabilityCombinationRB-Groups-r17 ::= </w:t>
            </w:r>
            <w:r>
              <w:rPr>
                <w:rFonts w:ascii="Courier New" w:hAnsi="Courier New" w:eastAsia="Times New Roman" w:cs="Courier New"/>
                <w:color w:val="993366"/>
                <w:sz w:val="11"/>
                <w:lang w:eastAsia="en-GB"/>
              </w:rPr>
              <w:t>SEQUENCE</w:t>
            </w:r>
            <w:r>
              <w:rPr>
                <w:rFonts w:ascii="Courier New" w:hAnsi="Courier New" w:eastAsia="Times New Roman" w:cs="Courier New"/>
                <w:sz w:val="11"/>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lang w:eastAsia="en-GB"/>
              </w:rPr>
              <w:t xml:space="preserve">    </w:t>
            </w:r>
            <w:r>
              <w:rPr>
                <w:rFonts w:ascii="Courier New" w:hAnsi="Courier New" w:eastAsia="Times New Roman" w:cs="Courier New"/>
                <w:sz w:val="11"/>
                <w:highlight w:val="green"/>
                <w:lang w:eastAsia="en-GB"/>
              </w:rPr>
              <w:t>availabilityCombinationId-r17    AvailabilityCombinationId-r16,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color w:val="808080"/>
                <w:sz w:val="11"/>
                <w:lang w:eastAsia="en-GB"/>
              </w:rPr>
            </w:pPr>
            <w:r>
              <w:rPr>
                <w:rFonts w:ascii="Courier New" w:hAnsi="Courier New" w:eastAsia="Times New Roman" w:cs="Courier New"/>
                <w:sz w:val="11"/>
                <w:lang w:eastAsia="en-GB"/>
              </w:rPr>
              <w:t xml:space="preserve">    </w:t>
            </w:r>
            <w:r>
              <w:rPr>
                <w:rFonts w:ascii="Courier New" w:hAnsi="Courier New" w:eastAsia="Times New Roman" w:cs="Courier New"/>
                <w:sz w:val="11"/>
                <w:highlight w:val="yellow"/>
                <w:lang w:eastAsia="en-GB"/>
              </w:rPr>
              <w:t xml:space="preserve">rb-SetGroups-r17                  </w:t>
            </w:r>
            <w:r>
              <w:rPr>
                <w:rFonts w:ascii="Courier New" w:hAnsi="Courier New" w:eastAsia="Times New Roman" w:cs="Courier New"/>
                <w:color w:val="993366"/>
                <w:sz w:val="11"/>
                <w:highlight w:val="yellow"/>
                <w:lang w:eastAsia="en-GB"/>
              </w:rPr>
              <w:t>SEQUENCE</w:t>
            </w:r>
            <w:r>
              <w:rPr>
                <w:rFonts w:ascii="Courier New" w:hAnsi="Courier New" w:eastAsia="Times New Roman" w:cs="Courier New"/>
                <w:sz w:val="11"/>
                <w:highlight w:val="yellow"/>
                <w:lang w:eastAsia="en-GB"/>
              </w:rPr>
              <w:t xml:space="preserve"> (</w:t>
            </w:r>
            <w:r>
              <w:rPr>
                <w:rFonts w:ascii="Courier New" w:hAnsi="Courier New" w:eastAsia="Times New Roman" w:cs="Courier New"/>
                <w:color w:val="993366"/>
                <w:sz w:val="11"/>
                <w:highlight w:val="yellow"/>
                <w:lang w:eastAsia="en-GB"/>
              </w:rPr>
              <w:t>SIZE</w:t>
            </w:r>
            <w:r>
              <w:rPr>
                <w:rFonts w:ascii="Courier New" w:hAnsi="Courier New" w:eastAsia="Times New Roman" w:cs="Courier New"/>
                <w:sz w:val="11"/>
                <w:highlight w:val="yellow"/>
                <w:lang w:eastAsia="en-GB"/>
              </w:rPr>
              <w:t xml:space="preserve"> (1..maxNrofRB-SetGroups-r17))</w:t>
            </w:r>
            <w:r>
              <w:rPr>
                <w:rFonts w:ascii="Courier New" w:hAnsi="Courier New" w:eastAsia="Times New Roman" w:cs="Courier New"/>
                <w:color w:val="993366"/>
                <w:sz w:val="11"/>
                <w:highlight w:val="yellow"/>
                <w:lang w:eastAsia="en-GB"/>
              </w:rPr>
              <w:t xml:space="preserve"> OF</w:t>
            </w:r>
            <w:r>
              <w:rPr>
                <w:rFonts w:ascii="Courier New" w:hAnsi="Courier New" w:eastAsia="Times New Roman" w:cs="Courier New"/>
                <w:sz w:val="11"/>
                <w:highlight w:val="yellow"/>
                <w:lang w:eastAsia="en-GB"/>
              </w:rPr>
              <w:t xml:space="preserve"> RB-SetGroup-r17                           </w:t>
            </w:r>
            <w:r>
              <w:rPr>
                <w:rFonts w:ascii="Courier New" w:hAnsi="Courier New" w:eastAsia="Times New Roman" w:cs="Courier New"/>
                <w:color w:val="993366"/>
                <w:sz w:val="11"/>
                <w:highlight w:val="yellow"/>
                <w:lang w:eastAsia="en-GB"/>
              </w:rPr>
              <w:t>OPTIONAL</w:t>
            </w:r>
            <w:r>
              <w:rPr>
                <w:rFonts w:ascii="Courier New" w:hAnsi="Courier New" w:eastAsia="Times New Roman" w:cs="Courier New"/>
                <w:sz w:val="11"/>
                <w:highlight w:val="yellow"/>
                <w:lang w:eastAsia="en-GB"/>
              </w:rPr>
              <w:t xml:space="preserve">, </w:t>
            </w:r>
            <w:r>
              <w:rPr>
                <w:rFonts w:ascii="Courier New" w:hAnsi="Courier New" w:eastAsia="Times New Roman" w:cs="Courier New"/>
                <w:color w:val="808080"/>
                <w:sz w:val="11"/>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color w:val="808080"/>
                <w:sz w:val="11"/>
                <w:lang w:eastAsia="en-GB"/>
              </w:rPr>
            </w:pPr>
            <w:r>
              <w:rPr>
                <w:rFonts w:ascii="Courier New" w:hAnsi="Courier New" w:eastAsia="Times New Roman" w:cs="Courier New"/>
                <w:sz w:val="11"/>
                <w:lang w:eastAsia="en-GB"/>
              </w:rPr>
              <w:t xml:space="preserve">    </w:t>
            </w:r>
            <w:r>
              <w:rPr>
                <w:rFonts w:ascii="Courier New" w:hAnsi="Courier New" w:eastAsia="Times New Roman" w:cs="Courier New"/>
                <w:sz w:val="11"/>
                <w:highlight w:val="green"/>
                <w:lang w:eastAsia="en-GB"/>
              </w:rPr>
              <w:t xml:space="preserve">resourceAvailability-r17         </w:t>
            </w:r>
            <w:r>
              <w:rPr>
                <w:rFonts w:ascii="Courier New" w:hAnsi="Courier New" w:eastAsia="Times New Roman" w:cs="Courier New"/>
                <w:color w:val="993366"/>
                <w:sz w:val="11"/>
                <w:highlight w:val="green"/>
                <w:lang w:eastAsia="en-GB"/>
              </w:rPr>
              <w:t>SEQUENCE</w:t>
            </w:r>
            <w:r>
              <w:rPr>
                <w:rFonts w:ascii="Courier New" w:hAnsi="Courier New" w:eastAsia="Times New Roman" w:cs="Courier New"/>
                <w:sz w:val="11"/>
                <w:highlight w:val="green"/>
                <w:lang w:eastAsia="en-GB"/>
              </w:rPr>
              <w:t xml:space="preserve"> (</w:t>
            </w:r>
            <w:r>
              <w:rPr>
                <w:rFonts w:ascii="Courier New" w:hAnsi="Courier New" w:eastAsia="Times New Roman" w:cs="Courier New"/>
                <w:color w:val="993366"/>
                <w:sz w:val="11"/>
                <w:highlight w:val="green"/>
                <w:lang w:eastAsia="en-GB"/>
              </w:rPr>
              <w:t>SIZE</w:t>
            </w:r>
            <w:r>
              <w:rPr>
                <w:rFonts w:ascii="Courier New" w:hAnsi="Courier New" w:eastAsia="Times New Roman" w:cs="Courier New"/>
                <w:sz w:val="11"/>
                <w:highlight w:val="green"/>
                <w:lang w:eastAsia="en-GB"/>
              </w:rPr>
              <w:t xml:space="preserve"> (1..maxNrofResourceAvailabilityPerCombination-r16))</w:t>
            </w:r>
            <w:r>
              <w:rPr>
                <w:rFonts w:ascii="Courier New" w:hAnsi="Courier New" w:eastAsia="Times New Roman" w:cs="Courier New"/>
                <w:color w:val="993366"/>
                <w:sz w:val="11"/>
                <w:highlight w:val="green"/>
                <w:lang w:eastAsia="en-GB"/>
              </w:rPr>
              <w:t xml:space="preserve"> OF</w:t>
            </w:r>
            <w:r>
              <w:rPr>
                <w:rFonts w:ascii="Courier New" w:hAnsi="Courier New" w:eastAsia="Times New Roman" w:cs="Courier New"/>
                <w:sz w:val="11"/>
                <w:highlight w:val="green"/>
                <w:lang w:eastAsia="en-GB"/>
              </w:rPr>
              <w:t xml:space="preserve"> </w:t>
            </w:r>
            <w:r>
              <w:rPr>
                <w:rFonts w:ascii="Courier New" w:hAnsi="Courier New" w:eastAsia="Times New Roman" w:cs="Courier New"/>
                <w:color w:val="993366"/>
                <w:sz w:val="11"/>
                <w:highlight w:val="green"/>
                <w:lang w:eastAsia="en-GB"/>
              </w:rPr>
              <w:t>INTEGER</w:t>
            </w:r>
            <w:r>
              <w:rPr>
                <w:rFonts w:ascii="Courier New" w:hAnsi="Courier New" w:eastAsia="Times New Roman" w:cs="Courier New"/>
                <w:sz w:val="11"/>
                <w:highlight w:val="green"/>
                <w:lang w:eastAsia="en-GB"/>
              </w:rPr>
              <w:t xml:space="preserve"> (0..7)    </w:t>
            </w:r>
            <w:r>
              <w:rPr>
                <w:rFonts w:ascii="Courier New" w:hAnsi="Courier New" w:eastAsia="Times New Roman" w:cs="Courier New"/>
                <w:color w:val="993366"/>
                <w:sz w:val="11"/>
                <w:highlight w:val="green"/>
                <w:lang w:eastAsia="en-GB"/>
              </w:rPr>
              <w:t>OPTIONAL</w:t>
            </w:r>
            <w:r>
              <w:rPr>
                <w:rFonts w:ascii="Courier New" w:hAnsi="Courier New" w:eastAsia="Times New Roman" w:cs="Courier New"/>
                <w:sz w:val="11"/>
                <w:highlight w:val="green"/>
                <w:lang w:eastAsia="en-GB"/>
              </w:rPr>
              <w:t xml:space="preserve"> </w:t>
            </w:r>
            <w:r>
              <w:rPr>
                <w:rFonts w:ascii="Courier New" w:hAnsi="Courier New" w:eastAsia="Times New Roman" w:cs="Courier New"/>
                <w:color w:val="808080"/>
                <w:sz w:val="11"/>
                <w:highlight w:val="green"/>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cs="Courier New"/>
                <w:sz w:val="11"/>
                <w:lang w:eastAsia="en-GB"/>
              </w:rPr>
            </w:pPr>
            <w:r>
              <w:rPr>
                <w:rFonts w:ascii="Courier New" w:hAnsi="Courier New" w:eastAsia="Times New Roman" w:cs="Courier New"/>
                <w:sz w:val="11"/>
                <w:lang w:eastAsia="en-GB"/>
              </w:rPr>
              <w:t>}</w:t>
            </w:r>
          </w:p>
          <w:p>
            <w:pPr>
              <w:pStyle w:val="15"/>
            </w:pPr>
            <w:r>
              <w:rPr>
                <w:rFonts w:hint="eastAsia"/>
              </w:rPr>
              <w:t>S</w:t>
            </w:r>
            <w:r>
              <w:t>o, it is not clear for IAB on how to handle the mandatory availabilityCombinations-r16 and the availabilityCombinationsRBGroups-r17 if not including rb-SetGroups-r17.</w:t>
            </w:r>
          </w:p>
          <w:p>
            <w:pPr>
              <w:pStyle w:val="77"/>
              <w:rPr>
                <w:sz w:val="20"/>
                <w:lang w:val="en-GB" w:eastAsia="zh-CN"/>
              </w:rPr>
            </w:pPr>
            <w:r>
              <w:rPr>
                <w:sz w:val="20"/>
                <w:lang w:val="en-GB" w:eastAsia="zh-CN"/>
              </w:rPr>
              <w:t>2nd change: “</w:t>
            </w:r>
            <w:r>
              <w:rPr>
                <w:i/>
                <w:sz w:val="20"/>
                <w:lang w:val="en-GB" w:eastAsia="zh-CN"/>
              </w:rPr>
              <w:t>the DU will make sure to apply a configuration which is compatible with the BWP in use towards a UE.</w:t>
            </w:r>
            <w:r>
              <w:rPr>
                <w:sz w:val="20"/>
                <w:lang w:val="en-GB" w:eastAsia="zh-CN"/>
              </w:rPr>
              <w:t>” But different BWP may have the same or different SCS. IAB-node should not apply the MAC CE to the BWP with different SCS as slotListSubcarrierSpacing in IAB-ResourceConfig.</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b/>
                <w:bCs/>
              </w:rPr>
            </w:pPr>
            <w:r>
              <w:rPr>
                <w:b/>
                <w:bCs/>
              </w:rPr>
              <w:t>Ericsson</w:t>
            </w:r>
          </w:p>
        </w:tc>
        <w:tc>
          <w:tcPr>
            <w:tcW w:w="1217" w:type="dxa"/>
            <w:shd w:val="clear" w:color="auto" w:fill="auto"/>
          </w:tcPr>
          <w:p>
            <w:pPr>
              <w:pStyle w:val="15"/>
            </w:pPr>
            <w:r>
              <w:t>No</w:t>
            </w:r>
          </w:p>
        </w:tc>
        <w:tc>
          <w:tcPr>
            <w:tcW w:w="6173" w:type="dxa"/>
            <w:shd w:val="clear" w:color="auto" w:fill="auto"/>
          </w:tcPr>
          <w:p>
            <w:pPr>
              <w:pStyle w:val="15"/>
            </w:pPr>
            <w:r>
              <w:t>We already expressed our view but we are open for discussion on whether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b/>
                <w:bCs/>
              </w:rPr>
            </w:pPr>
            <w:r>
              <w:rPr>
                <w:rFonts w:hint="eastAsia"/>
                <w:b/>
                <w:bCs/>
                <w:lang w:eastAsia="ko-KR"/>
              </w:rPr>
              <w:t>LGE</w:t>
            </w:r>
          </w:p>
        </w:tc>
        <w:tc>
          <w:tcPr>
            <w:tcW w:w="1217" w:type="dxa"/>
            <w:shd w:val="clear" w:color="auto" w:fill="auto"/>
          </w:tcPr>
          <w:p>
            <w:pPr>
              <w:pStyle w:val="15"/>
            </w:pPr>
            <w:r>
              <w:rPr>
                <w:rFonts w:hint="eastAsia"/>
                <w:lang w:eastAsia="ko-KR"/>
              </w:rPr>
              <w:t>Yes</w:t>
            </w:r>
          </w:p>
        </w:tc>
        <w:tc>
          <w:tcPr>
            <w:tcW w:w="6173" w:type="dxa"/>
            <w:shd w:val="clear" w:color="auto" w:fill="auto"/>
          </w:tcPr>
          <w:p>
            <w:pPr>
              <w:pStyle w:val="15"/>
            </w:pPr>
            <w:r>
              <w:rPr>
                <w:lang w:eastAsia="ko-KR"/>
              </w:rPr>
              <w:t>A</w:t>
            </w:r>
            <w:r>
              <w:rPr>
                <w:rFonts w:hint="eastAsia"/>
                <w:lang w:eastAsia="ko-KR"/>
              </w:rPr>
              <w:t xml:space="preserve">gree </w:t>
            </w:r>
            <w:r>
              <w:rPr>
                <w:lang w:eastAsia="ko-KR"/>
              </w:rPr>
              <w:t>with rapporteur’s analysis. Change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rFonts w:eastAsia="Malgun Gothic"/>
                <w:b/>
                <w:bCs/>
                <w:lang w:eastAsia="ko-KR"/>
              </w:rPr>
            </w:pPr>
            <w:r>
              <w:rPr>
                <w:rFonts w:eastAsia="Malgun Gothic"/>
                <w:b/>
                <w:bCs/>
                <w:lang w:eastAsia="ko-KR"/>
              </w:rPr>
              <w:t>Samsung</w:t>
            </w:r>
            <w:r>
              <w:rPr>
                <w:rFonts w:hint="eastAsia" w:eastAsia="Malgun Gothic"/>
                <w:b/>
                <w:bCs/>
                <w:lang w:eastAsia="ko-KR"/>
              </w:rPr>
              <w:t xml:space="preserve"> </w:t>
            </w:r>
          </w:p>
        </w:tc>
        <w:tc>
          <w:tcPr>
            <w:tcW w:w="1217" w:type="dxa"/>
            <w:shd w:val="clear" w:color="auto" w:fill="auto"/>
          </w:tcPr>
          <w:p>
            <w:pPr>
              <w:pStyle w:val="15"/>
              <w:rPr>
                <w:rFonts w:eastAsia="Malgun Gothic"/>
                <w:lang w:eastAsia="ko-KR"/>
              </w:rPr>
            </w:pPr>
            <w:r>
              <w:rPr>
                <w:rFonts w:eastAsia="Malgun Gothic"/>
                <w:lang w:eastAsia="ko-KR"/>
              </w:rPr>
              <w:t>Y</w:t>
            </w:r>
            <w:r>
              <w:rPr>
                <w:rFonts w:hint="eastAsia" w:eastAsia="Malgun Gothic"/>
                <w:lang w:eastAsia="ko-KR"/>
              </w:rPr>
              <w:t xml:space="preserve">es </w:t>
            </w:r>
          </w:p>
        </w:tc>
        <w:tc>
          <w:tcPr>
            <w:tcW w:w="6173" w:type="dxa"/>
            <w:shd w:val="clear" w:color="auto" w:fill="auto"/>
          </w:tcPr>
          <w:p>
            <w:pPr>
              <w:pStyle w:val="15"/>
              <w:rPr>
                <w:rFonts w:eastAsia="Malgun Gothic"/>
                <w:lang w:eastAsia="ko-KR"/>
              </w:rPr>
            </w:pPr>
            <w:r>
              <w:rPr>
                <w:rFonts w:eastAsia="Malgun Gothic"/>
                <w:lang w:eastAsia="ko-KR"/>
              </w:rPr>
              <w:t xml:space="preserve">Proposed CR seems to clarify the situation which can be allowed in the signalling, but the smart network will handle appropriately, and rapporteur explain this case. We have the similar view with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rFonts w:eastAsia="Malgun Gothic"/>
                <w:b/>
                <w:bCs/>
                <w:lang w:eastAsia="ko-KR"/>
              </w:rPr>
            </w:pPr>
            <w:r>
              <w:rPr>
                <w:rFonts w:eastAsia="Malgun Gothic"/>
                <w:b/>
                <w:bCs/>
                <w:lang w:eastAsia="ko-KR"/>
              </w:rPr>
              <w:t>Intel</w:t>
            </w:r>
          </w:p>
        </w:tc>
        <w:tc>
          <w:tcPr>
            <w:tcW w:w="1217" w:type="dxa"/>
            <w:shd w:val="clear" w:color="auto" w:fill="auto"/>
          </w:tcPr>
          <w:p>
            <w:pPr>
              <w:pStyle w:val="15"/>
              <w:rPr>
                <w:rFonts w:eastAsia="Malgun Gothic"/>
                <w:lang w:eastAsia="ko-KR"/>
              </w:rPr>
            </w:pPr>
            <w:r>
              <w:rPr>
                <w:rFonts w:eastAsia="Malgun Gothic"/>
                <w:lang w:eastAsia="ko-KR"/>
              </w:rPr>
              <w:t>OK to clarify</w:t>
            </w:r>
          </w:p>
        </w:tc>
        <w:tc>
          <w:tcPr>
            <w:tcW w:w="6173" w:type="dxa"/>
            <w:shd w:val="clear" w:color="auto" w:fill="auto"/>
          </w:tcPr>
          <w:p>
            <w:pPr>
              <w:pStyle w:val="15"/>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tcPr>
          <w:p>
            <w:pPr>
              <w:pStyle w:val="15"/>
              <w:rPr>
                <w:rFonts w:eastAsia="Malgun Gothic"/>
                <w:b/>
                <w:bCs/>
                <w:lang w:eastAsia="ko-KR"/>
              </w:rPr>
            </w:pPr>
            <w:r>
              <w:rPr>
                <w:b/>
                <w:bCs/>
              </w:rPr>
              <w:t>Qualcomm</w:t>
            </w:r>
          </w:p>
        </w:tc>
        <w:tc>
          <w:tcPr>
            <w:tcW w:w="1217" w:type="dxa"/>
            <w:shd w:val="clear" w:color="auto" w:fill="auto"/>
          </w:tcPr>
          <w:p>
            <w:pPr>
              <w:pStyle w:val="15"/>
              <w:rPr>
                <w:rFonts w:eastAsia="Malgun Gothic"/>
                <w:lang w:eastAsia="ko-KR"/>
              </w:rPr>
            </w:pPr>
            <w:r>
              <w:t>Yes for 1</w:t>
            </w:r>
            <w:r>
              <w:rPr>
                <w:vertAlign w:val="superscript"/>
              </w:rPr>
              <w:t>st</w:t>
            </w:r>
            <w:r>
              <w:t xml:space="preserve"> change; No for 2</w:t>
            </w:r>
            <w:r>
              <w:rPr>
                <w:vertAlign w:val="superscript"/>
              </w:rPr>
              <w:t>nd</w:t>
            </w:r>
            <w:r>
              <w:t xml:space="preserve"> change</w:t>
            </w:r>
          </w:p>
        </w:tc>
        <w:tc>
          <w:tcPr>
            <w:tcW w:w="6173" w:type="dxa"/>
            <w:shd w:val="clear" w:color="auto" w:fill="auto"/>
          </w:tcPr>
          <w:p>
            <w:pPr>
              <w:pStyle w:val="15"/>
              <w:numPr>
                <w:ilvl w:val="0"/>
                <w:numId w:val="14"/>
              </w:numPr>
              <w:ind w:left="288" w:hanging="144"/>
              <w:jc w:val="left"/>
            </w:pPr>
            <w:r>
              <w:t>Support the 1</w:t>
            </w:r>
            <w:r>
              <w:rPr>
                <w:vertAlign w:val="superscript"/>
              </w:rPr>
              <w:t>st</w:t>
            </w:r>
            <w:r>
              <w:t xml:space="preserve"> change: “</w:t>
            </w:r>
            <w:r>
              <w:rPr>
                <w:i/>
                <w:iCs/>
                <w:color w:val="4472C4" w:themeColor="accent1"/>
                <w14:textFill>
                  <w14:solidFill>
                    <w14:schemeClr w14:val="accent1"/>
                  </w14:solidFill>
                </w14:textFill>
              </w:rPr>
              <w:t>if availabilityCombinationsRBGroups-r17 is configured, the availabilityCombinations-r16 is to be ignored</w:t>
            </w:r>
            <w:r>
              <w:t>”. Note that the Rel-17 configuration is flexible to cover all different cases: TDM only, FDM only, mixed TDM/FDM across different availabilityCombinationIds, therefore, if Rel-17 configuration is present, it should override the Rel-16 mandatory configuration.</w:t>
            </w:r>
          </w:p>
          <w:p>
            <w:pPr>
              <w:pStyle w:val="15"/>
              <w:numPr>
                <w:ilvl w:val="0"/>
                <w:numId w:val="14"/>
              </w:numPr>
              <w:ind w:left="288" w:hanging="144"/>
              <w:jc w:val="left"/>
            </w:pPr>
            <w:r>
              <w:t>Regarding Huawei’s above comment on “</w:t>
            </w:r>
            <w:r>
              <w:rPr>
                <w:i/>
                <w:iCs/>
                <w:color w:val="4472C4" w:themeColor="accent1"/>
                <w14:textFill>
                  <w14:solidFill>
                    <w14:schemeClr w14:val="accent1"/>
                  </w14:solidFill>
                </w14:textFill>
              </w:rPr>
              <w:t>when rb-SetGroups-r17 is absent in availabilityCombinationsRBGroups-r17, it becomes TDM</w:t>
            </w:r>
            <w:r>
              <w:t xml:space="preserve">”, this is true only if rb-SetGroups-r17 is absent for each availabilityCombinationId. The Rel-17 configuration can support the mixed case cross different availabilityCombinationIds, where the configuration for some availabilityCombinationIds (without </w:t>
            </w:r>
            <w:r>
              <w:rPr>
                <w:i/>
                <w:iCs/>
                <w:color w:val="4472C4" w:themeColor="accent1"/>
                <w14:textFill>
                  <w14:solidFill>
                    <w14:schemeClr w14:val="accent1"/>
                  </w14:solidFill>
                </w14:textFill>
              </w:rPr>
              <w:t>rb-SetGroups-r17</w:t>
            </w:r>
            <w:r>
              <w:t xml:space="preserve">) reduces to TDM while the configuration for other availabilityCombinationIds (with </w:t>
            </w:r>
            <w:r>
              <w:rPr>
                <w:i/>
                <w:iCs/>
                <w:color w:val="4472C4" w:themeColor="accent1"/>
                <w14:textFill>
                  <w14:solidFill>
                    <w14:schemeClr w14:val="accent1"/>
                  </w14:solidFill>
                </w14:textFill>
              </w:rPr>
              <w:t>rb-SetGroups-r17</w:t>
            </w:r>
            <w:r>
              <w:t xml:space="preserve">) is FDM. </w:t>
            </w:r>
          </w:p>
          <w:p>
            <w:pPr>
              <w:pStyle w:val="15"/>
              <w:rPr>
                <w:rFonts w:eastAsia="Malgun Gothic"/>
                <w:lang w:eastAsia="ko-KR"/>
              </w:rPr>
            </w:pPr>
            <w:r>
              <w:t xml:space="preserve">The IAB-ResourceConfig specifies the applicable slot indices with respective to the indicated SCS. The IAB-DU can derive the corresponding applicable slot indices for a BWP with a different SCS, and there is no need to restrict applicable BWP with same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shd w:val="clear" w:color="auto" w:fill="auto"/>
            <w:vAlign w:val="top"/>
          </w:tcPr>
          <w:p>
            <w:pPr>
              <w:pStyle w:val="15"/>
              <w:rPr>
                <w:b/>
                <w:bCs/>
              </w:rPr>
            </w:pPr>
            <w:r>
              <w:rPr>
                <w:rFonts w:hint="eastAsia" w:eastAsia="宋体"/>
                <w:b/>
                <w:bCs/>
                <w:lang w:val="en-US" w:eastAsia="zh-CN"/>
              </w:rPr>
              <w:t>ZTE</w:t>
            </w:r>
          </w:p>
        </w:tc>
        <w:tc>
          <w:tcPr>
            <w:tcW w:w="1217" w:type="dxa"/>
            <w:shd w:val="clear" w:color="auto" w:fill="auto"/>
            <w:vAlign w:val="top"/>
          </w:tcPr>
          <w:p>
            <w:pPr>
              <w:pStyle w:val="15"/>
            </w:pPr>
            <w:r>
              <w:rPr>
                <w:rFonts w:hint="eastAsia" w:eastAsia="宋体"/>
                <w:lang w:val="en-US" w:eastAsia="zh-CN"/>
              </w:rPr>
              <w:t>Yes</w:t>
            </w:r>
          </w:p>
        </w:tc>
        <w:tc>
          <w:tcPr>
            <w:tcW w:w="6173" w:type="dxa"/>
            <w:shd w:val="clear" w:color="auto" w:fill="auto"/>
            <w:vAlign w:val="top"/>
          </w:tcPr>
          <w:p>
            <w:pPr>
              <w:pStyle w:val="15"/>
            </w:pPr>
            <w:r>
              <w:rPr>
                <w:rFonts w:hint="eastAsia" w:eastAsia="宋体"/>
                <w:lang w:val="en-US" w:eastAsia="zh-CN"/>
              </w:rPr>
              <w:t>Agree with rapporteur</w:t>
            </w:r>
            <w:r>
              <w:rPr>
                <w:rFonts w:hint="default" w:eastAsia="宋体"/>
                <w:lang w:val="en-US" w:eastAsia="zh-CN"/>
              </w:rPr>
              <w:t>’</w:t>
            </w:r>
            <w:r>
              <w:rPr>
                <w:rFonts w:hint="eastAsia" w:eastAsia="宋体"/>
                <w:lang w:val="en-US" w:eastAsia="zh-CN"/>
              </w:rPr>
              <w:t>s analysis.</w:t>
            </w:r>
          </w:p>
        </w:tc>
      </w:tr>
    </w:tbl>
    <w:p>
      <w:pPr>
        <w:pStyle w:val="15"/>
      </w:pPr>
    </w:p>
    <w:p>
      <w:pPr>
        <w:pStyle w:val="3"/>
      </w:pPr>
      <w:r>
        <w:t>3.4</w:t>
      </w:r>
      <w:r>
        <w:tab/>
      </w:r>
      <w:r>
        <w:fldChar w:fldCharType="begin"/>
      </w:r>
      <w:r>
        <w:instrText xml:space="preserve"> HYPERLINK "http://www.3gpp.org/ftp//tsg_ran/WG2_RL2/TSGR2_119-e/Docs/%0dR2-2208642.zip" </w:instrText>
      </w:r>
      <w:r>
        <w:fldChar w:fldCharType="separate"/>
      </w:r>
      <w:r>
        <w:rPr>
          <w:rStyle w:val="57"/>
        </w:rPr>
        <w:t>R2-2208642</w:t>
      </w:r>
      <w:r>
        <w:rPr>
          <w:rStyle w:val="57"/>
        </w:rPr>
        <w:fldChar w:fldCharType="end"/>
      </w:r>
      <w:r>
        <w:t xml:space="preserve"> - Corrections to the AI index configuration</w:t>
      </w:r>
    </w:p>
    <w:p>
      <w:pPr>
        <w:pStyle w:val="15"/>
      </w:pPr>
      <w:r>
        <w:t>The CR proposes to introduce a new positionInDCI-AI-RBGroups which is applicable only to the new configuration provided in the availabilityCombinationsRB-Groups table.</w:t>
      </w:r>
    </w:p>
    <w:p>
      <w:pPr>
        <w:pStyle w:val="15"/>
        <w:rPr>
          <w:u w:val="single"/>
        </w:rPr>
      </w:pPr>
    </w:p>
    <w:p>
      <w:pPr>
        <w:pStyle w:val="15"/>
        <w:rPr>
          <w:u w:val="single"/>
        </w:rPr>
      </w:pPr>
      <w:r>
        <w:rPr>
          <w:u w:val="single"/>
        </w:rPr>
        <w:t>Rapporteur´s view:</w:t>
      </w:r>
    </w:p>
    <w:p>
      <w:pPr>
        <w:pStyle w:val="15"/>
      </w:pPr>
      <w:r>
        <w:t xml:space="preserve">As indicated in the LS R2-2206929 (second agreement indicated therein), RAN1 agreed in RAN1#109 that “if an IAB node is configured with two availabilityCombinations tables, both shared and separate AI index fields are supported by introducing positioninDCI-AI-rel17”. According to this, the current RAN2 specification just includes the legacy positionInDCI-AI-r16, hence it is </w:t>
      </w:r>
      <w:commentRangeStart w:id="0"/>
      <w:r>
        <w:rPr>
          <w:highlight w:val="yellow"/>
        </w:rPr>
        <w:t>NOT</w:t>
      </w:r>
      <w:r>
        <w:t xml:space="preserve"> </w:t>
      </w:r>
      <w:commentRangeEnd w:id="0"/>
      <w:r>
        <w:rPr>
          <w:rStyle w:val="59"/>
          <w:rFonts w:ascii="Times New Roman" w:hAnsi="Times New Roman"/>
          <w:lang w:eastAsia="ja-JP"/>
        </w:rPr>
        <w:commentReference w:id="0"/>
      </w:r>
      <w:r>
        <w:t xml:space="preserve">aligned with the above RAN1 agreement. </w:t>
      </w:r>
      <w:ins w:id="0" w:author="Ericsson" w:date="2022-08-19T01:03:00Z">
        <w:r>
          <w:rPr/>
          <w:t>The CR in R2-2208642 proposes to align the specification with the second RAN1 agreement in the LS R2-2206929</w:t>
        </w:r>
      </w:ins>
    </w:p>
    <w:p>
      <w:pPr>
        <w:pStyle w:val="15"/>
      </w:pPr>
    </w:p>
    <w:p>
      <w:pPr>
        <w:pStyle w:val="15"/>
      </w:pPr>
      <w:r>
        <w:rPr>
          <w:b/>
          <w:bCs/>
        </w:rPr>
        <w:t>Q4</w:t>
      </w:r>
      <w:r>
        <w:t xml:space="preserve">: Do companies agree that the changes proposed in R2-2208642 are </w:t>
      </w:r>
      <w:r>
        <w:rPr>
          <w:highlight w:val="yellow"/>
        </w:rPr>
        <w:t>not</w:t>
      </w:r>
      <w:r>
        <w:t xml:space="preserve"> necessary?</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rPr>
              <w:t>H</w:t>
            </w:r>
            <w:r>
              <w:rPr>
                <w:b/>
                <w:bCs/>
              </w:rPr>
              <w:t>uawei, HiSilicon</w:t>
            </w:r>
          </w:p>
        </w:tc>
        <w:tc>
          <w:tcPr>
            <w:tcW w:w="1701" w:type="dxa"/>
            <w:shd w:val="clear" w:color="auto" w:fill="auto"/>
          </w:tcPr>
          <w:p>
            <w:pPr>
              <w:pStyle w:val="15"/>
            </w:pPr>
            <w:r>
              <w:t>Maybe (CR is not needed)</w:t>
            </w:r>
          </w:p>
        </w:tc>
        <w:tc>
          <w:tcPr>
            <w:tcW w:w="5665" w:type="dxa"/>
            <w:shd w:val="clear" w:color="auto" w:fill="auto"/>
          </w:tcPr>
          <w:p>
            <w:pPr>
              <w:pStyle w:val="15"/>
            </w:pPr>
            <w:r>
              <w:t>The change seems too late, since the spec also works with only shared AI index.</w:t>
            </w:r>
          </w:p>
          <w:p>
            <w:pPr>
              <w:pStyle w:val="15"/>
            </w:pPr>
            <w:r>
              <w:t xml:space="preserve">We are thinking in R1 spec the max value is still </w:t>
            </w:r>
            <w:r>
              <w:rPr>
                <w:color w:val="993366"/>
              </w:rPr>
              <w:t>INTEGER</w:t>
            </w:r>
            <w:r>
              <w:t xml:space="preserve">(0..maxAI-DCI-PayloadSize-1-r16), which is not extended. So, adding one more IE is actually not useful, unless we change the R1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NO (CR is needed)</w:t>
            </w:r>
          </w:p>
        </w:tc>
        <w:tc>
          <w:tcPr>
            <w:tcW w:w="5665" w:type="dxa"/>
            <w:shd w:val="clear" w:color="auto" w:fill="auto"/>
          </w:tcPr>
          <w:p>
            <w:pPr>
              <w:pStyle w:val="15"/>
            </w:pPr>
            <w:r>
              <w:t>RAN1 agreed in RAN1#109 that “if an IAB node is configured with two availabilityCombinations tables, both shared and separate AI index fields are supported by introducing positioninDCI-AI-rel17”</w:t>
            </w:r>
          </w:p>
          <w:p>
            <w:pPr>
              <w:pStyle w:val="15"/>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ko-KR"/>
              </w:rPr>
              <w:t>LGE</w:t>
            </w:r>
          </w:p>
        </w:tc>
        <w:tc>
          <w:tcPr>
            <w:tcW w:w="1701" w:type="dxa"/>
            <w:shd w:val="clear" w:color="auto" w:fill="auto"/>
          </w:tcPr>
          <w:p>
            <w:pPr>
              <w:pStyle w:val="15"/>
            </w:pPr>
            <w:r>
              <w:rPr>
                <w:rFonts w:hint="eastAsia"/>
                <w:lang w:eastAsia="ko-KR"/>
              </w:rPr>
              <w:t>No</w:t>
            </w:r>
          </w:p>
        </w:tc>
        <w:tc>
          <w:tcPr>
            <w:tcW w:w="5665" w:type="dxa"/>
            <w:shd w:val="clear" w:color="auto" w:fill="auto"/>
          </w:tcPr>
          <w:p>
            <w:pPr>
              <w:pStyle w:val="15"/>
            </w:pPr>
            <w:r>
              <w:rPr>
                <w:lang w:eastAsia="ko-KR"/>
              </w:rPr>
              <w:t>C</w:t>
            </w:r>
            <w:r>
              <w:rPr>
                <w:rFonts w:hint="eastAsia"/>
                <w:lang w:eastAsia="ko-KR"/>
              </w:rPr>
              <w:t xml:space="preserve">hange </w:t>
            </w:r>
            <w:r>
              <w:rPr>
                <w:lang w:eastAsia="ko-KR"/>
              </w:rPr>
              <w:t>may be needed to capture RAN1 agreement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Samsung</w:t>
            </w:r>
            <w:r>
              <w:rPr>
                <w:rFonts w:hint="eastAsia" w:eastAsia="Malgun Gothic"/>
                <w:b/>
                <w:bCs/>
                <w:lang w:eastAsia="ko-KR"/>
              </w:rPr>
              <w:t xml:space="preserve"> </w:t>
            </w:r>
          </w:p>
        </w:tc>
        <w:tc>
          <w:tcPr>
            <w:tcW w:w="1701" w:type="dxa"/>
            <w:shd w:val="clear" w:color="auto" w:fill="auto"/>
          </w:tcPr>
          <w:p>
            <w:pPr>
              <w:pStyle w:val="15"/>
              <w:rPr>
                <w:rFonts w:eastAsia="Malgun Gothic"/>
                <w:lang w:eastAsia="ko-KR"/>
              </w:rPr>
            </w:pPr>
            <w:r>
              <w:rPr>
                <w:rFonts w:eastAsia="Malgun Gothic"/>
                <w:lang w:eastAsia="ko-KR"/>
              </w:rPr>
              <w:t>N</w:t>
            </w:r>
            <w:r>
              <w:rPr>
                <w:rFonts w:hint="eastAsia" w:eastAsia="Malgun Gothic"/>
                <w:lang w:eastAsia="ko-KR"/>
              </w:rPr>
              <w:t xml:space="preserve">o </w:t>
            </w:r>
          </w:p>
        </w:tc>
        <w:tc>
          <w:tcPr>
            <w:tcW w:w="5665" w:type="dxa"/>
            <w:shd w:val="clear" w:color="auto" w:fill="auto"/>
          </w:tcPr>
          <w:p>
            <w:pPr>
              <w:pStyle w:val="15"/>
              <w:rPr>
                <w:rFonts w:eastAsia="Malgun Gothic"/>
                <w:lang w:eastAsia="ko-KR"/>
              </w:rPr>
            </w:pPr>
            <w:r>
              <w:rPr>
                <w:rFonts w:eastAsia="Malgun Gothic"/>
                <w:lang w:eastAsia="ko-KR"/>
              </w:rPr>
              <w:t>If this is wrongly captured, we think the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Intel</w:t>
            </w:r>
          </w:p>
        </w:tc>
        <w:tc>
          <w:tcPr>
            <w:tcW w:w="1701" w:type="dxa"/>
            <w:shd w:val="clear" w:color="auto" w:fill="auto"/>
          </w:tcPr>
          <w:p>
            <w:pPr>
              <w:pStyle w:val="15"/>
              <w:rPr>
                <w:rFonts w:eastAsia="Malgun Gothic"/>
                <w:lang w:eastAsia="ko-KR"/>
              </w:rPr>
            </w:pPr>
            <w:r>
              <w:rPr>
                <w:rFonts w:eastAsia="Malgun Gothic"/>
                <w:lang w:eastAsia="ko-KR"/>
              </w:rPr>
              <w:t>OK to have the CR</w:t>
            </w:r>
          </w:p>
        </w:tc>
        <w:tc>
          <w:tcPr>
            <w:tcW w:w="5665" w:type="dxa"/>
            <w:shd w:val="clear" w:color="auto" w:fill="auto"/>
          </w:tcPr>
          <w:p>
            <w:pPr>
              <w:pStyle w:val="15"/>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b/>
                <w:bCs/>
              </w:rPr>
              <w:t>Qualcomm</w:t>
            </w:r>
          </w:p>
        </w:tc>
        <w:tc>
          <w:tcPr>
            <w:tcW w:w="1701" w:type="dxa"/>
            <w:shd w:val="clear" w:color="auto" w:fill="auto"/>
          </w:tcPr>
          <w:p>
            <w:pPr>
              <w:pStyle w:val="15"/>
              <w:rPr>
                <w:rFonts w:eastAsia="Malgun Gothic"/>
                <w:lang w:eastAsia="ko-KR"/>
              </w:rPr>
            </w:pPr>
            <w:r>
              <w:t>Not necessary</w:t>
            </w:r>
          </w:p>
        </w:tc>
        <w:tc>
          <w:tcPr>
            <w:tcW w:w="5665" w:type="dxa"/>
            <w:shd w:val="clear" w:color="auto" w:fill="auto"/>
          </w:tcPr>
          <w:p>
            <w:pPr>
              <w:pStyle w:val="15"/>
              <w:rPr>
                <w:rFonts w:eastAsia="Malgun Gothic"/>
                <w:lang w:eastAsia="ko-KR"/>
              </w:rPr>
            </w:pPr>
            <w:r>
              <w:t xml:space="preserve">Though RAN1 agreed to support both shared and separate AI index fields, we didn’t see much benefits with new AI index field of “positioninDCI-AI-rel17”.  </w:t>
            </w:r>
          </w:p>
        </w:tc>
      </w:tr>
    </w:tbl>
    <w:p>
      <w:pPr>
        <w:pStyle w:val="15"/>
      </w:pPr>
    </w:p>
    <w:p>
      <w:pPr>
        <w:pStyle w:val="15"/>
      </w:pPr>
    </w:p>
    <w:p>
      <w:pPr>
        <w:pStyle w:val="2"/>
      </w:pPr>
      <w:r>
        <w:t>4</w:t>
      </w:r>
      <w:r>
        <w:tab/>
      </w:r>
      <w:r>
        <w:t>Handling of received LSs</w:t>
      </w:r>
    </w:p>
    <w:p>
      <w:pPr>
        <w:pStyle w:val="15"/>
      </w:pPr>
      <w:r>
        <w:t xml:space="preserve">RAN2 received two LSs by RAN1 in </w:t>
      </w:r>
      <w:r>
        <w:fldChar w:fldCharType="begin"/>
      </w:r>
      <w:r>
        <w:instrText xml:space="preserve"> HYPERLINK "http://www.3gpp.org/ftp//tsg_ran/WG2_RL2/TSGR2_119-e/Docs/%0dR2-2206929.zip" </w:instrText>
      </w:r>
      <w:r>
        <w:fldChar w:fldCharType="separate"/>
      </w:r>
      <w:r>
        <w:rPr>
          <w:rStyle w:val="57"/>
        </w:rPr>
        <w:t>R2-2206929</w:t>
      </w:r>
      <w:r>
        <w:rPr>
          <w:rStyle w:val="57"/>
        </w:rPr>
        <w:fldChar w:fldCharType="end"/>
      </w:r>
      <w:r>
        <w:t xml:space="preserve"> and by RAN4 in </w:t>
      </w:r>
      <w:r>
        <w:fldChar w:fldCharType="begin"/>
      </w:r>
      <w:r>
        <w:instrText xml:space="preserve"> HYPERLINK "http://www.3gpp.org/ftp//tsg_ran/WG2_RL2/TSGR2_119-e/Docs/%0dR2-2206935.zip" </w:instrText>
      </w:r>
      <w:r>
        <w:fldChar w:fldCharType="separate"/>
      </w:r>
      <w:r>
        <w:rPr>
          <w:rStyle w:val="57"/>
        </w:rPr>
        <w:t>R2-2206935</w:t>
      </w:r>
      <w:r>
        <w:rPr>
          <w:rStyle w:val="57"/>
        </w:rPr>
        <w:fldChar w:fldCharType="end"/>
      </w:r>
      <w:r>
        <w:t>. However, rapporteur thinks that both LSs can be noted as in one RAN2 is only in Cc, and in the other previous contribution already address the new RAN1 agreements.</w:t>
      </w:r>
    </w:p>
    <w:p>
      <w:pPr>
        <w:pStyle w:val="15"/>
      </w:pPr>
    </w:p>
    <w:p>
      <w:pPr>
        <w:pStyle w:val="15"/>
      </w:pPr>
      <w:r>
        <w:rPr>
          <w:b/>
          <w:bCs/>
        </w:rPr>
        <w:t>Q5</w:t>
      </w:r>
      <w:r>
        <w:t>: Do companies agree to note LSs in R2-2206929 and R2-2206935 (no reply needed)?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rPr>
              <w:t>H</w:t>
            </w:r>
            <w:r>
              <w:rPr>
                <w:b/>
                <w:bCs/>
              </w:rPr>
              <w:t>uawei, HiSilicon</w:t>
            </w:r>
          </w:p>
        </w:tc>
        <w:tc>
          <w:tcPr>
            <w:tcW w:w="1701" w:type="dxa"/>
            <w:shd w:val="clear" w:color="auto" w:fill="auto"/>
          </w:tcPr>
          <w:p>
            <w:pPr>
              <w:pStyle w:val="15"/>
            </w:pPr>
            <w:r>
              <w:rPr>
                <w:rFonts w:hint="eastAsia"/>
              </w:rPr>
              <w:t>Y</w:t>
            </w:r>
            <w:r>
              <w:t>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ko-KR"/>
              </w:rPr>
              <w:t>LGE</w:t>
            </w:r>
          </w:p>
        </w:tc>
        <w:tc>
          <w:tcPr>
            <w:tcW w:w="1701" w:type="dxa"/>
            <w:shd w:val="clear" w:color="auto" w:fill="auto"/>
          </w:tcPr>
          <w:p>
            <w:pPr>
              <w:pStyle w:val="15"/>
            </w:pPr>
            <w:r>
              <w:rPr>
                <w:rFonts w:hint="eastAsia"/>
                <w:lang w:eastAsia="ko-KR"/>
              </w:rPr>
              <w:t>Yes</w:t>
            </w:r>
          </w:p>
        </w:tc>
        <w:tc>
          <w:tcPr>
            <w:tcW w:w="5665" w:type="dxa"/>
            <w:shd w:val="clear" w:color="auto" w:fill="auto"/>
          </w:tcPr>
          <w:p>
            <w:pPr>
              <w:pStyle w:val="15"/>
            </w:pPr>
            <w:r>
              <w:rPr>
                <w:lang w:eastAsia="ko-KR"/>
              </w:rPr>
              <w:t>N</w:t>
            </w:r>
            <w:r>
              <w:rPr>
                <w:rFonts w:hint="eastAsia"/>
                <w:lang w:eastAsia="ko-KR"/>
              </w:rPr>
              <w:t xml:space="preserve">o </w:t>
            </w:r>
            <w:r>
              <w:rPr>
                <w:lang w:eastAsia="ko-KR"/>
              </w:rPr>
              <w:t>reply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Samsung</w:t>
            </w:r>
            <w:r>
              <w:rPr>
                <w:rFonts w:hint="eastAsia" w:eastAsia="Malgun Gothic"/>
                <w:b/>
                <w:bCs/>
                <w:lang w:eastAsia="ko-KR"/>
              </w:rPr>
              <w:t xml:space="preserve"> </w:t>
            </w:r>
          </w:p>
        </w:tc>
        <w:tc>
          <w:tcPr>
            <w:tcW w:w="1701" w:type="dxa"/>
            <w:shd w:val="clear" w:color="auto" w:fill="auto"/>
          </w:tcPr>
          <w:p>
            <w:pPr>
              <w:pStyle w:val="15"/>
              <w:rPr>
                <w:rFonts w:eastAsia="Malgun Gothic"/>
                <w:lang w:eastAsia="ko-KR"/>
              </w:rPr>
            </w:pPr>
            <w:r>
              <w:rPr>
                <w:rFonts w:eastAsia="Malgun Gothic"/>
                <w:lang w:eastAsia="ko-KR"/>
              </w:rPr>
              <w:t>Y</w:t>
            </w:r>
            <w:r>
              <w:rPr>
                <w:rFonts w:hint="eastAsia" w:eastAsia="Malgun Gothic"/>
                <w:lang w:eastAsia="ko-KR"/>
              </w:rPr>
              <w:t xml:space="preserve">es </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Intel</w:t>
            </w:r>
          </w:p>
        </w:tc>
        <w:tc>
          <w:tcPr>
            <w:tcW w:w="1701" w:type="dxa"/>
            <w:shd w:val="clear" w:color="auto" w:fill="auto"/>
          </w:tcPr>
          <w:p>
            <w:pPr>
              <w:pStyle w:val="15"/>
              <w:rPr>
                <w:rFonts w:eastAsia="Malgun Gothic"/>
                <w:lang w:eastAsia="ko-KR"/>
              </w:rPr>
            </w:pPr>
            <w:r>
              <w:rPr>
                <w:rFonts w:eastAsia="Malgun Gothic"/>
                <w:lang w:eastAsia="ko-KR"/>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Malgun Gothic"/>
                <w:b/>
                <w:bCs/>
                <w:lang w:eastAsia="ko-KR"/>
              </w:rPr>
            </w:pPr>
            <w:r>
              <w:rPr>
                <w:rFonts w:eastAsia="Malgun Gothic"/>
                <w:b/>
                <w:bCs/>
                <w:lang w:eastAsia="ko-KR"/>
              </w:rPr>
              <w:t>Qualcomm</w:t>
            </w:r>
          </w:p>
        </w:tc>
        <w:tc>
          <w:tcPr>
            <w:tcW w:w="1701" w:type="dxa"/>
            <w:shd w:val="clear" w:color="auto" w:fill="auto"/>
          </w:tcPr>
          <w:p>
            <w:pPr>
              <w:pStyle w:val="15"/>
              <w:rPr>
                <w:rFonts w:eastAsia="Malgun Gothic"/>
                <w:lang w:eastAsia="ko-KR"/>
              </w:rPr>
            </w:pPr>
            <w:r>
              <w:rPr>
                <w:rFonts w:eastAsia="Malgun Gothic"/>
                <w:lang w:eastAsia="ko-KR"/>
              </w:rP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1701" w:type="dxa"/>
            <w:shd w:val="clear" w:color="auto" w:fill="auto"/>
          </w:tcPr>
          <w:p>
            <w:pPr>
              <w:pStyle w:val="15"/>
              <w:rPr>
                <w:rFonts w:hint="default" w:eastAsia="宋体"/>
                <w:lang w:val="en-US" w:eastAsia="zh-CN"/>
              </w:rPr>
            </w:pPr>
            <w:r>
              <w:rPr>
                <w:rFonts w:hint="eastAsia" w:eastAsia="宋体"/>
                <w:lang w:val="en-US" w:eastAsia="zh-CN"/>
              </w:rPr>
              <w:t>Yes</w:t>
            </w:r>
            <w:bookmarkStart w:id="1" w:name="_GoBack"/>
            <w:bookmarkEnd w:id="1"/>
          </w:p>
        </w:tc>
        <w:tc>
          <w:tcPr>
            <w:tcW w:w="5665" w:type="dxa"/>
            <w:shd w:val="clear" w:color="auto" w:fill="auto"/>
          </w:tcPr>
          <w:p>
            <w:pPr>
              <w:pStyle w:val="15"/>
            </w:pPr>
          </w:p>
        </w:tc>
      </w:tr>
    </w:tbl>
    <w:p>
      <w:pPr>
        <w:pStyle w:val="15"/>
      </w:pPr>
    </w:p>
    <w:p>
      <w:pPr>
        <w:pStyle w:val="15"/>
      </w:pPr>
    </w:p>
    <w:p>
      <w:pPr>
        <w:pStyle w:val="2"/>
      </w:pPr>
      <w:r>
        <w:t>5</w:t>
      </w:r>
      <w:r>
        <w:tab/>
      </w:r>
      <w:r>
        <w:t>Conclusion</w:t>
      </w:r>
    </w:p>
    <w:p>
      <w:pPr>
        <w:pStyle w:val="15"/>
      </w:pPr>
      <w:r>
        <w:t>Based on the discussion in the previous sections we propose the following:</w:t>
      </w:r>
    </w:p>
    <w:p>
      <w:pPr>
        <w:pStyle w:val="44"/>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"_Toc509923397" </w:instrText>
      </w:r>
      <w:r>
        <w:fldChar w:fldCharType="separate"/>
      </w:r>
      <w:r>
        <w:rPr>
          <w:rStyle w:val="57"/>
        </w:rPr>
        <w:t>Proposal 1</w:t>
      </w:r>
      <w:r>
        <w:rPr>
          <w:rFonts w:ascii="Calibri" w:hAnsi="Calibri"/>
          <w:b w:val="0"/>
          <w:sz w:val="22"/>
          <w:szCs w:val="22"/>
          <w:lang w:eastAsia="en-GB"/>
        </w:rPr>
        <w:tab/>
      </w:r>
      <w:r>
        <w:rPr>
          <w:rStyle w:val="57"/>
        </w:rPr>
        <w:t>To be updated.</w:t>
      </w:r>
      <w:r>
        <w:rPr>
          <w:rStyle w:val="57"/>
        </w:rPr>
        <w:fldChar w:fldCharType="end"/>
      </w:r>
    </w:p>
    <w:p>
      <w:pPr>
        <w:pStyle w:val="15"/>
        <w:rPr>
          <w:b/>
          <w:bCs/>
        </w:rPr>
      </w:pPr>
      <w:r>
        <w:rPr>
          <w:b/>
          <w:bCs/>
          <w:lang w:val="en-US"/>
        </w:rPr>
        <w:fldChar w:fldCharType="end"/>
      </w:r>
      <w:r>
        <w:rPr>
          <w:b/>
          <w:bCs/>
        </w:rPr>
        <w:t xml:space="preserve"> </w:t>
      </w: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2-08-19T01:02:00Z" w:initials="E">
    <w:p w14:paraId="353B2A64">
      <w:pPr>
        <w:pStyle w:val="31"/>
        <w:rPr>
          <w:rStyle w:val="59"/>
        </w:rPr>
      </w:pPr>
      <w:r>
        <w:rPr>
          <w:rStyle w:val="59"/>
        </w:rPr>
        <w:t xml:space="preserve">Clarifies that the current spec is </w:t>
      </w:r>
      <w:r>
        <w:rPr>
          <w:rStyle w:val="59"/>
          <w:highlight w:val="yellow"/>
        </w:rPr>
        <w:t>NOT</w:t>
      </w:r>
      <w:r>
        <w:rPr>
          <w:rStyle w:val="59"/>
        </w:rPr>
        <w:t xml:space="preserve"> aligned with current RAN1 spec.</w:t>
      </w:r>
    </w:p>
    <w:p w14:paraId="3AA157C6">
      <w:pPr>
        <w:pStyle w:val="31"/>
        <w:rPr>
          <w:rStyle w:val="59"/>
        </w:rPr>
      </w:pPr>
    </w:p>
    <w:p w14:paraId="018F378A">
      <w:pPr>
        <w:pStyle w:val="31"/>
      </w:pPr>
      <w:r>
        <w:rPr>
          <w:rStyle w:val="59"/>
        </w:rPr>
        <w:t>Sorry for the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8F37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61C766E"/>
    <w:multiLevelType w:val="multilevel"/>
    <w:tmpl w:val="161C76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10077ED"/>
    <w:multiLevelType w:val="multilevel"/>
    <w:tmpl w:val="610077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1"/>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4AD"/>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2FB"/>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6743C"/>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AA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AF3"/>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C4A"/>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08E9"/>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E0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E68"/>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1826"/>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464"/>
    <w:rsid w:val="00E758EC"/>
    <w:rsid w:val="00E75CA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0BD7"/>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093A3A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99"/>
    <w:pPr>
      <w:overflowPunct/>
      <w:autoSpaceDE/>
      <w:autoSpaceDN/>
      <w:adjustRightInd/>
      <w:textAlignment w:val="auto"/>
    </w:pPr>
    <w:rPr>
      <w:lang w:val="en-GB" w:eastAsia="en-GB"/>
    </w:rPr>
  </w:style>
  <w:style w:type="table" w:customStyle="1" w:styleId="149">
    <w:name w:val="Grid Table 4 Accent 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0">
    <w:name w:val="Grid Table 5 Dark Accent 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1">
    <w:name w:val="Grid Table 4 Accent 5"/>
    <w:basedOn w:val="50"/>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2">
    <w:name w:val="Revision"/>
    <w:hidden/>
    <w:semiHidden/>
    <w:qFormat/>
    <w:uiPriority w:val="99"/>
    <w:rPr>
      <w:rFonts w:ascii="Times New Roman" w:hAnsi="Times New Roman" w:cs="Times New Roman" w:eastAsiaTheme="minorEastAsia"/>
      <w:lang w:val="en-GB" w:eastAsia="ja-JP" w:bidi="ar-SA"/>
    </w:rPr>
  </w:style>
  <w:style w:type="character" w:customStyle="1" w:styleId="153">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73D28-A72D-49B5-B872-FFBEB51D4746}">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97D5EECF-2B9A-412E-88DC-74841FAEBD2C}">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5</Pages>
  <Words>1736</Words>
  <Characters>9898</Characters>
  <Lines>82</Lines>
  <Paragraphs>23</Paragraphs>
  <TotalTime>1</TotalTime>
  <ScaleCrop>false</ScaleCrop>
  <LinksUpToDate>false</LinksUpToDate>
  <CharactersWithSpaces>11611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2022-08-19T12:57:00Z</dcterms:created>
  <dc:creator>Mattias</dc:creator>
  <cp:keywords>3GPP; Ericsson; TDoc</cp:keywords>
  <cp:lastModifiedBy>ZTE-Lin Chen</cp:lastModifiedBy>
  <cp:lastPrinted>2008-01-31T07:09:00Z</cp:lastPrinted>
  <dcterms:modified xsi:type="dcterms:W3CDTF">2022-08-19T14:13:51Z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