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B51F4" w14:textId="32808A9C" w:rsidR="00C565E3" w:rsidRPr="00C565E3" w:rsidRDefault="00C565E3" w:rsidP="00C565E3">
      <w:pPr>
        <w:ind w:left="1800" w:hanging="1800"/>
        <w:rPr>
          <w:rFonts w:cs="Arial"/>
          <w:b/>
          <w:sz w:val="28"/>
          <w:szCs w:val="28"/>
        </w:rPr>
      </w:pPr>
      <w:r w:rsidRPr="00C565E3">
        <w:rPr>
          <w:rFonts w:cs="Arial"/>
          <w:b/>
          <w:sz w:val="28"/>
          <w:szCs w:val="28"/>
        </w:rPr>
        <w:t xml:space="preserve">3GPP TSG-RAN WG2 Meeting #119 electronic </w:t>
      </w:r>
      <w:r>
        <w:rPr>
          <w:rFonts w:cs="Arial"/>
          <w:b/>
          <w:sz w:val="28"/>
          <w:szCs w:val="28"/>
        </w:rPr>
        <w:tab/>
      </w:r>
      <w:r>
        <w:rPr>
          <w:rFonts w:cs="Arial"/>
          <w:b/>
          <w:sz w:val="28"/>
          <w:szCs w:val="28"/>
        </w:rPr>
        <w:tab/>
      </w:r>
      <w:r>
        <w:rPr>
          <w:rFonts w:cs="Arial"/>
          <w:b/>
          <w:sz w:val="28"/>
          <w:szCs w:val="28"/>
        </w:rPr>
        <w:tab/>
        <w:t xml:space="preserve">       </w:t>
      </w:r>
      <w:r w:rsidRPr="00C565E3">
        <w:rPr>
          <w:rFonts w:cs="Arial"/>
          <w:b/>
          <w:sz w:val="28"/>
          <w:szCs w:val="28"/>
        </w:rPr>
        <w:t>R2-</w:t>
      </w:r>
      <w:r w:rsidR="007C0083" w:rsidRPr="00C565E3">
        <w:rPr>
          <w:rFonts w:cs="Arial"/>
          <w:b/>
          <w:sz w:val="28"/>
          <w:szCs w:val="28"/>
        </w:rPr>
        <w:t>2</w:t>
      </w:r>
      <w:r w:rsidR="007C0083">
        <w:rPr>
          <w:rFonts w:cs="Arial"/>
          <w:b/>
          <w:sz w:val="28"/>
          <w:szCs w:val="28"/>
        </w:rPr>
        <w:t>208416</w:t>
      </w:r>
    </w:p>
    <w:p w14:paraId="40A32BAA" w14:textId="60AC086A" w:rsidR="00090197" w:rsidRDefault="00C565E3" w:rsidP="00C565E3">
      <w:pPr>
        <w:ind w:left="1800" w:hanging="1800"/>
        <w:rPr>
          <w:b/>
          <w:sz w:val="24"/>
          <w:szCs w:val="24"/>
        </w:rPr>
      </w:pPr>
      <w:r w:rsidRPr="00C565E3">
        <w:rPr>
          <w:rFonts w:cs="Arial"/>
          <w:b/>
          <w:sz w:val="28"/>
          <w:szCs w:val="28"/>
        </w:rPr>
        <w:t xml:space="preserve">Online, </w:t>
      </w:r>
      <w:proofErr w:type="gramStart"/>
      <w:r w:rsidRPr="00C565E3">
        <w:rPr>
          <w:rFonts w:cs="Arial"/>
          <w:b/>
          <w:sz w:val="28"/>
          <w:szCs w:val="28"/>
        </w:rPr>
        <w:t>August,</w:t>
      </w:r>
      <w:proofErr w:type="gramEnd"/>
      <w:r w:rsidRPr="00C565E3">
        <w:rPr>
          <w:rFonts w:cs="Arial"/>
          <w:b/>
          <w:sz w:val="28"/>
          <w:szCs w:val="28"/>
        </w:rPr>
        <w:t xml:space="preserve"> 202</w:t>
      </w:r>
      <w:r>
        <w:rPr>
          <w:rFonts w:cs="Arial"/>
          <w:b/>
          <w:sz w:val="28"/>
          <w:szCs w:val="28"/>
        </w:rPr>
        <w:t>2</w:t>
      </w:r>
    </w:p>
    <w:p w14:paraId="39237C38" w14:textId="77777777" w:rsidR="00C565E3" w:rsidRDefault="00C565E3" w:rsidP="002D479B">
      <w:pPr>
        <w:ind w:left="1800" w:hanging="1800"/>
        <w:rPr>
          <w:b/>
          <w:sz w:val="24"/>
          <w:szCs w:val="24"/>
        </w:rPr>
      </w:pPr>
    </w:p>
    <w:p w14:paraId="4ECEF67E" w14:textId="3E03F6E5"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23655D">
        <w:rPr>
          <w:b/>
          <w:sz w:val="24"/>
          <w:szCs w:val="24"/>
        </w:rPr>
        <w:t>8.1</w:t>
      </w:r>
      <w:r w:rsidR="004627EF">
        <w:rPr>
          <w:b/>
          <w:sz w:val="24"/>
          <w:szCs w:val="24"/>
        </w:rPr>
        <w:t>.</w:t>
      </w:r>
      <w:r w:rsidR="00506EF4">
        <w:rPr>
          <w:b/>
          <w:sz w:val="24"/>
          <w:szCs w:val="24"/>
        </w:rPr>
        <w:t>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68D4FC45"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506EF4">
        <w:rPr>
          <w:b/>
          <w:bCs/>
          <w:sz w:val="24"/>
          <w:szCs w:val="24"/>
        </w:rPr>
        <w:t>Multi-frequency support</w:t>
      </w:r>
      <w:r w:rsidR="00751076" w:rsidRPr="00751076">
        <w:rPr>
          <w:b/>
          <w:bCs/>
          <w:sz w:val="24"/>
          <w:szCs w:val="24"/>
        </w:rPr>
        <w:t xml:space="preserve"> to enable </w:t>
      </w:r>
      <w:r w:rsidR="00506EF4">
        <w:rPr>
          <w:b/>
          <w:bCs/>
          <w:sz w:val="24"/>
          <w:szCs w:val="24"/>
        </w:rPr>
        <w:t xml:space="preserve">control links for NR </w:t>
      </w:r>
      <w:r w:rsidR="00751076" w:rsidRPr="00751076">
        <w:rPr>
          <w:b/>
          <w:bCs/>
          <w:sz w:val="24"/>
          <w:szCs w:val="24"/>
        </w:rPr>
        <w:t>network-controlled repeaters</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592A4841"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08716F">
        <w:rPr>
          <w:rFonts w:ascii="Calibri" w:hAnsi="Calibri" w:cs="Calibri"/>
        </w:rPr>
        <w:t xml:space="preserve">NR Network-controlled Repeaters </w:t>
      </w:r>
      <w:r w:rsidR="00C724F1" w:rsidRPr="00C724F1">
        <w:rPr>
          <w:rFonts w:ascii="Calibri" w:eastAsia="Malgun Gothic" w:hAnsi="Calibri" w:cs="Batang"/>
          <w:lang w:val="en-GB" w:eastAsia="ko-KR"/>
        </w:rPr>
        <w:t xml:space="preserve">[1], 3GPP has agreed </w:t>
      </w:r>
      <w:r w:rsidR="00F44535">
        <w:rPr>
          <w:rFonts w:ascii="Calibri" w:eastAsia="Malgun Gothic" w:hAnsi="Calibri" w:cs="Batang"/>
          <w:lang w:val="en-GB" w:eastAsia="ko-KR"/>
        </w:rPr>
        <w:t xml:space="preserve">to study </w:t>
      </w:r>
      <w:r w:rsidR="0008716F">
        <w:rPr>
          <w:rFonts w:ascii="Calibri" w:eastAsia="Malgun Gothic" w:hAnsi="Calibri" w:cs="Batang"/>
          <w:lang w:val="en-GB" w:eastAsia="ko-KR"/>
        </w:rPr>
        <w:t>enhancements over conve</w:t>
      </w:r>
      <w:r w:rsidR="00D9137B">
        <w:rPr>
          <w:rFonts w:ascii="Calibri" w:eastAsia="Malgun Gothic" w:hAnsi="Calibri" w:cs="Batang"/>
          <w:lang w:val="en-GB" w:eastAsia="ko-KR"/>
        </w:rPr>
        <w:t>n</w:t>
      </w:r>
      <w:r w:rsidR="0008716F">
        <w:rPr>
          <w:rFonts w:ascii="Calibri" w:eastAsia="Malgun Gothic" w:hAnsi="Calibri" w:cs="Batang"/>
          <w:lang w:val="en-GB" w:eastAsia="ko-KR"/>
        </w:rPr>
        <w:t>tion</w:t>
      </w:r>
      <w:r w:rsidR="00D9137B">
        <w:rPr>
          <w:rFonts w:ascii="Calibri" w:eastAsia="Malgun Gothic" w:hAnsi="Calibri" w:cs="Batang"/>
          <w:lang w:val="en-GB" w:eastAsia="ko-KR"/>
        </w:rPr>
        <w:t>al</w:t>
      </w:r>
      <w:r w:rsidR="0008716F">
        <w:rPr>
          <w:rFonts w:ascii="Calibri" w:eastAsia="Malgun Gothic" w:hAnsi="Calibri" w:cs="Batang"/>
          <w:lang w:val="en-GB" w:eastAsia="ko-KR"/>
        </w:rPr>
        <w:t xml:space="preserve"> RF repeaters</w:t>
      </w:r>
      <w:r w:rsidR="00D9137B">
        <w:rPr>
          <w:rFonts w:ascii="Calibri" w:eastAsia="Malgun Gothic" w:hAnsi="Calibri" w:cs="Batang"/>
          <w:lang w:val="en-GB" w:eastAsia="ko-KR"/>
        </w:rPr>
        <w:t xml:space="preserve"> including the following objectives</w:t>
      </w:r>
      <w:r w:rsidR="009B5F13">
        <w:rPr>
          <w:rFonts w:ascii="Calibri" w:eastAsia="Malgun Gothic" w:hAnsi="Calibri" w:cs="Batang"/>
          <w:lang w:val="en-GB" w:eastAsia="ko-KR"/>
        </w:rPr>
        <w:t>:</w:t>
      </w:r>
    </w:p>
    <w:p w14:paraId="0490F462" w14:textId="77777777" w:rsidR="00071942" w:rsidRDefault="00071942" w:rsidP="00071942">
      <w:pPr>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47FC03C8" w14:textId="77777777" w:rsidR="00071942" w:rsidRPr="00916792" w:rsidRDefault="00071942" w:rsidP="00071942">
      <w:pPr>
        <w:numPr>
          <w:ilvl w:val="0"/>
          <w:numId w:val="24"/>
        </w:numPr>
        <w:overflowPunct w:val="0"/>
        <w:autoSpaceDE w:val="0"/>
        <w:autoSpaceDN w:val="0"/>
        <w:adjustRightInd w:val="0"/>
        <w:spacing w:before="0" w:after="0"/>
        <w:jc w:val="left"/>
        <w:textAlignment w:val="baseline"/>
      </w:pPr>
      <w:r>
        <w:rPr>
          <w:iCs/>
        </w:rPr>
        <w:t>Network-controlled</w:t>
      </w:r>
      <w:r w:rsidRPr="009933A1">
        <w:rPr>
          <w:iCs/>
        </w:rPr>
        <w:t xml:space="preserve"> repeaters are </w:t>
      </w:r>
      <w:proofErr w:type="spellStart"/>
      <w:r>
        <w:rPr>
          <w:iCs/>
        </w:rPr>
        <w:t>inband</w:t>
      </w:r>
      <w:proofErr w:type="spellEnd"/>
      <w:r>
        <w:rPr>
          <w:iCs/>
        </w:rPr>
        <w:t xml:space="preserve"> RF repeaters </w:t>
      </w:r>
      <w:r w:rsidRPr="009933A1">
        <w:rPr>
          <w:iCs/>
        </w:rPr>
        <w:t>used for extension of network coverage on FR1 and FR2 bands, while during the study FR2 deployments may be prioritized for both outdoor and O2I scenarios.</w:t>
      </w:r>
    </w:p>
    <w:p w14:paraId="2A29E1A1" w14:textId="77777777" w:rsidR="00071942" w:rsidRPr="00335BC6" w:rsidRDefault="00071942" w:rsidP="00071942">
      <w:pPr>
        <w:numPr>
          <w:ilvl w:val="0"/>
          <w:numId w:val="24"/>
        </w:numPr>
        <w:overflowPunct w:val="0"/>
        <w:autoSpaceDE w:val="0"/>
        <w:autoSpaceDN w:val="0"/>
        <w:adjustRightInd w:val="0"/>
        <w:spacing w:before="0" w:after="0"/>
        <w:jc w:val="left"/>
        <w:textAlignment w:val="baseline"/>
      </w:pPr>
      <w:r w:rsidRPr="006B6E03">
        <w:t xml:space="preserve">For only single hop stationary </w:t>
      </w:r>
      <w:r>
        <w:t>network-controlled</w:t>
      </w:r>
      <w:r w:rsidRPr="006B6E03">
        <w:t xml:space="preserve"> repeaters</w:t>
      </w:r>
    </w:p>
    <w:p w14:paraId="23C1AC64" w14:textId="77777777" w:rsidR="00071942" w:rsidRPr="00826418" w:rsidRDefault="00071942" w:rsidP="00071942">
      <w:pPr>
        <w:numPr>
          <w:ilvl w:val="0"/>
          <w:numId w:val="24"/>
        </w:numPr>
        <w:overflowPunct w:val="0"/>
        <w:autoSpaceDE w:val="0"/>
        <w:autoSpaceDN w:val="0"/>
        <w:adjustRightInd w:val="0"/>
        <w:spacing w:before="0" w:after="0"/>
        <w:jc w:val="left"/>
        <w:textAlignment w:val="baseline"/>
      </w:pPr>
      <w:r>
        <w:t>Network-controlled</w:t>
      </w:r>
      <w:r w:rsidRPr="00826418">
        <w:t xml:space="preserve"> repeaters are transparent to UEs</w:t>
      </w:r>
    </w:p>
    <w:p w14:paraId="57FF3611" w14:textId="77777777" w:rsidR="00071942" w:rsidRPr="00335BC6" w:rsidRDefault="00071942" w:rsidP="00071942">
      <w:pPr>
        <w:numPr>
          <w:ilvl w:val="0"/>
          <w:numId w:val="24"/>
        </w:numPr>
        <w:overflowPunct w:val="0"/>
        <w:autoSpaceDE w:val="0"/>
        <w:autoSpaceDN w:val="0"/>
        <w:adjustRightInd w:val="0"/>
        <w:spacing w:before="0" w:after="0"/>
        <w:jc w:val="left"/>
        <w:textAlignment w:val="baseline"/>
      </w:pPr>
      <w:r>
        <w:t>Network-controlled</w:t>
      </w:r>
      <w:r w:rsidRPr="006B6E03">
        <w:t xml:space="preserve"> repeater can maintain the </w:t>
      </w:r>
      <w:proofErr w:type="spellStart"/>
      <w:r w:rsidRPr="006B6E03">
        <w:t>gNB</w:t>
      </w:r>
      <w:proofErr w:type="spellEnd"/>
      <w:r w:rsidRPr="006B6E03">
        <w:t>-repeater link and repeater-UE link simultaneously</w:t>
      </w:r>
    </w:p>
    <w:p w14:paraId="74CA1DCA" w14:textId="77777777" w:rsidR="00071942" w:rsidRPr="00335BC6" w:rsidRDefault="00071942" w:rsidP="00071942">
      <w:pPr>
        <w:spacing w:after="0"/>
        <w:ind w:left="360"/>
      </w:pPr>
      <w:r>
        <w:t xml:space="preserve">NOTE1: </w:t>
      </w:r>
      <w:r w:rsidRPr="006B6E03">
        <w:t xml:space="preserve">Cost efficiency is a key consideration point for </w:t>
      </w:r>
      <w:r>
        <w:t>network-controlled</w:t>
      </w:r>
      <w:r w:rsidRPr="006B6E03">
        <w:t xml:space="preserve"> repeaters</w:t>
      </w:r>
      <w:r>
        <w:t>.</w:t>
      </w:r>
    </w:p>
    <w:p w14:paraId="08E5B2A4" w14:textId="77777777" w:rsidR="00071942" w:rsidRPr="00335BC6" w:rsidRDefault="00071942" w:rsidP="00071942">
      <w:pPr>
        <w:spacing w:after="0"/>
        <w:rPr>
          <w:lang w:eastAsia="ko-KR"/>
        </w:rPr>
      </w:pPr>
    </w:p>
    <w:p w14:paraId="6F02F28D" w14:textId="77777777" w:rsidR="00071942" w:rsidRPr="00335BC6" w:rsidRDefault="00071942" w:rsidP="00071942">
      <w:pPr>
        <w:spacing w:after="0"/>
      </w:pPr>
      <w:r w:rsidRPr="006B6E03">
        <w:t>Study and i</w:t>
      </w:r>
      <w:r w:rsidRPr="000A2FEA">
        <w:t xml:space="preserve">dentify which side control information </w:t>
      </w:r>
      <w:r w:rsidRPr="009933A1">
        <w:rPr>
          <w:color w:val="000000"/>
        </w:rPr>
        <w:t>below</w:t>
      </w:r>
      <w:r w:rsidRPr="000A2FEA">
        <w:t xml:space="preserve"> is necessary for </w:t>
      </w:r>
      <w:r>
        <w:t>network-controlled</w:t>
      </w:r>
      <w:r w:rsidRPr="000A2FEA">
        <w:t xml:space="preserve"> repeaters </w:t>
      </w:r>
      <w:r w:rsidRPr="009933A1">
        <w:rPr>
          <w:color w:val="000000"/>
        </w:rPr>
        <w:t>including assumption of max transmission power</w:t>
      </w:r>
      <w:r w:rsidRPr="007A2B97">
        <w:rPr>
          <w:color w:val="000000"/>
        </w:rPr>
        <w:t xml:space="preserve"> </w:t>
      </w:r>
      <w:r w:rsidRPr="000A2FEA">
        <w:t>[RAN1]</w:t>
      </w:r>
    </w:p>
    <w:p w14:paraId="5F1FF52B" w14:textId="77777777" w:rsidR="00071942" w:rsidRPr="006B6E03" w:rsidRDefault="00071942" w:rsidP="00071942">
      <w:pPr>
        <w:numPr>
          <w:ilvl w:val="0"/>
          <w:numId w:val="24"/>
        </w:numPr>
        <w:overflowPunct w:val="0"/>
        <w:autoSpaceDE w:val="0"/>
        <w:autoSpaceDN w:val="0"/>
        <w:adjustRightInd w:val="0"/>
        <w:spacing w:before="0" w:after="0"/>
        <w:jc w:val="left"/>
        <w:textAlignment w:val="baseline"/>
      </w:pPr>
      <w:r w:rsidRPr="006B6E03">
        <w:t>Beamforming information</w:t>
      </w:r>
    </w:p>
    <w:p w14:paraId="680D6CD4" w14:textId="77777777" w:rsidR="00071942" w:rsidRPr="006B6E03" w:rsidRDefault="00071942" w:rsidP="00071942">
      <w:pPr>
        <w:numPr>
          <w:ilvl w:val="0"/>
          <w:numId w:val="24"/>
        </w:numPr>
        <w:overflowPunct w:val="0"/>
        <w:autoSpaceDE w:val="0"/>
        <w:autoSpaceDN w:val="0"/>
        <w:adjustRightInd w:val="0"/>
        <w:spacing w:before="0" w:after="0"/>
        <w:jc w:val="left"/>
        <w:textAlignment w:val="baseline"/>
      </w:pPr>
      <w:r w:rsidRPr="006B6E03">
        <w:t xml:space="preserve">Timing information to align transmission / reception boundaries of </w:t>
      </w:r>
      <w:r>
        <w:t>network-controlled</w:t>
      </w:r>
      <w:r w:rsidRPr="006B6E03">
        <w:t xml:space="preserve"> repeater</w:t>
      </w:r>
    </w:p>
    <w:p w14:paraId="6614E4AB" w14:textId="77777777" w:rsidR="00071942" w:rsidRPr="006B6E03" w:rsidRDefault="00071942" w:rsidP="00071942">
      <w:pPr>
        <w:numPr>
          <w:ilvl w:val="0"/>
          <w:numId w:val="24"/>
        </w:numPr>
        <w:overflowPunct w:val="0"/>
        <w:autoSpaceDE w:val="0"/>
        <w:autoSpaceDN w:val="0"/>
        <w:adjustRightInd w:val="0"/>
        <w:spacing w:before="0" w:after="0"/>
        <w:jc w:val="left"/>
        <w:textAlignment w:val="baseline"/>
      </w:pPr>
      <w:r w:rsidRPr="006B6E03">
        <w:t>Information on UL-DL TDD configuration</w:t>
      </w:r>
    </w:p>
    <w:p w14:paraId="4A95644A" w14:textId="77777777" w:rsidR="00071942" w:rsidRPr="007A2B97" w:rsidRDefault="00071942" w:rsidP="00071942">
      <w:pPr>
        <w:numPr>
          <w:ilvl w:val="0"/>
          <w:numId w:val="24"/>
        </w:numPr>
        <w:overflowPunct w:val="0"/>
        <w:autoSpaceDE w:val="0"/>
        <w:autoSpaceDN w:val="0"/>
        <w:adjustRightInd w:val="0"/>
        <w:spacing w:before="0" w:after="0"/>
        <w:jc w:val="left"/>
        <w:textAlignment w:val="baseline"/>
        <w:rPr>
          <w:color w:val="000000"/>
        </w:rPr>
      </w:pPr>
      <w:r w:rsidRPr="006B6E03">
        <w:t>ON-OFF information for efficient interference management and improved energy efficiency</w:t>
      </w:r>
    </w:p>
    <w:p w14:paraId="60354180" w14:textId="77777777" w:rsidR="00071942" w:rsidRPr="009933A1" w:rsidRDefault="00071942" w:rsidP="00071942">
      <w:pPr>
        <w:numPr>
          <w:ilvl w:val="0"/>
          <w:numId w:val="24"/>
        </w:numPr>
        <w:overflowPunct w:val="0"/>
        <w:autoSpaceDE w:val="0"/>
        <w:autoSpaceDN w:val="0"/>
        <w:adjustRightInd w:val="0"/>
        <w:spacing w:before="0" w:after="0"/>
        <w:jc w:val="left"/>
        <w:textAlignment w:val="baseline"/>
        <w:rPr>
          <w:color w:val="000000"/>
        </w:rPr>
      </w:pPr>
      <w:r w:rsidRPr="009933A1">
        <w:rPr>
          <w:color w:val="000000"/>
        </w:rPr>
        <w:t>Power control information for efficient interference management</w:t>
      </w:r>
      <w:r w:rsidRPr="007A2B97">
        <w:rPr>
          <w:color w:val="000000"/>
        </w:rPr>
        <w:t xml:space="preserve"> (as the 2</w:t>
      </w:r>
      <w:r w:rsidRPr="009933A1">
        <w:rPr>
          <w:color w:val="000000"/>
          <w:vertAlign w:val="superscript"/>
        </w:rPr>
        <w:t>nd</w:t>
      </w:r>
      <w:r w:rsidRPr="007A2B97">
        <w:rPr>
          <w:color w:val="000000"/>
        </w:rPr>
        <w:t xml:space="preserve"> priority)</w:t>
      </w:r>
    </w:p>
    <w:p w14:paraId="761EA470" w14:textId="77777777" w:rsidR="00071942" w:rsidRPr="00661787" w:rsidRDefault="00071942" w:rsidP="00071942">
      <w:pPr>
        <w:spacing w:after="0"/>
      </w:pPr>
      <w:r w:rsidRPr="00656598">
        <w:t xml:space="preserve">Study and identify </w:t>
      </w:r>
      <w:r>
        <w:t xml:space="preserve">L1/L2 </w:t>
      </w:r>
      <w:r w:rsidRPr="00656598">
        <w:t>signaling</w:t>
      </w:r>
      <w:r>
        <w:t xml:space="preserve"> (including its configuration)</w:t>
      </w:r>
      <w:r w:rsidRPr="00656598">
        <w:t xml:space="preserve"> to carry the side control information [RAN1]</w:t>
      </w:r>
    </w:p>
    <w:p w14:paraId="3D787061" w14:textId="35ABA58B" w:rsidR="00795A55" w:rsidRDefault="00795A55" w:rsidP="00795A55">
      <w:pPr>
        <w:pStyle w:val="Doc-text2"/>
        <w:ind w:left="0" w:firstLine="0"/>
        <w:rPr>
          <w:rFonts w:ascii="Calibri" w:eastAsia="Malgun Gothic" w:hAnsi="Calibri" w:cs="Batang"/>
          <w:lang w:val="en-GB" w:eastAsia="ko-KR"/>
        </w:rPr>
      </w:pPr>
    </w:p>
    <w:p w14:paraId="084904BB" w14:textId="7AA4DD12" w:rsidR="00F765DB" w:rsidRPr="00045AED" w:rsidRDefault="00F765DB"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This contribution</w:t>
      </w:r>
      <w:r w:rsidR="00506EF4">
        <w:rPr>
          <w:rFonts w:ascii="Calibri" w:eastAsia="Malgun Gothic" w:hAnsi="Calibri" w:cs="Batang"/>
          <w:lang w:val="en-GB" w:eastAsia="ko-KR"/>
        </w:rPr>
        <w:t xml:space="preserve"> discusses the </w:t>
      </w:r>
      <w:r w:rsidR="00166479">
        <w:rPr>
          <w:rFonts w:ascii="Calibri" w:eastAsia="Malgun Gothic" w:hAnsi="Calibri" w:cs="Batang"/>
          <w:lang w:val="en-GB" w:eastAsia="ko-KR"/>
        </w:rPr>
        <w:t>need and benefits for multi-frequency support for the control link</w:t>
      </w:r>
      <w:r w:rsidR="00071942">
        <w:rPr>
          <w:rFonts w:ascii="Calibri" w:eastAsia="Malgun Gothic" w:hAnsi="Calibri" w:cs="Batang"/>
          <w:lang w:val="en-GB" w:eastAsia="ko-KR"/>
        </w:rPr>
        <w:t xml:space="preserve"> for NR network-controlled repeaters</w:t>
      </w:r>
      <w:r w:rsidR="00166479">
        <w:rPr>
          <w:rFonts w:ascii="Calibri" w:eastAsia="Malgun Gothic" w:hAnsi="Calibri" w:cs="Batang"/>
          <w:lang w:val="en-GB" w:eastAsia="ko-KR"/>
        </w:rPr>
        <w:t xml:space="preserve"> </w:t>
      </w:r>
      <w:r w:rsidR="007814F3">
        <w:rPr>
          <w:rFonts w:ascii="Calibri" w:eastAsia="Malgun Gothic" w:hAnsi="Calibri" w:cs="Batang"/>
          <w:lang w:val="en-GB" w:eastAsia="ko-KR"/>
        </w:rPr>
        <w:t>during the</w:t>
      </w:r>
      <w:r w:rsidR="00321FC4" w:rsidRPr="00321FC4">
        <w:rPr>
          <w:rFonts w:ascii="Calibri" w:eastAsia="Malgun Gothic" w:hAnsi="Calibri" w:cs="Batang"/>
          <w:lang w:val="en-GB" w:eastAsia="ko-KR"/>
        </w:rPr>
        <w:t xml:space="preserve"> </w:t>
      </w:r>
      <w:r w:rsidR="007814F3">
        <w:rPr>
          <w:rFonts w:ascii="Calibri" w:eastAsia="Malgun Gothic" w:hAnsi="Calibri" w:cs="Batang"/>
          <w:lang w:val="en-GB" w:eastAsia="ko-KR"/>
        </w:rPr>
        <w:t>initial access</w:t>
      </w:r>
      <w:r w:rsidR="00321FC4" w:rsidRPr="00321FC4">
        <w:rPr>
          <w:rFonts w:ascii="Calibri" w:eastAsia="Malgun Gothic" w:hAnsi="Calibri" w:cs="Batang"/>
          <w:lang w:val="en-GB" w:eastAsia="ko-KR"/>
        </w:rPr>
        <w:t xml:space="preserve"> and authorization of network-controlled repeaters</w:t>
      </w:r>
      <w:r w:rsidR="00071942">
        <w:rPr>
          <w:rFonts w:ascii="Calibri" w:eastAsia="Malgun Gothic" w:hAnsi="Calibri" w:cs="Batang"/>
          <w:lang w:val="en-GB" w:eastAsia="ko-KR"/>
        </w:rPr>
        <w:t>.</w:t>
      </w:r>
    </w:p>
    <w:p w14:paraId="6CB6A382" w14:textId="77777777" w:rsidR="00F765DB" w:rsidRDefault="00F765DB" w:rsidP="00EE2068">
      <w:pPr>
        <w:pStyle w:val="maintext"/>
        <w:ind w:firstLineChars="0" w:firstLine="0"/>
        <w:rPr>
          <w:rFonts w:ascii="Calibri" w:hAnsi="Calibri"/>
        </w:rPr>
      </w:pPr>
    </w:p>
    <w:p w14:paraId="4600A3D6" w14:textId="0047A7CF" w:rsidR="00346605" w:rsidRPr="00172743" w:rsidRDefault="00544843" w:rsidP="00326FF6">
      <w:pPr>
        <w:pStyle w:val="Heading1"/>
      </w:pPr>
      <w:r>
        <w:t>Side control information for NR network-controlled repeaters</w:t>
      </w:r>
    </w:p>
    <w:p w14:paraId="70665811" w14:textId="4FFFA624" w:rsidR="00115E2D" w:rsidRDefault="00115E2D" w:rsidP="00115E2D">
      <w:pPr>
        <w:spacing w:after="60" w:line="288" w:lineRule="auto"/>
        <w:rPr>
          <w:rFonts w:ascii="Calibri" w:eastAsia="Malgun Gothic" w:hAnsi="Calibri" w:cs="Batang"/>
          <w:lang w:val="en-GB" w:eastAsia="ko-KR"/>
        </w:rPr>
      </w:pPr>
      <w:r w:rsidRPr="001C22A7">
        <w:rPr>
          <w:rFonts w:ascii="Calibri" w:eastAsia="Malgun Gothic" w:hAnsi="Calibri" w:cs="Batang"/>
          <w:lang w:val="en-GB" w:eastAsia="ko-KR"/>
        </w:rPr>
        <w:t>Due to the expected larger bandwidth available for NR compared to LTE (e.g.</w:t>
      </w:r>
      <w:r w:rsidR="00611A88">
        <w:rPr>
          <w:rFonts w:ascii="Calibri" w:eastAsia="Malgun Gothic" w:hAnsi="Calibri" w:cs="Batang"/>
          <w:lang w:val="en-GB" w:eastAsia="ko-KR"/>
        </w:rPr>
        <w:t>,</w:t>
      </w:r>
      <w:r w:rsidRPr="001C22A7">
        <w:rPr>
          <w:rFonts w:ascii="Calibri" w:eastAsia="Malgun Gothic" w:hAnsi="Calibri" w:cs="Batang"/>
          <w:lang w:val="en-GB" w:eastAsia="ko-KR"/>
        </w:rPr>
        <w:t xml:space="preserve"> </w:t>
      </w:r>
      <w:proofErr w:type="spellStart"/>
      <w:r w:rsidRPr="001C22A7">
        <w:rPr>
          <w:rFonts w:ascii="Calibri" w:eastAsia="Malgun Gothic" w:hAnsi="Calibri" w:cs="Batang"/>
          <w:lang w:val="en-GB" w:eastAsia="ko-KR"/>
        </w:rPr>
        <w:t>mmWave</w:t>
      </w:r>
      <w:proofErr w:type="spellEnd"/>
      <w:r w:rsidRPr="001C22A7">
        <w:rPr>
          <w:rFonts w:ascii="Calibri" w:eastAsia="Malgun Gothic" w:hAnsi="Calibri" w:cs="Batang"/>
          <w:lang w:val="en-GB" w:eastAsia="ko-KR"/>
        </w:rPr>
        <w:t xml:space="preserve"> spectrum) along with the native deployment of massive MIMO or multi-beam systems in NR, there is now an opportunity to develop and deploy </w:t>
      </w:r>
      <w:r>
        <w:rPr>
          <w:rFonts w:ascii="Calibri" w:eastAsia="Malgun Gothic" w:hAnsi="Calibri" w:cs="Batang"/>
          <w:lang w:val="en-GB" w:eastAsia="ko-KR"/>
        </w:rPr>
        <w:t xml:space="preserve">network controlled </w:t>
      </w:r>
      <w:r w:rsidRPr="001C22A7">
        <w:rPr>
          <w:rFonts w:ascii="Calibri" w:eastAsia="Malgun Gothic" w:hAnsi="Calibri" w:cs="Batang"/>
          <w:lang w:val="en-GB" w:eastAsia="ko-KR"/>
        </w:rPr>
        <w:t>repeaters (</w:t>
      </w:r>
      <w:r>
        <w:rPr>
          <w:rFonts w:ascii="Calibri" w:eastAsia="Malgun Gothic" w:hAnsi="Calibri" w:cs="Batang"/>
          <w:lang w:val="en-GB" w:eastAsia="ko-KR"/>
        </w:rPr>
        <w:t>e.g.</w:t>
      </w:r>
      <w:r w:rsidR="00611A88">
        <w:rPr>
          <w:rFonts w:ascii="Calibri" w:eastAsia="Malgun Gothic" w:hAnsi="Calibri" w:cs="Batang"/>
          <w:lang w:val="en-GB" w:eastAsia="ko-KR"/>
        </w:rPr>
        <w:t>,</w:t>
      </w:r>
      <w:r>
        <w:rPr>
          <w:rFonts w:ascii="Calibri" w:eastAsia="Malgun Gothic" w:hAnsi="Calibri" w:cs="Batang"/>
          <w:lang w:val="en-GB" w:eastAsia="ko-KR"/>
        </w:rPr>
        <w:t xml:space="preserve"> “smart” repeaters</w:t>
      </w:r>
      <w:r w:rsidRPr="001C22A7">
        <w:rPr>
          <w:rFonts w:ascii="Calibri" w:eastAsia="Malgun Gothic" w:hAnsi="Calibri" w:cs="Batang"/>
          <w:lang w:val="en-GB" w:eastAsia="ko-KR"/>
        </w:rPr>
        <w:t xml:space="preserve">) </w:t>
      </w:r>
      <w:r>
        <w:rPr>
          <w:rFonts w:ascii="Calibri" w:eastAsia="Malgun Gothic" w:hAnsi="Calibri" w:cs="Batang"/>
          <w:lang w:val="en-GB" w:eastAsia="ko-KR"/>
        </w:rPr>
        <w:t>which utilize</w:t>
      </w:r>
      <w:r w:rsidRPr="001C22A7">
        <w:rPr>
          <w:rFonts w:ascii="Calibri" w:eastAsia="Malgun Gothic" w:hAnsi="Calibri" w:cs="Batang"/>
          <w:lang w:val="en-GB" w:eastAsia="ko-KR"/>
        </w:rPr>
        <w:t xml:space="preserve"> </w:t>
      </w:r>
      <w:r>
        <w:rPr>
          <w:rFonts w:ascii="Calibri" w:eastAsia="Malgun Gothic" w:hAnsi="Calibri" w:cs="Batang"/>
          <w:lang w:val="en-GB" w:eastAsia="ko-KR"/>
        </w:rPr>
        <w:t>an amplify-and-forward</w:t>
      </w:r>
      <w:r w:rsidRPr="001C22A7">
        <w:rPr>
          <w:rFonts w:ascii="Calibri" w:eastAsia="Malgun Gothic" w:hAnsi="Calibri" w:cs="Batang"/>
          <w:lang w:val="en-GB" w:eastAsia="ko-KR"/>
        </w:rPr>
        <w:t xml:space="preserve"> approach to take the DL signal from a donor cell (e.g.</w:t>
      </w:r>
      <w:r w:rsidR="00611A88">
        <w:rPr>
          <w:rFonts w:ascii="Calibri" w:eastAsia="Malgun Gothic" w:hAnsi="Calibri" w:cs="Batang"/>
          <w:lang w:val="en-GB" w:eastAsia="ko-KR"/>
        </w:rPr>
        <w:t>,</w:t>
      </w:r>
      <w:r w:rsidRPr="001C22A7">
        <w:rPr>
          <w:rFonts w:ascii="Calibri" w:eastAsia="Malgun Gothic" w:hAnsi="Calibri" w:cs="Batang"/>
          <w:lang w:val="en-GB" w:eastAsia="ko-KR"/>
        </w:rPr>
        <w:t xml:space="preserve"> macro </w:t>
      </w:r>
      <w:proofErr w:type="spellStart"/>
      <w:r>
        <w:rPr>
          <w:rFonts w:ascii="Calibri" w:eastAsia="Malgun Gothic" w:hAnsi="Calibri" w:cs="Batang"/>
          <w:lang w:val="en-GB" w:eastAsia="ko-KR"/>
        </w:rPr>
        <w:t>gNB</w:t>
      </w:r>
      <w:proofErr w:type="spellEnd"/>
      <w:r w:rsidRPr="001C22A7">
        <w:rPr>
          <w:rFonts w:ascii="Calibri" w:eastAsia="Malgun Gothic" w:hAnsi="Calibri" w:cs="Batang"/>
          <w:lang w:val="en-GB" w:eastAsia="ko-KR"/>
        </w:rPr>
        <w:t xml:space="preserve">) and provide it to users which may be beyond the coverage of the donor cell. Additionally, the </w:t>
      </w:r>
      <w:r w:rsidR="0006696B">
        <w:rPr>
          <w:rFonts w:ascii="Calibri" w:eastAsia="Malgun Gothic" w:hAnsi="Calibri" w:cs="Batang"/>
          <w:lang w:val="en-GB" w:eastAsia="ko-KR"/>
        </w:rPr>
        <w:t>NCR</w:t>
      </w:r>
      <w:r w:rsidRPr="001C22A7">
        <w:rPr>
          <w:rFonts w:ascii="Calibri" w:eastAsia="Malgun Gothic" w:hAnsi="Calibri" w:cs="Batang"/>
          <w:lang w:val="en-GB" w:eastAsia="ko-KR"/>
        </w:rPr>
        <w:t xml:space="preserve"> can provide the UL signal from the user device to its serving cell</w:t>
      </w:r>
      <w:r>
        <w:rPr>
          <w:rFonts w:ascii="Calibri" w:eastAsia="Malgun Gothic" w:hAnsi="Calibri" w:cs="Batang"/>
          <w:lang w:val="en-GB" w:eastAsia="ko-KR"/>
        </w:rPr>
        <w:t xml:space="preserve"> in a transparent manner</w:t>
      </w:r>
      <w:r w:rsidRPr="001C22A7">
        <w:rPr>
          <w:rFonts w:ascii="Calibri" w:eastAsia="Malgun Gothic" w:hAnsi="Calibri" w:cs="Batang"/>
          <w:lang w:val="en-GB" w:eastAsia="ko-KR"/>
        </w:rPr>
        <w:t xml:space="preserve">. This may allow easier deployment of a dense network of access points </w:t>
      </w:r>
      <w:r>
        <w:rPr>
          <w:rFonts w:ascii="Calibri" w:eastAsia="Malgun Gothic" w:hAnsi="Calibri" w:cs="Batang"/>
          <w:lang w:val="en-GB" w:eastAsia="ko-KR"/>
        </w:rPr>
        <w:t>as shown in Figure 1.</w:t>
      </w:r>
    </w:p>
    <w:p w14:paraId="7CD00B4C" w14:textId="39325EA5" w:rsidR="001C22A7" w:rsidRDefault="00B11C29" w:rsidP="00115E2D">
      <w:pPr>
        <w:spacing w:after="60" w:line="288" w:lineRule="auto"/>
        <w:jc w:val="center"/>
        <w:rPr>
          <w:rFonts w:ascii="Times New Roman" w:eastAsia="Malgun Gothic" w:hAnsi="Times New Roman" w:cs="Batang"/>
          <w:b/>
          <w:lang w:eastAsia="ko-KR"/>
        </w:rPr>
      </w:pPr>
      <w:r w:rsidRPr="00B11C29">
        <w:rPr>
          <w:rFonts w:ascii="Times New Roman" w:eastAsia="Malgun Gothic" w:hAnsi="Times New Roman" w:cs="Batang"/>
          <w:b/>
          <w:noProof/>
          <w:lang w:eastAsia="ko-KR"/>
        </w:rPr>
        <w:lastRenderedPageBreak/>
        <w:drawing>
          <wp:inline distT="0" distB="0" distL="0" distR="0" wp14:anchorId="5C65B97B" wp14:editId="0EE6BC76">
            <wp:extent cx="3675631" cy="3022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82085" cy="3027908"/>
                    </a:xfrm>
                    <a:prstGeom prst="rect">
                      <a:avLst/>
                    </a:prstGeom>
                  </pic:spPr>
                </pic:pic>
              </a:graphicData>
            </a:graphic>
          </wp:inline>
        </w:drawing>
      </w:r>
    </w:p>
    <w:p w14:paraId="544E5EFD" w14:textId="0AEDCC71" w:rsidR="001C22A7" w:rsidRPr="00A81AFF" w:rsidRDefault="001C22A7" w:rsidP="001C22A7">
      <w:pPr>
        <w:jc w:val="center"/>
        <w:rPr>
          <w:rFonts w:asciiTheme="minorHAnsi" w:hAnsiTheme="minorHAnsi" w:cstheme="minorHAnsi"/>
          <w:b/>
        </w:rPr>
      </w:pPr>
      <w:r w:rsidRPr="00A81AFF">
        <w:rPr>
          <w:rFonts w:asciiTheme="minorHAnsi" w:hAnsiTheme="minorHAnsi" w:cstheme="minorHAnsi"/>
          <w:b/>
        </w:rPr>
        <w:t xml:space="preserve">Figure 1: </w:t>
      </w:r>
      <w:r w:rsidR="00EA219F" w:rsidRPr="00A81AFF">
        <w:rPr>
          <w:rFonts w:asciiTheme="minorHAnsi" w:hAnsiTheme="minorHAnsi" w:cstheme="minorHAnsi"/>
          <w:b/>
        </w:rPr>
        <w:t>Network-controlled</w:t>
      </w:r>
      <w:r w:rsidRPr="00A81AFF">
        <w:rPr>
          <w:rFonts w:asciiTheme="minorHAnsi" w:hAnsiTheme="minorHAnsi" w:cstheme="minorHAnsi"/>
          <w:b/>
        </w:rPr>
        <w:t xml:space="preserve"> repeater access and </w:t>
      </w:r>
      <w:r w:rsidR="00141C15">
        <w:rPr>
          <w:rFonts w:asciiTheme="minorHAnsi" w:hAnsiTheme="minorHAnsi" w:cstheme="minorHAnsi"/>
          <w:b/>
        </w:rPr>
        <w:t>backhaul</w:t>
      </w:r>
      <w:r w:rsidRPr="00A81AFF">
        <w:rPr>
          <w:rFonts w:asciiTheme="minorHAnsi" w:hAnsiTheme="minorHAnsi" w:cstheme="minorHAnsi"/>
          <w:b/>
        </w:rPr>
        <w:t xml:space="preserve"> links</w:t>
      </w:r>
    </w:p>
    <w:p w14:paraId="40E89A12" w14:textId="77777777" w:rsidR="00EA219F" w:rsidRDefault="00EA219F" w:rsidP="00EA219F">
      <w:pPr>
        <w:rPr>
          <w:rFonts w:ascii="Calibri" w:eastAsia="Malgun Gothic" w:hAnsi="Calibri" w:cs="Batang"/>
          <w:lang w:val="en-GB" w:eastAsia="ko-KR"/>
        </w:rPr>
      </w:pPr>
    </w:p>
    <w:p w14:paraId="4B1A47BD" w14:textId="0FB50056" w:rsidR="00B11C29" w:rsidRDefault="0047793F" w:rsidP="0006696B">
      <w:pPr>
        <w:pStyle w:val="maintext"/>
        <w:ind w:firstLineChars="0" w:firstLine="0"/>
        <w:rPr>
          <w:rFonts w:ascii="Calibri" w:hAnsi="Calibri"/>
        </w:rPr>
      </w:pPr>
      <w:r>
        <w:rPr>
          <w:rFonts w:ascii="Calibri" w:hAnsi="Calibri"/>
        </w:rPr>
        <w:t>While the</w:t>
      </w:r>
      <w:r w:rsidR="00A07EAB" w:rsidRPr="00A07EAB">
        <w:rPr>
          <w:rFonts w:ascii="Calibri" w:hAnsi="Calibri"/>
        </w:rPr>
        <w:t xml:space="preserve"> deployment of the repeater increase</w:t>
      </w:r>
      <w:r w:rsidR="008222F9">
        <w:rPr>
          <w:rFonts w:ascii="Calibri" w:hAnsi="Calibri"/>
        </w:rPr>
        <w:t>s</w:t>
      </w:r>
      <w:r w:rsidR="00A07EAB" w:rsidRPr="00A07EAB">
        <w:rPr>
          <w:rFonts w:ascii="Calibri" w:hAnsi="Calibri"/>
        </w:rPr>
        <w:t xml:space="preserve"> the strength of </w:t>
      </w:r>
      <w:r w:rsidR="008222F9">
        <w:rPr>
          <w:rFonts w:ascii="Calibri" w:hAnsi="Calibri"/>
        </w:rPr>
        <w:t xml:space="preserve">the signal transmitted by </w:t>
      </w:r>
      <w:r w:rsidR="00A07EAB" w:rsidRPr="00A07EAB">
        <w:rPr>
          <w:rFonts w:ascii="Calibri" w:hAnsi="Calibri"/>
        </w:rPr>
        <w:t xml:space="preserve">the donor </w:t>
      </w:r>
      <w:proofErr w:type="spellStart"/>
      <w:r w:rsidR="00115E2D">
        <w:rPr>
          <w:rFonts w:ascii="Calibri" w:hAnsi="Calibri"/>
        </w:rPr>
        <w:t>gNB</w:t>
      </w:r>
      <w:proofErr w:type="spellEnd"/>
      <w:r w:rsidR="00A07EAB" w:rsidRPr="00A07EAB">
        <w:rPr>
          <w:rFonts w:ascii="Calibri" w:hAnsi="Calibri"/>
        </w:rPr>
        <w:t xml:space="preserve">, it may also potentially increase interference to </w:t>
      </w:r>
      <w:proofErr w:type="spellStart"/>
      <w:r w:rsidR="00A07EAB" w:rsidRPr="00A07EAB">
        <w:rPr>
          <w:rFonts w:ascii="Calibri" w:hAnsi="Calibri"/>
        </w:rPr>
        <w:t>neighbor</w:t>
      </w:r>
      <w:proofErr w:type="spellEnd"/>
      <w:r w:rsidR="00A07EAB" w:rsidRPr="00A07EAB">
        <w:rPr>
          <w:rFonts w:ascii="Calibri" w:hAnsi="Calibri"/>
        </w:rPr>
        <w:t xml:space="preserve"> cells</w:t>
      </w:r>
      <w:r w:rsidR="008222F9">
        <w:rPr>
          <w:rFonts w:ascii="Calibri" w:hAnsi="Calibri"/>
        </w:rPr>
        <w:t>.</w:t>
      </w:r>
      <w:r w:rsidR="00A07EAB" w:rsidRPr="00A07EAB">
        <w:rPr>
          <w:rFonts w:ascii="Calibri" w:hAnsi="Calibri"/>
        </w:rPr>
        <w:t xml:space="preserve"> </w:t>
      </w:r>
      <w:r w:rsidR="008222F9">
        <w:rPr>
          <w:rFonts w:ascii="Calibri" w:hAnsi="Calibri"/>
        </w:rPr>
        <w:t>T</w:t>
      </w:r>
      <w:r w:rsidR="00A07EAB" w:rsidRPr="00A07EAB">
        <w:rPr>
          <w:rFonts w:ascii="Calibri" w:hAnsi="Calibri"/>
        </w:rPr>
        <w:t xml:space="preserve">he repeater transmissions </w:t>
      </w:r>
      <w:r w:rsidR="008222F9">
        <w:rPr>
          <w:rFonts w:ascii="Calibri" w:hAnsi="Calibri"/>
        </w:rPr>
        <w:t xml:space="preserve">must </w:t>
      </w:r>
      <w:r w:rsidR="00A07EAB" w:rsidRPr="00A07EAB">
        <w:rPr>
          <w:rFonts w:ascii="Calibri" w:hAnsi="Calibri"/>
        </w:rPr>
        <w:t xml:space="preserve">also be carefully time-aligned with the transmissions from the donor in order avoid cross-link interference between DL and UL signals, especially in the case of networks operating on time-division duplex (TDD) bands. Furthermore, the utilization of dynamic </w:t>
      </w:r>
      <w:proofErr w:type="spellStart"/>
      <w:r w:rsidR="00A07EAB" w:rsidRPr="00A07EAB">
        <w:rPr>
          <w:rFonts w:ascii="Calibri" w:hAnsi="Calibri"/>
        </w:rPr>
        <w:t>analog</w:t>
      </w:r>
      <w:proofErr w:type="spellEnd"/>
      <w:r w:rsidR="00A07EAB" w:rsidRPr="00A07EAB">
        <w:rPr>
          <w:rFonts w:ascii="Calibri" w:hAnsi="Calibri"/>
        </w:rPr>
        <w:t xml:space="preserve"> and digital beamforming at </w:t>
      </w:r>
      <w:proofErr w:type="spellStart"/>
      <w:r w:rsidR="00A07EAB" w:rsidRPr="00A07EAB">
        <w:rPr>
          <w:rFonts w:ascii="Calibri" w:hAnsi="Calibri"/>
        </w:rPr>
        <w:t>gNBs</w:t>
      </w:r>
      <w:proofErr w:type="spellEnd"/>
      <w:r w:rsidR="00A07EAB" w:rsidRPr="00A07EAB">
        <w:rPr>
          <w:rFonts w:ascii="Calibri" w:hAnsi="Calibri"/>
        </w:rPr>
        <w:t xml:space="preserve"> and UEs makes the deployment and management of conventional repeaters much more challenging since the adaptation of the beamforming pattern and any sweeping of beams for control and access is dynamically managed over-the-air (OTA) and in some cases user-specific (e.g.</w:t>
      </w:r>
      <w:r w:rsidR="008222F9">
        <w:rPr>
          <w:rFonts w:ascii="Calibri" w:hAnsi="Calibri"/>
        </w:rPr>
        <w:t>,</w:t>
      </w:r>
      <w:r w:rsidR="00A07EAB" w:rsidRPr="00A07EAB">
        <w:rPr>
          <w:rFonts w:ascii="Calibri" w:hAnsi="Calibri"/>
        </w:rPr>
        <w:t xml:space="preserve"> for CSI acquisition and data plane transmissions). As a result, there is a need for OTA configuration and management of </w:t>
      </w:r>
      <w:r w:rsidR="008222F9">
        <w:rPr>
          <w:rFonts w:ascii="Calibri" w:hAnsi="Calibri"/>
        </w:rPr>
        <w:t>network-</w:t>
      </w:r>
      <w:r w:rsidR="00B11C29">
        <w:rPr>
          <w:rFonts w:ascii="Calibri" w:hAnsi="Calibri"/>
        </w:rPr>
        <w:t>controlled</w:t>
      </w:r>
      <w:r w:rsidR="00A07EAB" w:rsidRPr="00A07EAB">
        <w:rPr>
          <w:rFonts w:ascii="Calibri" w:hAnsi="Calibri"/>
        </w:rPr>
        <w:t xml:space="preserve"> repeaters which can adapt the physical layer parameters used by the repeater for </w:t>
      </w:r>
      <w:r w:rsidR="00043F30">
        <w:rPr>
          <w:rFonts w:ascii="Calibri" w:hAnsi="Calibri"/>
        </w:rPr>
        <w:t xml:space="preserve">its </w:t>
      </w:r>
      <w:r w:rsidR="00A81AFF">
        <w:rPr>
          <w:rFonts w:ascii="Calibri" w:hAnsi="Calibri"/>
        </w:rPr>
        <w:t>forwarding operation</w:t>
      </w:r>
      <w:r w:rsidR="00A07EAB" w:rsidRPr="00A07EAB">
        <w:rPr>
          <w:rFonts w:ascii="Calibri" w:hAnsi="Calibri"/>
        </w:rPr>
        <w:t>.</w:t>
      </w:r>
      <w:r w:rsidR="00A81AFF">
        <w:rPr>
          <w:rFonts w:ascii="Calibri" w:hAnsi="Calibri"/>
        </w:rPr>
        <w:t xml:space="preserve"> </w:t>
      </w:r>
    </w:p>
    <w:p w14:paraId="6B312C1C" w14:textId="77777777" w:rsidR="00B11C29" w:rsidRDefault="00B11C29" w:rsidP="0006696B">
      <w:pPr>
        <w:pStyle w:val="maintext"/>
        <w:ind w:firstLineChars="0" w:firstLine="0"/>
        <w:rPr>
          <w:rFonts w:ascii="Calibri" w:hAnsi="Calibri"/>
        </w:rPr>
      </w:pPr>
    </w:p>
    <w:p w14:paraId="20F8A699" w14:textId="13A295FB" w:rsidR="00A81AFF" w:rsidRDefault="006E1700" w:rsidP="0006696B">
      <w:pPr>
        <w:pStyle w:val="maintext"/>
        <w:ind w:firstLineChars="0" w:firstLine="0"/>
        <w:rPr>
          <w:rFonts w:ascii="Calibri" w:hAnsi="Calibri"/>
        </w:rPr>
      </w:pPr>
      <w:r>
        <w:rPr>
          <w:rFonts w:ascii="Calibri" w:hAnsi="Calibri"/>
        </w:rPr>
        <w:t>During</w:t>
      </w:r>
      <w:r w:rsidR="00B11C29">
        <w:rPr>
          <w:rFonts w:ascii="Calibri" w:hAnsi="Calibri"/>
        </w:rPr>
        <w:t xml:space="preserve"> RAN1#109e, the following agreement was made which introduces the concept</w:t>
      </w:r>
      <w:r w:rsidR="008222F9">
        <w:rPr>
          <w:rFonts w:ascii="Calibri" w:hAnsi="Calibri"/>
        </w:rPr>
        <w:t>s</w:t>
      </w:r>
      <w:r w:rsidR="00B11C29">
        <w:rPr>
          <w:rFonts w:ascii="Calibri" w:hAnsi="Calibri"/>
        </w:rPr>
        <w:t xml:space="preserve"> of NCR-MT and NCR-</w:t>
      </w:r>
      <w:proofErr w:type="spellStart"/>
      <w:r w:rsidR="00B11C29">
        <w:rPr>
          <w:rFonts w:ascii="Calibri" w:hAnsi="Calibri"/>
        </w:rPr>
        <w:t>Fwd</w:t>
      </w:r>
      <w:proofErr w:type="spellEnd"/>
      <w:r w:rsidR="00B11C29">
        <w:rPr>
          <w:rFonts w:ascii="Calibri" w:hAnsi="Calibri"/>
        </w:rPr>
        <w:t xml:space="preserve"> functions, as well as </w:t>
      </w:r>
      <w:r w:rsidR="008222F9">
        <w:rPr>
          <w:rFonts w:ascii="Calibri" w:hAnsi="Calibri"/>
        </w:rPr>
        <w:t xml:space="preserve">the concept of </w:t>
      </w:r>
      <w:r w:rsidR="00B11C29">
        <w:rPr>
          <w:rFonts w:ascii="Calibri" w:hAnsi="Calibri"/>
        </w:rPr>
        <w:t xml:space="preserve">a control link between the NCR and </w:t>
      </w:r>
      <w:proofErr w:type="spellStart"/>
      <w:r w:rsidR="00B11C29">
        <w:rPr>
          <w:rFonts w:ascii="Calibri" w:hAnsi="Calibri"/>
        </w:rPr>
        <w:t>gNB</w:t>
      </w:r>
      <w:proofErr w:type="spellEnd"/>
      <w:r w:rsidR="00B11C29">
        <w:rPr>
          <w:rFonts w:ascii="Calibri" w:hAnsi="Calibri"/>
        </w:rPr>
        <w:t xml:space="preserve"> which is separate from the access and backhaul links:</w:t>
      </w:r>
    </w:p>
    <w:p w14:paraId="075A1932" w14:textId="26855627" w:rsidR="0006696B" w:rsidRDefault="0006696B" w:rsidP="0006696B">
      <w:pPr>
        <w:pStyle w:val="maintext"/>
        <w:ind w:firstLineChars="0" w:firstLine="0"/>
        <w:rPr>
          <w:rFonts w:ascii="Calibri" w:hAnsi="Calibri"/>
        </w:rPr>
      </w:pPr>
    </w:p>
    <w:p w14:paraId="0CEBB703" w14:textId="77777777" w:rsidR="0006696B" w:rsidRPr="0099683B" w:rsidRDefault="0006696B" w:rsidP="0006696B">
      <w:pPr>
        <w:snapToGrid w:val="0"/>
        <w:rPr>
          <w:rFonts w:cs="Times"/>
          <w:highlight w:val="green"/>
          <w:lang w:eastAsia="zh-CN"/>
        </w:rPr>
      </w:pPr>
      <w:r>
        <w:rPr>
          <w:rFonts w:cs="Times"/>
          <w:b/>
          <w:bCs/>
          <w:highlight w:val="green"/>
          <w:lang w:eastAsia="zh-CN"/>
        </w:rPr>
        <w:t>Agreement</w:t>
      </w:r>
    </w:p>
    <w:p w14:paraId="49D896C7" w14:textId="77777777" w:rsidR="0006696B" w:rsidRPr="0099683B" w:rsidRDefault="0006696B" w:rsidP="0006696B">
      <w:pPr>
        <w:snapToGrid w:val="0"/>
        <w:rPr>
          <w:rFonts w:cs="Times"/>
          <w:lang w:eastAsia="zh-CN"/>
        </w:rPr>
      </w:pPr>
      <w:r w:rsidRPr="0099683B">
        <w:rPr>
          <w:rFonts w:cs="Times"/>
          <w:lang w:eastAsia="zh-CN"/>
        </w:rPr>
        <w:t>Capture the following model of network-controlled repeater in TR 38.867.</w:t>
      </w:r>
    </w:p>
    <w:p w14:paraId="151D1BF9" w14:textId="77777777" w:rsidR="0006696B" w:rsidRPr="0099683B" w:rsidRDefault="0006696B" w:rsidP="0006696B">
      <w:pPr>
        <w:pStyle w:val="Proposal"/>
        <w:spacing w:after="0"/>
        <w:ind w:left="1440" w:firstLine="0"/>
        <w:jc w:val="center"/>
        <w:rPr>
          <w:rFonts w:ascii="Times" w:hAnsi="Times" w:cs="Times"/>
        </w:rPr>
      </w:pPr>
      <w:r w:rsidRPr="00336059">
        <w:rPr>
          <w:noProof/>
          <w:lang w:val="en-US" w:eastAsia="ko-KR"/>
        </w:rPr>
        <w:drawing>
          <wp:inline distT="0" distB="0" distL="0" distR="0" wp14:anchorId="399861B7" wp14:editId="25E98951">
            <wp:extent cx="3746500" cy="927100"/>
            <wp:effectExtent l="0" t="0" r="0" b="0"/>
            <wp:docPr id="266" name="图片 40" descr="A picture containing 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6" name="图片 40" descr="A picture containing diagram&#10;&#10;Description automatically generated"/>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46500" cy="927100"/>
                    </a:xfrm>
                    <a:prstGeom prst="rect">
                      <a:avLst/>
                    </a:prstGeom>
                    <a:noFill/>
                    <a:ln>
                      <a:noFill/>
                    </a:ln>
                  </pic:spPr>
                </pic:pic>
              </a:graphicData>
            </a:graphic>
          </wp:inline>
        </w:drawing>
      </w:r>
    </w:p>
    <w:p w14:paraId="18C6E478" w14:textId="77777777" w:rsidR="0006696B" w:rsidRPr="0099683B" w:rsidRDefault="0006696B" w:rsidP="0006696B">
      <w:pPr>
        <w:pStyle w:val="ListParagraph"/>
        <w:numPr>
          <w:ilvl w:val="0"/>
          <w:numId w:val="25"/>
        </w:numPr>
        <w:snapToGrid w:val="0"/>
        <w:spacing w:before="0" w:after="0"/>
        <w:contextualSpacing w:val="0"/>
        <w:jc w:val="left"/>
        <w:rPr>
          <w:rFonts w:eastAsia="Malgun Gothic" w:cs="Times"/>
          <w:lang w:eastAsia="zh-CN"/>
        </w:rPr>
      </w:pPr>
      <w:r w:rsidRPr="0099683B">
        <w:rPr>
          <w:rFonts w:eastAsia="Malgun Gothic" w:cs="Times"/>
          <w:lang w:eastAsia="zh-CN"/>
        </w:rPr>
        <w:t xml:space="preserve">The NCR-MT is defined as a function entity to communicate with a </w:t>
      </w:r>
      <w:proofErr w:type="spellStart"/>
      <w:r w:rsidRPr="0099683B">
        <w:rPr>
          <w:rFonts w:eastAsia="Malgun Gothic" w:cs="Times"/>
          <w:lang w:eastAsia="zh-CN"/>
        </w:rPr>
        <w:t>gNB</w:t>
      </w:r>
      <w:proofErr w:type="spellEnd"/>
      <w:r w:rsidRPr="0099683B">
        <w:rPr>
          <w:rFonts w:eastAsia="Malgun Gothic" w:cs="Times"/>
          <w:lang w:eastAsia="zh-CN"/>
        </w:rPr>
        <w:t xml:space="preserve"> via Control link (C-link) to enable the information exchanges (</w:t>
      </w:r>
      <w:proofErr w:type="gramStart"/>
      <w:r w:rsidRPr="0099683B">
        <w:rPr>
          <w:rFonts w:eastAsia="Malgun Gothic" w:cs="Times"/>
          <w:lang w:eastAsia="zh-CN"/>
        </w:rPr>
        <w:t>e.g.</w:t>
      </w:r>
      <w:proofErr w:type="gramEnd"/>
      <w:r w:rsidRPr="0099683B">
        <w:rPr>
          <w:rFonts w:eastAsia="Malgun Gothic" w:cs="Times"/>
          <w:lang w:eastAsia="zh-CN"/>
        </w:rPr>
        <w:t xml:space="preserve"> side control information). The C-link is based on NR </w:t>
      </w:r>
      <w:proofErr w:type="spellStart"/>
      <w:r w:rsidRPr="0099683B">
        <w:rPr>
          <w:rFonts w:eastAsia="Malgun Gothic" w:cs="Times"/>
          <w:lang w:eastAsia="zh-CN"/>
        </w:rPr>
        <w:t>Uu</w:t>
      </w:r>
      <w:proofErr w:type="spellEnd"/>
      <w:r w:rsidRPr="0099683B">
        <w:rPr>
          <w:rFonts w:eastAsia="Malgun Gothic" w:cs="Times"/>
          <w:lang w:eastAsia="zh-CN"/>
        </w:rPr>
        <w:t xml:space="preserve"> interface.</w:t>
      </w:r>
    </w:p>
    <w:p w14:paraId="21378E3C" w14:textId="77777777" w:rsidR="0006696B" w:rsidRPr="0099683B" w:rsidRDefault="0006696B" w:rsidP="0006696B">
      <w:pPr>
        <w:pStyle w:val="ListParagraph"/>
        <w:numPr>
          <w:ilvl w:val="1"/>
          <w:numId w:val="25"/>
        </w:numPr>
        <w:snapToGrid w:val="0"/>
        <w:spacing w:before="0" w:after="0"/>
        <w:contextualSpacing w:val="0"/>
        <w:jc w:val="left"/>
        <w:rPr>
          <w:rFonts w:eastAsia="Malgun Gothic" w:cs="Times"/>
          <w:lang w:eastAsia="zh-CN"/>
        </w:rPr>
      </w:pPr>
      <w:r w:rsidRPr="0099683B">
        <w:rPr>
          <w:rFonts w:eastAsia="Malgun Gothic" w:cs="Times"/>
          <w:lang w:eastAsia="zh-CN"/>
        </w:rPr>
        <w:t>Note: Side control information is at least for the control of NCR-</w:t>
      </w:r>
      <w:proofErr w:type="spellStart"/>
      <w:r w:rsidRPr="0099683B">
        <w:rPr>
          <w:rFonts w:eastAsia="Malgun Gothic" w:cs="Times"/>
          <w:lang w:eastAsia="zh-CN"/>
        </w:rPr>
        <w:t>F</w:t>
      </w:r>
      <w:r>
        <w:rPr>
          <w:rFonts w:eastAsia="Malgun Gothic" w:cs="Times"/>
          <w:lang w:eastAsia="zh-CN"/>
        </w:rPr>
        <w:t>wd</w:t>
      </w:r>
      <w:proofErr w:type="spellEnd"/>
    </w:p>
    <w:p w14:paraId="6B5867F0" w14:textId="77777777" w:rsidR="0006696B" w:rsidRDefault="0006696B" w:rsidP="0006696B">
      <w:pPr>
        <w:pStyle w:val="ListParagraph"/>
        <w:numPr>
          <w:ilvl w:val="0"/>
          <w:numId w:val="25"/>
        </w:numPr>
        <w:snapToGrid w:val="0"/>
        <w:spacing w:before="0" w:after="0"/>
        <w:contextualSpacing w:val="0"/>
        <w:jc w:val="left"/>
        <w:rPr>
          <w:rFonts w:eastAsia="Malgun Gothic" w:cs="Times"/>
          <w:lang w:eastAsia="zh-CN"/>
        </w:rPr>
      </w:pPr>
      <w:r w:rsidRPr="0099683B">
        <w:rPr>
          <w:rFonts w:eastAsia="Malgun Gothic" w:cs="Times"/>
          <w:lang w:eastAsia="zh-CN"/>
        </w:rPr>
        <w:t>The NCR-</w:t>
      </w:r>
      <w:proofErr w:type="spellStart"/>
      <w:r w:rsidRPr="0099683B">
        <w:rPr>
          <w:rFonts w:eastAsia="Malgun Gothic" w:cs="Times"/>
          <w:lang w:eastAsia="zh-CN"/>
        </w:rPr>
        <w:t>F</w:t>
      </w:r>
      <w:r>
        <w:rPr>
          <w:rFonts w:eastAsia="Malgun Gothic" w:cs="Times"/>
          <w:lang w:eastAsia="zh-CN"/>
        </w:rPr>
        <w:t>wd</w:t>
      </w:r>
      <w:proofErr w:type="spellEnd"/>
      <w:r w:rsidRPr="0099683B">
        <w:rPr>
          <w:rFonts w:eastAsia="Malgun Gothic" w:cs="Times"/>
          <w:lang w:eastAsia="zh-CN"/>
        </w:rPr>
        <w:t xml:space="preserve"> is defined as a function entity to perform the amplify-and-forwarding of UL/DL RF signal between </w:t>
      </w:r>
      <w:proofErr w:type="spellStart"/>
      <w:r w:rsidRPr="0099683B">
        <w:rPr>
          <w:rFonts w:eastAsia="Malgun Gothic" w:cs="Times"/>
          <w:lang w:eastAsia="zh-CN"/>
        </w:rPr>
        <w:t>gNB</w:t>
      </w:r>
      <w:proofErr w:type="spellEnd"/>
      <w:r w:rsidRPr="0099683B">
        <w:rPr>
          <w:rFonts w:eastAsia="Malgun Gothic" w:cs="Times"/>
          <w:lang w:eastAsia="zh-CN"/>
        </w:rPr>
        <w:t xml:space="preserve"> and UE via backhaul link and access link. The behavior of the NCR-</w:t>
      </w:r>
      <w:proofErr w:type="spellStart"/>
      <w:r w:rsidRPr="0099683B">
        <w:rPr>
          <w:rFonts w:eastAsia="Malgun Gothic" w:cs="Times"/>
          <w:lang w:eastAsia="zh-CN"/>
        </w:rPr>
        <w:t>F</w:t>
      </w:r>
      <w:r>
        <w:rPr>
          <w:rFonts w:eastAsia="Malgun Gothic" w:cs="Times"/>
          <w:lang w:eastAsia="zh-CN"/>
        </w:rPr>
        <w:t>wd</w:t>
      </w:r>
      <w:proofErr w:type="spellEnd"/>
      <w:r w:rsidRPr="0099683B">
        <w:rPr>
          <w:rFonts w:eastAsia="Malgun Gothic" w:cs="Times"/>
          <w:lang w:eastAsia="zh-CN"/>
        </w:rPr>
        <w:t xml:space="preserve"> will be controlled according to the received side control information from </w:t>
      </w:r>
      <w:proofErr w:type="spellStart"/>
      <w:r w:rsidRPr="0099683B">
        <w:rPr>
          <w:rFonts w:eastAsia="Malgun Gothic" w:cs="Times"/>
          <w:lang w:eastAsia="zh-CN"/>
        </w:rPr>
        <w:t>gNB</w:t>
      </w:r>
      <w:proofErr w:type="spellEnd"/>
      <w:r w:rsidRPr="0099683B">
        <w:rPr>
          <w:rFonts w:eastAsia="Malgun Gothic" w:cs="Times"/>
          <w:lang w:eastAsia="zh-CN"/>
        </w:rPr>
        <w:t xml:space="preserve">. </w:t>
      </w:r>
    </w:p>
    <w:p w14:paraId="6446D87A" w14:textId="77777777" w:rsidR="0006696B" w:rsidRDefault="0006696B" w:rsidP="0006696B">
      <w:pPr>
        <w:pStyle w:val="maintext"/>
        <w:ind w:firstLineChars="0" w:firstLine="0"/>
        <w:rPr>
          <w:rFonts w:ascii="Calibri" w:hAnsi="Calibri"/>
        </w:rPr>
      </w:pPr>
    </w:p>
    <w:p w14:paraId="68CFA815" w14:textId="01702478" w:rsidR="00A81AFF" w:rsidRDefault="00A81AFF" w:rsidP="00A81AFF">
      <w:pPr>
        <w:overflowPunct w:val="0"/>
        <w:autoSpaceDE w:val="0"/>
        <w:autoSpaceDN w:val="0"/>
        <w:adjustRightInd w:val="0"/>
        <w:spacing w:before="0" w:after="0"/>
        <w:jc w:val="left"/>
        <w:textAlignment w:val="baseline"/>
        <w:rPr>
          <w:rFonts w:ascii="Calibri" w:eastAsia="Malgun Gothic" w:hAnsi="Calibri" w:cs="Batang"/>
          <w:lang w:val="en-GB" w:eastAsia="ko-KR"/>
        </w:rPr>
      </w:pPr>
    </w:p>
    <w:p w14:paraId="4633C637" w14:textId="3D690FD1" w:rsidR="00A81AFF" w:rsidRDefault="008222F9" w:rsidP="001116B0">
      <w:pPr>
        <w:rPr>
          <w:rFonts w:ascii="Calibri" w:eastAsia="Malgun Gothic" w:hAnsi="Calibri" w:cs="Batang"/>
          <w:lang w:val="en-GB" w:eastAsia="ko-KR"/>
        </w:rPr>
      </w:pPr>
      <w:r>
        <w:rPr>
          <w:rFonts w:ascii="Calibri" w:eastAsia="Malgun Gothic" w:hAnsi="Calibri" w:cs="Batang"/>
          <w:lang w:val="en-GB" w:eastAsia="ko-KR"/>
        </w:rPr>
        <w:t>T</w:t>
      </w:r>
      <w:r w:rsidR="004F5864">
        <w:rPr>
          <w:rFonts w:ascii="Calibri" w:eastAsia="Malgun Gothic" w:hAnsi="Calibri" w:cs="Batang"/>
          <w:lang w:val="en-GB" w:eastAsia="ko-KR"/>
        </w:rPr>
        <w:t xml:space="preserve">his framework has already been realized in NR </w:t>
      </w:r>
      <w:r>
        <w:rPr>
          <w:rFonts w:ascii="Calibri" w:eastAsia="Malgun Gothic" w:hAnsi="Calibri" w:cs="Batang"/>
          <w:lang w:val="en-GB" w:eastAsia="ko-KR"/>
        </w:rPr>
        <w:t xml:space="preserve">for </w:t>
      </w:r>
      <w:r w:rsidR="004F5864">
        <w:rPr>
          <w:rFonts w:ascii="Calibri" w:eastAsia="Malgun Gothic" w:hAnsi="Calibri" w:cs="Batang"/>
          <w:lang w:val="en-GB" w:eastAsia="ko-KR"/>
        </w:rPr>
        <w:t xml:space="preserve">the </w:t>
      </w:r>
      <w:r w:rsidR="0047793F" w:rsidRPr="0047793F">
        <w:rPr>
          <w:rFonts w:ascii="Calibri" w:eastAsia="Malgun Gothic" w:hAnsi="Calibri" w:cs="Batang"/>
          <w:lang w:val="en-GB" w:eastAsia="ko-KR"/>
        </w:rPr>
        <w:t xml:space="preserve">UE-like mobile termination (MT) function which </w:t>
      </w:r>
      <w:r w:rsidR="004F5864">
        <w:rPr>
          <w:rFonts w:ascii="Calibri" w:eastAsia="Malgun Gothic" w:hAnsi="Calibri" w:cs="Batang"/>
          <w:lang w:val="en-GB" w:eastAsia="ko-KR"/>
        </w:rPr>
        <w:t xml:space="preserve">is used by Integrated Access and Backhaul (IAB) nodes to </w:t>
      </w:r>
      <w:r w:rsidR="0047793F" w:rsidRPr="0047793F">
        <w:rPr>
          <w:rFonts w:ascii="Calibri" w:eastAsia="Malgun Gothic" w:hAnsi="Calibri" w:cs="Batang"/>
          <w:lang w:val="en-GB" w:eastAsia="ko-KR"/>
        </w:rPr>
        <w:t xml:space="preserve">provide connectivity between the </w:t>
      </w:r>
      <w:r w:rsidR="004F5864">
        <w:rPr>
          <w:rFonts w:ascii="Calibri" w:eastAsia="Malgun Gothic" w:hAnsi="Calibri" w:cs="Batang"/>
          <w:lang w:val="en-GB" w:eastAsia="ko-KR"/>
        </w:rPr>
        <w:t>IAB</w:t>
      </w:r>
      <w:r w:rsidR="0047793F" w:rsidRPr="0047793F">
        <w:rPr>
          <w:rFonts w:ascii="Calibri" w:eastAsia="Malgun Gothic" w:hAnsi="Calibri" w:cs="Batang"/>
          <w:lang w:val="en-GB" w:eastAsia="ko-KR"/>
        </w:rPr>
        <w:t xml:space="preserve"> node and its parent donor node</w:t>
      </w:r>
      <w:r w:rsidR="004F5864">
        <w:rPr>
          <w:rFonts w:ascii="Calibri" w:eastAsia="Malgun Gothic" w:hAnsi="Calibri" w:cs="Batang"/>
          <w:lang w:val="en-GB" w:eastAsia="ko-KR"/>
        </w:rPr>
        <w:t xml:space="preserve">. </w:t>
      </w:r>
      <w:r w:rsidR="00DE3A3E">
        <w:rPr>
          <w:rFonts w:ascii="Calibri" w:eastAsia="Malgun Gothic" w:hAnsi="Calibri" w:cs="Batang"/>
          <w:lang w:val="en-GB" w:eastAsia="ko-KR"/>
        </w:rPr>
        <w:t>While</w:t>
      </w:r>
      <w:r w:rsidR="00317054">
        <w:rPr>
          <w:rFonts w:ascii="Calibri" w:eastAsia="Malgun Gothic" w:hAnsi="Calibri" w:cs="Batang"/>
          <w:lang w:val="en-GB" w:eastAsia="ko-KR"/>
        </w:rPr>
        <w:t xml:space="preserve"> IAB-MT capabilities are much greater than </w:t>
      </w:r>
      <w:r>
        <w:rPr>
          <w:rFonts w:ascii="Calibri" w:eastAsia="Malgun Gothic" w:hAnsi="Calibri" w:cs="Batang"/>
          <w:lang w:val="en-GB" w:eastAsia="ko-KR"/>
        </w:rPr>
        <w:t xml:space="preserve">what is </w:t>
      </w:r>
      <w:r w:rsidR="00317054">
        <w:rPr>
          <w:rFonts w:ascii="Calibri" w:eastAsia="Malgun Gothic" w:hAnsi="Calibri" w:cs="Batang"/>
          <w:lang w:val="en-GB" w:eastAsia="ko-KR"/>
        </w:rPr>
        <w:t xml:space="preserve">envisioned for network-controlled repeaters </w:t>
      </w:r>
      <w:r>
        <w:rPr>
          <w:rFonts w:ascii="Calibri" w:eastAsia="Malgun Gothic" w:hAnsi="Calibri" w:cs="Batang"/>
          <w:lang w:val="en-GB" w:eastAsia="ko-KR"/>
        </w:rPr>
        <w:t>(</w:t>
      </w:r>
      <w:r w:rsidR="00317054">
        <w:rPr>
          <w:rFonts w:ascii="Calibri" w:eastAsia="Malgun Gothic" w:hAnsi="Calibri" w:cs="Batang"/>
          <w:lang w:val="en-GB" w:eastAsia="ko-KR"/>
        </w:rPr>
        <w:t>since it also has L2 relay and topology/routing management functionality</w:t>
      </w:r>
      <w:r>
        <w:rPr>
          <w:rFonts w:ascii="Calibri" w:eastAsia="Malgun Gothic" w:hAnsi="Calibri" w:cs="Batang"/>
          <w:lang w:val="en-GB" w:eastAsia="ko-KR"/>
        </w:rPr>
        <w:t>)</w:t>
      </w:r>
      <w:r w:rsidR="00317054">
        <w:rPr>
          <w:rFonts w:ascii="Calibri" w:eastAsia="Malgun Gothic" w:hAnsi="Calibri" w:cs="Batang"/>
          <w:lang w:val="en-GB" w:eastAsia="ko-KR"/>
        </w:rPr>
        <w:t>, the configuration of the</w:t>
      </w:r>
      <w:r w:rsidR="009C3A43">
        <w:rPr>
          <w:rFonts w:ascii="Calibri" w:eastAsia="Malgun Gothic" w:hAnsi="Calibri" w:cs="Batang"/>
          <w:lang w:val="en-GB" w:eastAsia="ko-KR"/>
        </w:rPr>
        <w:t xml:space="preserve"> air interface features of the </w:t>
      </w:r>
      <w:r w:rsidR="006E1700">
        <w:rPr>
          <w:rFonts w:ascii="Calibri" w:eastAsia="Malgun Gothic" w:hAnsi="Calibri" w:cs="Batang"/>
          <w:lang w:val="en-GB" w:eastAsia="ko-KR"/>
        </w:rPr>
        <w:t>backhaul</w:t>
      </w:r>
      <w:r w:rsidR="009C3A43">
        <w:rPr>
          <w:rFonts w:ascii="Calibri" w:eastAsia="Malgun Gothic" w:hAnsi="Calibri" w:cs="Batang"/>
          <w:lang w:val="en-GB" w:eastAsia="ko-KR"/>
        </w:rPr>
        <w:t xml:space="preserve"> and access links of the IAB node (e.g.</w:t>
      </w:r>
      <w:r>
        <w:rPr>
          <w:rFonts w:ascii="Calibri" w:eastAsia="Malgun Gothic" w:hAnsi="Calibri" w:cs="Batang"/>
          <w:lang w:val="en-GB" w:eastAsia="ko-KR"/>
        </w:rPr>
        <w:t>,</w:t>
      </w:r>
      <w:r w:rsidR="009C3A43">
        <w:rPr>
          <w:rFonts w:ascii="Calibri" w:eastAsia="Malgun Gothic" w:hAnsi="Calibri" w:cs="Batang"/>
          <w:lang w:val="en-GB" w:eastAsia="ko-KR"/>
        </w:rPr>
        <w:t xml:space="preserve"> timing, power control, time/frequency/spatial resources) are </w:t>
      </w:r>
      <w:r w:rsidR="009D5B40">
        <w:rPr>
          <w:rFonts w:ascii="Calibri" w:eastAsia="Malgun Gothic" w:hAnsi="Calibri" w:cs="Batang"/>
          <w:lang w:val="en-GB" w:eastAsia="ko-KR"/>
        </w:rPr>
        <w:t>very aligned with</w:t>
      </w:r>
      <w:r w:rsidR="00B15E6A">
        <w:rPr>
          <w:rFonts w:ascii="Calibri" w:eastAsia="Malgun Gothic" w:hAnsi="Calibri" w:cs="Batang"/>
          <w:lang w:val="en-GB" w:eastAsia="ko-KR"/>
        </w:rPr>
        <w:t xml:space="preserve"> the requirements for network-controlled repeaters. </w:t>
      </w:r>
      <w:r>
        <w:rPr>
          <w:rFonts w:ascii="Calibri" w:eastAsia="Malgun Gothic" w:hAnsi="Calibri" w:cs="Batang"/>
          <w:lang w:val="en-GB" w:eastAsia="ko-KR"/>
        </w:rPr>
        <w:t>Hence</w:t>
      </w:r>
      <w:r w:rsidR="00B15E6A">
        <w:rPr>
          <w:rFonts w:ascii="Calibri" w:eastAsia="Malgun Gothic" w:hAnsi="Calibri" w:cs="Batang"/>
          <w:lang w:val="en-GB" w:eastAsia="ko-KR"/>
        </w:rPr>
        <w:t>, the IAB-MT control information</w:t>
      </w:r>
      <w:r w:rsidR="004F46BC">
        <w:rPr>
          <w:rFonts w:ascii="Calibri" w:eastAsia="Malgun Gothic" w:hAnsi="Calibri" w:cs="Batang"/>
          <w:lang w:val="en-GB" w:eastAsia="ko-KR"/>
        </w:rPr>
        <w:t xml:space="preserve"> </w:t>
      </w:r>
      <w:proofErr w:type="spellStart"/>
      <w:r w:rsidR="004F46BC">
        <w:rPr>
          <w:rFonts w:ascii="Calibri" w:eastAsia="Malgun Gothic" w:hAnsi="Calibri" w:cs="Batang"/>
          <w:lang w:val="en-GB" w:eastAsia="ko-KR"/>
        </w:rPr>
        <w:t>signaling</w:t>
      </w:r>
      <w:proofErr w:type="spellEnd"/>
      <w:r w:rsidR="00B15E6A">
        <w:rPr>
          <w:rFonts w:ascii="Calibri" w:eastAsia="Malgun Gothic" w:hAnsi="Calibri" w:cs="Batang"/>
          <w:lang w:val="en-GB" w:eastAsia="ko-KR"/>
        </w:rPr>
        <w:t xml:space="preserve"> framework can be taken as a starting point for defining the </w:t>
      </w:r>
      <w:proofErr w:type="spellStart"/>
      <w:r w:rsidR="00B15E6A">
        <w:rPr>
          <w:rFonts w:ascii="Calibri" w:eastAsia="Malgun Gothic" w:hAnsi="Calibri" w:cs="Batang"/>
          <w:lang w:val="en-GB" w:eastAsia="ko-KR"/>
        </w:rPr>
        <w:t>signaling</w:t>
      </w:r>
      <w:proofErr w:type="spellEnd"/>
      <w:r w:rsidR="00B15E6A">
        <w:rPr>
          <w:rFonts w:ascii="Calibri" w:eastAsia="Malgun Gothic" w:hAnsi="Calibri" w:cs="Batang"/>
          <w:lang w:val="en-GB" w:eastAsia="ko-KR"/>
        </w:rPr>
        <w:t xml:space="preserve"> fr</w:t>
      </w:r>
      <w:r w:rsidR="00F75873">
        <w:rPr>
          <w:rFonts w:ascii="Calibri" w:eastAsia="Malgun Gothic" w:hAnsi="Calibri" w:cs="Batang"/>
          <w:lang w:val="en-GB" w:eastAsia="ko-KR"/>
        </w:rPr>
        <w:t xml:space="preserve">amework of network-controlled repeaters and should be reused as much as possible. </w:t>
      </w:r>
    </w:p>
    <w:p w14:paraId="2BC1C7F6" w14:textId="02908BBD" w:rsidR="005339F7" w:rsidRDefault="005339F7" w:rsidP="001116B0">
      <w:pPr>
        <w:rPr>
          <w:rFonts w:ascii="Calibri" w:eastAsia="Malgun Gothic" w:hAnsi="Calibri" w:cs="Batang"/>
          <w:lang w:val="en-GB" w:eastAsia="ko-KR"/>
        </w:rPr>
      </w:pPr>
      <w:r>
        <w:rPr>
          <w:rFonts w:ascii="Calibri" w:eastAsia="Malgun Gothic" w:hAnsi="Calibri" w:cs="Batang"/>
          <w:lang w:val="en-GB" w:eastAsia="ko-KR"/>
        </w:rPr>
        <w:t xml:space="preserve">Given that the C-link is expected to reuse L1/L2 </w:t>
      </w:r>
      <w:proofErr w:type="spellStart"/>
      <w:r>
        <w:rPr>
          <w:rFonts w:ascii="Calibri" w:eastAsia="Malgun Gothic" w:hAnsi="Calibri" w:cs="Batang"/>
          <w:lang w:val="en-GB" w:eastAsia="ko-KR"/>
        </w:rPr>
        <w:t>signaling</w:t>
      </w:r>
      <w:proofErr w:type="spellEnd"/>
      <w:r>
        <w:rPr>
          <w:rFonts w:ascii="Calibri" w:eastAsia="Malgun Gothic" w:hAnsi="Calibri" w:cs="Batang"/>
          <w:lang w:val="en-GB" w:eastAsia="ko-KR"/>
        </w:rPr>
        <w:t xml:space="preserve"> for the configuration and control of various NCR-</w:t>
      </w:r>
      <w:proofErr w:type="spellStart"/>
      <w:r>
        <w:rPr>
          <w:rFonts w:ascii="Calibri" w:eastAsia="Malgun Gothic" w:hAnsi="Calibri" w:cs="Batang"/>
          <w:lang w:val="en-GB" w:eastAsia="ko-KR"/>
        </w:rPr>
        <w:t>Fwd</w:t>
      </w:r>
      <w:proofErr w:type="spellEnd"/>
      <w:r>
        <w:rPr>
          <w:rFonts w:ascii="Calibri" w:eastAsia="Malgun Gothic" w:hAnsi="Calibri" w:cs="Batang"/>
          <w:lang w:val="en-GB" w:eastAsia="ko-KR"/>
        </w:rPr>
        <w:t xml:space="preserve"> access and backhaul link parameters and properties, o</w:t>
      </w:r>
      <w:r w:rsidR="009D5B40">
        <w:rPr>
          <w:rFonts w:ascii="Calibri" w:eastAsia="Malgun Gothic" w:hAnsi="Calibri" w:cs="Batang"/>
          <w:lang w:val="en-GB" w:eastAsia="ko-KR"/>
        </w:rPr>
        <w:t>ne area where the control link for the NCR-MT should also align with</w:t>
      </w:r>
      <w:r>
        <w:rPr>
          <w:rFonts w:ascii="Calibri" w:eastAsia="Malgun Gothic" w:hAnsi="Calibri" w:cs="Batang"/>
          <w:lang w:val="en-GB" w:eastAsia="ko-KR"/>
        </w:rPr>
        <w:t xml:space="preserve"> the</w:t>
      </w:r>
      <w:r w:rsidR="009D5B40">
        <w:rPr>
          <w:rFonts w:ascii="Calibri" w:eastAsia="Malgun Gothic" w:hAnsi="Calibri" w:cs="Batang"/>
          <w:lang w:val="en-GB" w:eastAsia="ko-KR"/>
        </w:rPr>
        <w:t xml:space="preserve"> IAB-MT is in the reuse of initial access procedures for the setup and integration of the NCR into the network</w:t>
      </w:r>
      <w:r>
        <w:rPr>
          <w:rFonts w:ascii="Calibri" w:eastAsia="Malgun Gothic" w:hAnsi="Calibri" w:cs="Batang"/>
          <w:lang w:val="en-GB" w:eastAsia="ko-KR"/>
        </w:rPr>
        <w:t xml:space="preserve">. A major benefit of this approach is that it allows the network to easily integrate repeaters, IAB nodes, and other network-controlled infrastructure with common management platforms within the RAN or at least based on 3GPP standardized </w:t>
      </w:r>
      <w:proofErr w:type="spellStart"/>
      <w:r>
        <w:rPr>
          <w:rFonts w:ascii="Calibri" w:eastAsia="Malgun Gothic" w:hAnsi="Calibri" w:cs="Batang"/>
          <w:lang w:val="en-GB" w:eastAsia="ko-KR"/>
        </w:rPr>
        <w:t>signaling</w:t>
      </w:r>
      <w:proofErr w:type="spellEnd"/>
      <w:r>
        <w:rPr>
          <w:rFonts w:ascii="Calibri" w:eastAsia="Malgun Gothic" w:hAnsi="Calibri" w:cs="Batang"/>
          <w:lang w:val="en-GB" w:eastAsia="ko-KR"/>
        </w:rPr>
        <w:t xml:space="preserve"> interfaces. </w:t>
      </w:r>
    </w:p>
    <w:p w14:paraId="68AAD63D" w14:textId="4872AE18" w:rsidR="00D71B0D" w:rsidRPr="00131E75" w:rsidRDefault="00D71B0D" w:rsidP="001116B0">
      <w:pPr>
        <w:rPr>
          <w:rFonts w:ascii="Calibri" w:eastAsia="Malgun Gothic" w:hAnsi="Calibri" w:cs="Batang"/>
          <w:b/>
          <w:bCs/>
          <w:lang w:val="en-GB" w:eastAsia="ko-KR"/>
        </w:rPr>
      </w:pPr>
      <w:bookmarkStart w:id="2" w:name="OLE_LINK3"/>
      <w:bookmarkStart w:id="3" w:name="OLE_LINK4"/>
      <w:r w:rsidRPr="00131E75">
        <w:rPr>
          <w:rFonts w:ascii="Calibri" w:eastAsia="Malgun Gothic" w:hAnsi="Calibri" w:cs="Batang"/>
          <w:b/>
          <w:bCs/>
          <w:lang w:val="en-GB" w:eastAsia="ko-KR"/>
        </w:rPr>
        <w:t xml:space="preserve">Proposal 1: </w:t>
      </w:r>
      <w:r w:rsidRPr="00131E75">
        <w:rPr>
          <w:rFonts w:ascii="Calibri" w:hAnsi="Calibri"/>
          <w:b/>
          <w:bCs/>
        </w:rPr>
        <w:t xml:space="preserve">The IAB-MT control information and signaling framework should be adopted and extended </w:t>
      </w:r>
      <w:r w:rsidR="00296604" w:rsidRPr="00131E75">
        <w:rPr>
          <w:rFonts w:ascii="Calibri" w:hAnsi="Calibri"/>
          <w:b/>
          <w:bCs/>
        </w:rPr>
        <w:t xml:space="preserve">as necessary </w:t>
      </w:r>
      <w:r w:rsidRPr="00131E75">
        <w:rPr>
          <w:rFonts w:ascii="Calibri" w:hAnsi="Calibri"/>
          <w:b/>
          <w:bCs/>
        </w:rPr>
        <w:t>for defining the initial access and authorization procedures of the NCR-MT.</w:t>
      </w:r>
    </w:p>
    <w:bookmarkEnd w:id="2"/>
    <w:bookmarkEnd w:id="3"/>
    <w:p w14:paraId="7DD3E090" w14:textId="24A00C07" w:rsidR="009D5B40" w:rsidRDefault="00B66FA5" w:rsidP="001116B0">
      <w:pPr>
        <w:rPr>
          <w:rFonts w:ascii="Calibri" w:eastAsia="Malgun Gothic" w:hAnsi="Calibri" w:cs="Batang"/>
          <w:lang w:val="en-GB" w:eastAsia="ko-KR"/>
        </w:rPr>
      </w:pPr>
      <w:r>
        <w:rPr>
          <w:rFonts w:ascii="Calibri" w:eastAsia="Malgun Gothic" w:hAnsi="Calibri" w:cs="Batang"/>
          <w:lang w:val="en-GB" w:eastAsia="ko-KR"/>
        </w:rPr>
        <w:t>O</w:t>
      </w:r>
      <w:r w:rsidR="009D5B40">
        <w:rPr>
          <w:rFonts w:ascii="Calibri" w:eastAsia="Malgun Gothic" w:hAnsi="Calibri" w:cs="Batang"/>
          <w:lang w:val="en-GB" w:eastAsia="ko-KR"/>
        </w:rPr>
        <w:t xml:space="preserve">ne area </w:t>
      </w:r>
      <w:r>
        <w:rPr>
          <w:rFonts w:ascii="Calibri" w:eastAsia="Malgun Gothic" w:hAnsi="Calibri" w:cs="Batang"/>
          <w:lang w:val="en-GB" w:eastAsia="ko-KR"/>
        </w:rPr>
        <w:t>of</w:t>
      </w:r>
      <w:r w:rsidR="009D5B40">
        <w:rPr>
          <w:rFonts w:ascii="Calibri" w:eastAsia="Malgun Gothic" w:hAnsi="Calibri" w:cs="Batang"/>
          <w:lang w:val="en-GB" w:eastAsia="ko-KR"/>
        </w:rPr>
        <w:t xml:space="preserve"> consideration </w:t>
      </w:r>
      <w:r>
        <w:rPr>
          <w:rFonts w:ascii="Calibri" w:eastAsia="Malgun Gothic" w:hAnsi="Calibri" w:cs="Batang"/>
          <w:lang w:val="en-GB" w:eastAsia="ko-KR"/>
        </w:rPr>
        <w:t xml:space="preserve">is </w:t>
      </w:r>
      <w:r w:rsidR="009D5B40">
        <w:rPr>
          <w:rFonts w:ascii="Calibri" w:eastAsia="Malgun Gothic" w:hAnsi="Calibri" w:cs="Batang"/>
          <w:lang w:val="en-GB" w:eastAsia="ko-KR"/>
        </w:rPr>
        <w:t>whether the C-link of the NCR-MT always operates on the same frequency carrier/band as the NCR-</w:t>
      </w:r>
      <w:proofErr w:type="spellStart"/>
      <w:r w:rsidR="009D5B40">
        <w:rPr>
          <w:rFonts w:ascii="Calibri" w:eastAsia="Malgun Gothic" w:hAnsi="Calibri" w:cs="Batang"/>
          <w:lang w:val="en-GB" w:eastAsia="ko-KR"/>
        </w:rPr>
        <w:t>Fwd</w:t>
      </w:r>
      <w:proofErr w:type="spellEnd"/>
      <w:r w:rsidR="009D5B40">
        <w:rPr>
          <w:rFonts w:ascii="Calibri" w:eastAsia="Malgun Gothic" w:hAnsi="Calibri" w:cs="Batang"/>
          <w:lang w:val="en-GB" w:eastAsia="ko-KR"/>
        </w:rPr>
        <w:t xml:space="preserve"> backhaul and access links. Given</w:t>
      </w:r>
      <w:r w:rsidR="005339F7">
        <w:rPr>
          <w:rFonts w:ascii="Calibri" w:eastAsia="Malgun Gothic" w:hAnsi="Calibri" w:cs="Batang"/>
          <w:lang w:val="en-GB" w:eastAsia="ko-KR"/>
        </w:rPr>
        <w:t xml:space="preserve"> that FR2 operation is prioritized</w:t>
      </w:r>
      <w:r w:rsidR="00D71B0D">
        <w:rPr>
          <w:rFonts w:ascii="Calibri" w:eastAsia="Malgun Gothic" w:hAnsi="Calibri" w:cs="Batang"/>
          <w:lang w:val="en-GB" w:eastAsia="ko-KR"/>
        </w:rPr>
        <w:t xml:space="preserve"> in the SI</w:t>
      </w:r>
      <w:r w:rsidR="005339F7">
        <w:rPr>
          <w:rFonts w:ascii="Calibri" w:eastAsia="Malgun Gothic" w:hAnsi="Calibri" w:cs="Batang"/>
          <w:lang w:val="en-GB" w:eastAsia="ko-KR"/>
        </w:rPr>
        <w:t>, it should be</w:t>
      </w:r>
      <w:r w:rsidR="003A0928">
        <w:rPr>
          <w:rFonts w:ascii="Calibri" w:eastAsia="Malgun Gothic" w:hAnsi="Calibri" w:cs="Batang"/>
          <w:lang w:val="en-GB" w:eastAsia="ko-KR"/>
        </w:rPr>
        <w:t xml:space="preserve"> carefully</w:t>
      </w:r>
      <w:r w:rsidR="005339F7">
        <w:rPr>
          <w:rFonts w:ascii="Calibri" w:eastAsia="Malgun Gothic" w:hAnsi="Calibri" w:cs="Batang"/>
          <w:lang w:val="en-GB" w:eastAsia="ko-KR"/>
        </w:rPr>
        <w:t xml:space="preserve"> considered that </w:t>
      </w:r>
      <w:r w:rsidR="00D71B0D">
        <w:rPr>
          <w:rFonts w:ascii="Calibri" w:eastAsia="Malgun Gothic" w:hAnsi="Calibri" w:cs="Batang"/>
          <w:lang w:val="en-GB" w:eastAsia="ko-KR"/>
        </w:rPr>
        <w:t xml:space="preserve">exclusion of </w:t>
      </w:r>
      <w:r w:rsidR="005339F7">
        <w:rPr>
          <w:rFonts w:ascii="Calibri" w:eastAsia="Malgun Gothic" w:hAnsi="Calibri" w:cs="Batang"/>
          <w:lang w:val="en-GB" w:eastAsia="ko-KR"/>
        </w:rPr>
        <w:t xml:space="preserve">multi-frequency </w:t>
      </w:r>
      <w:r w:rsidR="003A0928">
        <w:rPr>
          <w:rFonts w:ascii="Calibri" w:eastAsia="Malgun Gothic" w:hAnsi="Calibri" w:cs="Batang"/>
          <w:lang w:val="en-GB" w:eastAsia="ko-KR"/>
        </w:rPr>
        <w:t>operation</w:t>
      </w:r>
      <w:r w:rsidR="005339F7">
        <w:rPr>
          <w:rFonts w:ascii="Calibri" w:eastAsia="Malgun Gothic" w:hAnsi="Calibri" w:cs="Batang"/>
          <w:lang w:val="en-GB" w:eastAsia="ko-KR"/>
        </w:rPr>
        <w:t xml:space="preserve"> for the NCR-MT implies that the C-link must support standalone (SA) operation for initial access and connection establishment</w:t>
      </w:r>
      <w:r w:rsidR="003A0928">
        <w:rPr>
          <w:rFonts w:ascii="Calibri" w:eastAsia="Malgun Gothic" w:hAnsi="Calibri" w:cs="Batang"/>
          <w:lang w:val="en-GB" w:eastAsia="ko-KR"/>
        </w:rPr>
        <w:t xml:space="preserve"> on FR2. This impacts both the NCR and the </w:t>
      </w:r>
      <w:proofErr w:type="spellStart"/>
      <w:r w:rsidR="003A0928">
        <w:rPr>
          <w:rFonts w:ascii="Calibri" w:eastAsia="Malgun Gothic" w:hAnsi="Calibri" w:cs="Batang"/>
          <w:lang w:val="en-GB" w:eastAsia="ko-KR"/>
        </w:rPr>
        <w:t>gNB</w:t>
      </w:r>
      <w:proofErr w:type="spellEnd"/>
      <w:r w:rsidR="003A0928">
        <w:rPr>
          <w:rFonts w:ascii="Calibri" w:eastAsia="Malgun Gothic" w:hAnsi="Calibri" w:cs="Batang"/>
          <w:lang w:val="en-GB" w:eastAsia="ko-KR"/>
        </w:rPr>
        <w:t xml:space="preserve"> to ensure that appropriate broadcast and higher layer control messages can be transmitted and received, even if the access link from the </w:t>
      </w:r>
      <w:proofErr w:type="spellStart"/>
      <w:r w:rsidR="003A0928">
        <w:rPr>
          <w:rFonts w:ascii="Calibri" w:eastAsia="Malgun Gothic" w:hAnsi="Calibri" w:cs="Batang"/>
          <w:lang w:val="en-GB" w:eastAsia="ko-KR"/>
        </w:rPr>
        <w:t>gNB</w:t>
      </w:r>
      <w:proofErr w:type="spellEnd"/>
      <w:r w:rsidR="003A0928">
        <w:rPr>
          <w:rFonts w:ascii="Calibri" w:eastAsia="Malgun Gothic" w:hAnsi="Calibri" w:cs="Batang"/>
          <w:lang w:val="en-GB" w:eastAsia="ko-KR"/>
        </w:rPr>
        <w:t xml:space="preserve"> and NCR-</w:t>
      </w:r>
      <w:proofErr w:type="spellStart"/>
      <w:r w:rsidR="003A0928">
        <w:rPr>
          <w:rFonts w:ascii="Calibri" w:eastAsia="Malgun Gothic" w:hAnsi="Calibri" w:cs="Batang"/>
          <w:lang w:val="en-GB" w:eastAsia="ko-KR"/>
        </w:rPr>
        <w:t>Fwd</w:t>
      </w:r>
      <w:proofErr w:type="spellEnd"/>
      <w:r w:rsidR="003A0928">
        <w:rPr>
          <w:rFonts w:ascii="Calibri" w:eastAsia="Malgun Gothic" w:hAnsi="Calibri" w:cs="Batang"/>
          <w:lang w:val="en-GB" w:eastAsia="ko-KR"/>
        </w:rPr>
        <w:t xml:space="preserve"> only supports users on a FR2 carrier as an </w:t>
      </w:r>
      <w:proofErr w:type="spellStart"/>
      <w:r w:rsidR="003A0928">
        <w:rPr>
          <w:rFonts w:ascii="Calibri" w:eastAsia="Malgun Gothic" w:hAnsi="Calibri" w:cs="Batang"/>
          <w:lang w:val="en-GB" w:eastAsia="ko-KR"/>
        </w:rPr>
        <w:t>SCell</w:t>
      </w:r>
      <w:proofErr w:type="spellEnd"/>
      <w:r w:rsidR="003A0928">
        <w:rPr>
          <w:rFonts w:ascii="Calibri" w:eastAsia="Malgun Gothic" w:hAnsi="Calibri" w:cs="Batang"/>
          <w:lang w:val="en-GB" w:eastAsia="ko-KR"/>
        </w:rPr>
        <w:t xml:space="preserve"> or SCG as shown in Figure 2 below.</w:t>
      </w:r>
    </w:p>
    <w:p w14:paraId="70D358BA" w14:textId="77777777" w:rsidR="009D5B40" w:rsidRDefault="009D5B40" w:rsidP="001116B0">
      <w:pPr>
        <w:rPr>
          <w:rFonts w:ascii="Calibri" w:eastAsia="Malgun Gothic" w:hAnsi="Calibri" w:cs="Batang"/>
          <w:lang w:val="en-GB" w:eastAsia="ko-KR"/>
        </w:rPr>
      </w:pPr>
    </w:p>
    <w:p w14:paraId="702C2A27" w14:textId="06289EFA" w:rsidR="001116B0" w:rsidRPr="00A81AFF" w:rsidRDefault="003A0928" w:rsidP="00141C15">
      <w:pPr>
        <w:jc w:val="center"/>
        <w:rPr>
          <w:rFonts w:ascii="Calibri" w:eastAsia="Malgun Gothic" w:hAnsi="Calibri" w:cs="Batang"/>
          <w:lang w:val="en-GB" w:eastAsia="ko-KR"/>
        </w:rPr>
      </w:pPr>
      <w:r w:rsidRPr="003A0928">
        <w:rPr>
          <w:rFonts w:ascii="Calibri" w:eastAsia="Malgun Gothic" w:hAnsi="Calibri" w:cs="Batang"/>
          <w:noProof/>
          <w:lang w:eastAsia="ko-KR"/>
        </w:rPr>
        <w:drawing>
          <wp:inline distT="0" distB="0" distL="0" distR="0" wp14:anchorId="5F67953D" wp14:editId="08260EA6">
            <wp:extent cx="4826227" cy="29905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37105" cy="2997278"/>
                    </a:xfrm>
                    <a:prstGeom prst="rect">
                      <a:avLst/>
                    </a:prstGeom>
                  </pic:spPr>
                </pic:pic>
              </a:graphicData>
            </a:graphic>
          </wp:inline>
        </w:drawing>
      </w:r>
    </w:p>
    <w:p w14:paraId="1008F484" w14:textId="1D78F488" w:rsidR="00141C15" w:rsidRPr="00A81AFF" w:rsidRDefault="00141C15" w:rsidP="00141C15">
      <w:pPr>
        <w:jc w:val="center"/>
        <w:rPr>
          <w:rFonts w:asciiTheme="minorHAnsi" w:hAnsiTheme="minorHAnsi" w:cstheme="minorHAnsi"/>
          <w:b/>
        </w:rPr>
      </w:pPr>
      <w:r w:rsidRPr="00A81AFF">
        <w:rPr>
          <w:rFonts w:asciiTheme="minorHAnsi" w:hAnsiTheme="minorHAnsi" w:cstheme="minorHAnsi"/>
          <w:b/>
        </w:rPr>
        <w:t xml:space="preserve">Figure </w:t>
      </w:r>
      <w:r w:rsidR="00C732A6">
        <w:rPr>
          <w:rFonts w:asciiTheme="minorHAnsi" w:hAnsiTheme="minorHAnsi" w:cstheme="minorHAnsi"/>
          <w:b/>
        </w:rPr>
        <w:t>2</w:t>
      </w:r>
      <w:r w:rsidRPr="00A81AFF">
        <w:rPr>
          <w:rFonts w:asciiTheme="minorHAnsi" w:hAnsiTheme="minorHAnsi" w:cstheme="minorHAnsi"/>
          <w:b/>
        </w:rPr>
        <w:t xml:space="preserve">: </w:t>
      </w:r>
      <w:r>
        <w:rPr>
          <w:rFonts w:asciiTheme="minorHAnsi" w:hAnsiTheme="minorHAnsi" w:cstheme="minorHAnsi"/>
          <w:b/>
        </w:rPr>
        <w:t>Multi-frequency n</w:t>
      </w:r>
      <w:r w:rsidRPr="00A81AFF">
        <w:rPr>
          <w:rFonts w:asciiTheme="minorHAnsi" w:hAnsiTheme="minorHAnsi" w:cstheme="minorHAnsi"/>
          <w:b/>
        </w:rPr>
        <w:t xml:space="preserve">etwork-controlled repeater </w:t>
      </w:r>
      <w:r w:rsidR="00C732A6">
        <w:rPr>
          <w:rFonts w:asciiTheme="minorHAnsi" w:hAnsiTheme="minorHAnsi" w:cstheme="minorHAnsi"/>
          <w:b/>
        </w:rPr>
        <w:t>operation</w:t>
      </w:r>
      <w:r w:rsidRPr="00A81AFF">
        <w:rPr>
          <w:rFonts w:asciiTheme="minorHAnsi" w:hAnsiTheme="minorHAnsi" w:cstheme="minorHAnsi"/>
          <w:b/>
        </w:rPr>
        <w:t xml:space="preserve"> </w:t>
      </w:r>
      <w:r>
        <w:rPr>
          <w:rFonts w:asciiTheme="minorHAnsi" w:hAnsiTheme="minorHAnsi" w:cstheme="minorHAnsi"/>
          <w:b/>
        </w:rPr>
        <w:t xml:space="preserve">with </w:t>
      </w:r>
      <w:r w:rsidRPr="00A81AFF">
        <w:rPr>
          <w:rFonts w:asciiTheme="minorHAnsi" w:hAnsiTheme="minorHAnsi" w:cstheme="minorHAnsi"/>
          <w:b/>
        </w:rPr>
        <w:t xml:space="preserve">access and </w:t>
      </w:r>
      <w:r>
        <w:rPr>
          <w:rFonts w:asciiTheme="minorHAnsi" w:hAnsiTheme="minorHAnsi" w:cstheme="minorHAnsi"/>
          <w:b/>
        </w:rPr>
        <w:t>backhaul links on FR2 and C-link on FR1</w:t>
      </w:r>
    </w:p>
    <w:p w14:paraId="29CBCA8D" w14:textId="2AFA2516" w:rsidR="00141C15" w:rsidRPr="00C732A6" w:rsidRDefault="00141C15" w:rsidP="00AB38F0">
      <w:pPr>
        <w:pStyle w:val="maintext"/>
        <w:ind w:firstLineChars="0" w:firstLine="0"/>
        <w:rPr>
          <w:rFonts w:ascii="Calibri" w:hAnsi="Calibri"/>
        </w:rPr>
      </w:pPr>
      <w:r>
        <w:rPr>
          <w:rFonts w:ascii="Calibri" w:hAnsi="Calibri"/>
          <w:b/>
          <w:bCs/>
        </w:rPr>
        <w:br/>
      </w:r>
      <w:r w:rsidR="00D71B0D">
        <w:rPr>
          <w:rFonts w:ascii="Calibri" w:hAnsi="Calibri"/>
        </w:rPr>
        <w:t>In view of these considerations</w:t>
      </w:r>
      <w:r w:rsidR="00C732A6">
        <w:rPr>
          <w:rFonts w:ascii="Calibri" w:hAnsi="Calibri"/>
        </w:rPr>
        <w:t xml:space="preserve">, </w:t>
      </w:r>
      <w:r w:rsidR="0049450F">
        <w:rPr>
          <w:rFonts w:ascii="Calibri" w:hAnsi="Calibri"/>
        </w:rPr>
        <w:t xml:space="preserve">RAN2 should study </w:t>
      </w:r>
      <w:r w:rsidR="00C732A6">
        <w:rPr>
          <w:rFonts w:ascii="Calibri" w:hAnsi="Calibri"/>
        </w:rPr>
        <w:t xml:space="preserve">initial access and connection establishment </w:t>
      </w:r>
      <w:r w:rsidR="0049450F">
        <w:rPr>
          <w:rFonts w:ascii="Calibri" w:hAnsi="Calibri"/>
        </w:rPr>
        <w:t xml:space="preserve">of the NCR-MT </w:t>
      </w:r>
      <w:r w:rsidR="00C732A6">
        <w:rPr>
          <w:rFonts w:ascii="Calibri" w:hAnsi="Calibri"/>
        </w:rPr>
        <w:t>on a band different from the band used by the NCR-</w:t>
      </w:r>
      <w:proofErr w:type="spellStart"/>
      <w:r w:rsidR="00C732A6">
        <w:rPr>
          <w:rFonts w:ascii="Calibri" w:hAnsi="Calibri"/>
        </w:rPr>
        <w:t>Fwd</w:t>
      </w:r>
      <w:proofErr w:type="spellEnd"/>
      <w:r w:rsidR="00C732A6">
        <w:rPr>
          <w:rFonts w:ascii="Calibri" w:hAnsi="Calibri"/>
        </w:rPr>
        <w:t xml:space="preserve"> for the access and backhaul links.</w:t>
      </w:r>
    </w:p>
    <w:p w14:paraId="79A544D2" w14:textId="77777777" w:rsidR="00141C15" w:rsidRDefault="00141C15" w:rsidP="00AB38F0">
      <w:pPr>
        <w:pStyle w:val="maintext"/>
        <w:ind w:firstLineChars="0" w:firstLine="0"/>
        <w:rPr>
          <w:rFonts w:ascii="Calibri" w:hAnsi="Calibri"/>
          <w:b/>
          <w:bCs/>
        </w:rPr>
      </w:pPr>
    </w:p>
    <w:p w14:paraId="3F88062C" w14:textId="21985621" w:rsidR="0049450F" w:rsidRPr="00D96F05" w:rsidRDefault="0049450F" w:rsidP="00AB38F0">
      <w:pPr>
        <w:pStyle w:val="maintext"/>
        <w:ind w:firstLineChars="0" w:firstLine="0"/>
        <w:rPr>
          <w:rFonts w:ascii="Calibri" w:hAnsi="Calibri"/>
          <w:b/>
          <w:bCs/>
        </w:rPr>
      </w:pPr>
      <w:bookmarkStart w:id="4" w:name="OLE_LINK1"/>
      <w:bookmarkStart w:id="5" w:name="OLE_LINK2"/>
      <w:bookmarkStart w:id="6" w:name="OLE_LINK5"/>
      <w:r w:rsidRPr="00D96F05">
        <w:rPr>
          <w:rFonts w:ascii="Calibri" w:hAnsi="Calibri"/>
          <w:b/>
          <w:bCs/>
        </w:rPr>
        <w:t xml:space="preserve">Proposal 2: </w:t>
      </w:r>
      <w:r w:rsidR="00D96F05" w:rsidRPr="00D96F05">
        <w:rPr>
          <w:rFonts w:ascii="Calibri" w:hAnsi="Calibri"/>
          <w:b/>
          <w:bCs/>
        </w:rPr>
        <w:t>RAN2 should study initial access and connection establishment of the NCR-MT on a band different from the band used by the NCR-</w:t>
      </w:r>
      <w:proofErr w:type="spellStart"/>
      <w:r w:rsidR="00D96F05" w:rsidRPr="00D96F05">
        <w:rPr>
          <w:rFonts w:ascii="Calibri" w:hAnsi="Calibri"/>
          <w:b/>
          <w:bCs/>
        </w:rPr>
        <w:t>Fwd</w:t>
      </w:r>
      <w:proofErr w:type="spellEnd"/>
      <w:r w:rsidR="00D96F05" w:rsidRPr="00D96F05">
        <w:rPr>
          <w:rFonts w:ascii="Calibri" w:hAnsi="Calibri"/>
          <w:b/>
          <w:bCs/>
        </w:rPr>
        <w:t xml:space="preserve"> for the access and backhaul links.</w:t>
      </w:r>
    </w:p>
    <w:bookmarkEnd w:id="4"/>
    <w:bookmarkEnd w:id="5"/>
    <w:bookmarkEnd w:id="6"/>
    <w:p w14:paraId="4A48FAC3" w14:textId="5AA9797C" w:rsidR="007338D6" w:rsidRDefault="003A566A" w:rsidP="00326FF6">
      <w:pPr>
        <w:pStyle w:val="Heading1"/>
      </w:pPr>
      <w:r w:rsidRPr="00172743">
        <w:lastRenderedPageBreak/>
        <w:t>Conclusion</w:t>
      </w:r>
    </w:p>
    <w:p w14:paraId="20F1F7C4" w14:textId="596D8DD7" w:rsidR="00F00551" w:rsidRPr="00B17FD9" w:rsidRDefault="0045180D" w:rsidP="00B17FD9">
      <w:pPr>
        <w:pStyle w:val="Doc-text2"/>
        <w:ind w:left="0" w:firstLine="0"/>
        <w:rPr>
          <w:rFonts w:ascii="Calibri" w:eastAsia="Malgun Gothic" w:hAnsi="Calibri" w:cs="Batang"/>
          <w:lang w:val="en-GB" w:eastAsia="ko-KR"/>
        </w:rPr>
      </w:pPr>
      <w:r>
        <w:rPr>
          <w:rFonts w:ascii="Calibri" w:hAnsi="Calibri"/>
        </w:rPr>
        <w:t xml:space="preserve">In this </w:t>
      </w:r>
      <w:r w:rsidR="000F6423">
        <w:rPr>
          <w:rFonts w:ascii="Calibri" w:hAnsi="Calibri"/>
        </w:rPr>
        <w:t xml:space="preserve">contribution, we </w:t>
      </w:r>
      <w:r w:rsidR="00D96F05">
        <w:rPr>
          <w:rFonts w:ascii="Calibri" w:hAnsi="Calibri"/>
        </w:rPr>
        <w:t>discuss support</w:t>
      </w:r>
      <w:r w:rsidR="00B17FD9">
        <w:rPr>
          <w:rFonts w:ascii="Calibri" w:eastAsia="Malgun Gothic" w:hAnsi="Calibri" w:cs="Batang"/>
          <w:lang w:val="en-GB" w:eastAsia="ko-KR"/>
        </w:rPr>
        <w:t xml:space="preserve"> for </w:t>
      </w:r>
      <w:r w:rsidR="00D96F05">
        <w:rPr>
          <w:rFonts w:ascii="Calibri" w:eastAsia="Malgun Gothic" w:hAnsi="Calibri" w:cs="Batang"/>
          <w:lang w:val="en-GB" w:eastAsia="ko-KR"/>
        </w:rPr>
        <w:t xml:space="preserve">multi-frequency operation for </w:t>
      </w:r>
      <w:r w:rsidR="00B17FD9">
        <w:rPr>
          <w:rFonts w:ascii="Calibri" w:eastAsia="Malgun Gothic" w:hAnsi="Calibri" w:cs="Batang"/>
          <w:lang w:val="en-GB" w:eastAsia="ko-KR"/>
        </w:rPr>
        <w:t>NR network-controlled repeaters</w:t>
      </w:r>
      <w:r w:rsidR="00D96F05">
        <w:rPr>
          <w:rFonts w:ascii="Calibri" w:eastAsia="Malgun Gothic" w:hAnsi="Calibri" w:cs="Batang"/>
          <w:lang w:val="en-GB" w:eastAsia="ko-KR"/>
        </w:rPr>
        <w:t xml:space="preserve"> </w:t>
      </w:r>
      <w:r w:rsidR="00976583">
        <w:rPr>
          <w:rFonts w:ascii="Calibri" w:eastAsia="Malgun Gothic" w:hAnsi="Calibri" w:cs="Batang"/>
          <w:lang w:val="en-GB" w:eastAsia="ko-KR"/>
        </w:rPr>
        <w:t>during initial access and authorization of the NCR-MT</w:t>
      </w:r>
      <w:r w:rsidR="000F6423">
        <w:rPr>
          <w:rFonts w:ascii="Calibri" w:hAnsi="Calibri"/>
        </w:rPr>
        <w:t xml:space="preserve">. We </w:t>
      </w:r>
      <w:r w:rsidR="00D71B0D">
        <w:rPr>
          <w:rFonts w:ascii="Calibri" w:hAnsi="Calibri"/>
        </w:rPr>
        <w:t xml:space="preserve">offer </w:t>
      </w:r>
      <w:r w:rsidR="000F6423">
        <w:rPr>
          <w:rFonts w:ascii="Calibri" w:hAnsi="Calibri"/>
        </w:rPr>
        <w:t>the following proposals</w:t>
      </w:r>
      <w:r w:rsidR="00D96F05">
        <w:rPr>
          <w:rFonts w:ascii="Calibri" w:hAnsi="Calibri"/>
        </w:rPr>
        <w:t>:</w:t>
      </w:r>
    </w:p>
    <w:p w14:paraId="608DAB06" w14:textId="4EE31072" w:rsidR="000F6423" w:rsidRDefault="000F6423" w:rsidP="00172743">
      <w:pPr>
        <w:spacing w:before="0" w:after="0"/>
        <w:rPr>
          <w:rFonts w:ascii="Calibri" w:hAnsi="Calibri"/>
        </w:rPr>
      </w:pPr>
    </w:p>
    <w:p w14:paraId="1730CF8C" w14:textId="77777777" w:rsidR="00131E75" w:rsidRPr="00131E75" w:rsidRDefault="00131E75" w:rsidP="00131E75">
      <w:pPr>
        <w:rPr>
          <w:rFonts w:ascii="Calibri" w:eastAsia="Malgun Gothic" w:hAnsi="Calibri" w:cs="Batang"/>
          <w:b/>
          <w:bCs/>
          <w:lang w:val="en-GB" w:eastAsia="ko-KR"/>
        </w:rPr>
      </w:pPr>
      <w:r w:rsidRPr="00131E75">
        <w:rPr>
          <w:rFonts w:ascii="Calibri" w:eastAsia="Malgun Gothic" w:hAnsi="Calibri" w:cs="Batang"/>
          <w:b/>
          <w:bCs/>
          <w:lang w:val="en-GB" w:eastAsia="ko-KR"/>
        </w:rPr>
        <w:t xml:space="preserve">Proposal 1: </w:t>
      </w:r>
      <w:r w:rsidRPr="00131E75">
        <w:rPr>
          <w:rFonts w:ascii="Calibri" w:hAnsi="Calibri"/>
          <w:b/>
          <w:bCs/>
        </w:rPr>
        <w:t>The IAB-MT control information and signaling framework should be adopted and extended as necessary for defining the initial access and authorization procedures of the NCR-MT.</w:t>
      </w:r>
    </w:p>
    <w:p w14:paraId="54D7AC85" w14:textId="77777777" w:rsidR="00976583" w:rsidRPr="00D96F05" w:rsidRDefault="00976583" w:rsidP="00976583">
      <w:pPr>
        <w:pStyle w:val="maintext"/>
        <w:ind w:firstLineChars="0" w:firstLine="0"/>
        <w:rPr>
          <w:rFonts w:ascii="Calibri" w:hAnsi="Calibri"/>
          <w:b/>
          <w:bCs/>
        </w:rPr>
      </w:pPr>
      <w:r w:rsidRPr="00D96F05">
        <w:rPr>
          <w:rFonts w:ascii="Calibri" w:hAnsi="Calibri"/>
          <w:b/>
          <w:bCs/>
        </w:rPr>
        <w:t>Proposal 2: RAN2 should study initial access and connection establishment of the NCR-MT on a band different from the band used by the NCR-</w:t>
      </w:r>
      <w:proofErr w:type="spellStart"/>
      <w:r w:rsidRPr="00D96F05">
        <w:rPr>
          <w:rFonts w:ascii="Calibri" w:hAnsi="Calibri"/>
          <w:b/>
          <w:bCs/>
        </w:rPr>
        <w:t>Fwd</w:t>
      </w:r>
      <w:proofErr w:type="spellEnd"/>
      <w:r w:rsidRPr="00D96F05">
        <w:rPr>
          <w:rFonts w:ascii="Calibri" w:hAnsi="Calibri"/>
          <w:b/>
          <w:bCs/>
        </w:rPr>
        <w:t xml:space="preserve"> for the access and backhaul links.</w:t>
      </w:r>
    </w:p>
    <w:p w14:paraId="42F6A97E" w14:textId="77777777" w:rsidR="00D5391C" w:rsidRDefault="00D5391C" w:rsidP="00172743">
      <w:pPr>
        <w:spacing w:before="0" w:after="0"/>
        <w:rPr>
          <w:rFonts w:ascii="Calibri" w:hAnsi="Calibri"/>
        </w:rPr>
      </w:pPr>
    </w:p>
    <w:p w14:paraId="0BD12FC0" w14:textId="77777777" w:rsidR="00FE6C15" w:rsidRPr="0076067D" w:rsidRDefault="00FE6C15" w:rsidP="0076067D">
      <w:pPr>
        <w:pStyle w:val="Heading1"/>
      </w:pPr>
      <w:r>
        <w:t>Reference</w:t>
      </w:r>
    </w:p>
    <w:p w14:paraId="6BCD9F0E" w14:textId="08A32C73"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w:t>
      </w:r>
      <w:r w:rsidR="00E625D9">
        <w:rPr>
          <w:rFonts w:cs="Times New Roman"/>
          <w:lang w:eastAsia="ko-KR"/>
        </w:rPr>
        <w:t>700</w:t>
      </w:r>
      <w:r>
        <w:rPr>
          <w:rFonts w:cs="Times New Roman"/>
          <w:lang w:eastAsia="ko-KR"/>
        </w:rPr>
        <w:t xml:space="preserve"> </w:t>
      </w:r>
      <w:r w:rsidR="00B17FD9" w:rsidRPr="00B17FD9">
        <w:rPr>
          <w:rFonts w:cs="Times New Roman"/>
          <w:lang w:eastAsia="ko-KR"/>
        </w:rPr>
        <w:t>New SI: Study on NR Network-controlled Repeaters</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BD876" w14:textId="77777777" w:rsidR="00E741B6" w:rsidRDefault="00E741B6" w:rsidP="00424124">
      <w:pPr>
        <w:spacing w:before="0" w:after="0"/>
      </w:pPr>
      <w:r>
        <w:separator/>
      </w:r>
    </w:p>
  </w:endnote>
  <w:endnote w:type="continuationSeparator" w:id="0">
    <w:p w14:paraId="0623454A" w14:textId="77777777" w:rsidR="00E741B6" w:rsidRDefault="00E741B6"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3AB12" w14:textId="77777777" w:rsidR="00E741B6" w:rsidRDefault="00E741B6" w:rsidP="00424124">
      <w:pPr>
        <w:spacing w:before="0" w:after="0"/>
      </w:pPr>
      <w:r>
        <w:separator/>
      </w:r>
    </w:p>
  </w:footnote>
  <w:footnote w:type="continuationSeparator" w:id="0">
    <w:p w14:paraId="57D31247" w14:textId="77777777" w:rsidR="00E741B6" w:rsidRDefault="00E741B6"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0"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6"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5402172">
    <w:abstractNumId w:val="14"/>
  </w:num>
  <w:num w:numId="2" w16cid:durableId="1261141932">
    <w:abstractNumId w:val="5"/>
  </w:num>
  <w:num w:numId="3" w16cid:durableId="895312596">
    <w:abstractNumId w:val="19"/>
  </w:num>
  <w:num w:numId="4" w16cid:durableId="419259076">
    <w:abstractNumId w:val="0"/>
  </w:num>
  <w:num w:numId="5" w16cid:durableId="17671888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1119751">
    <w:abstractNumId w:val="13"/>
  </w:num>
  <w:num w:numId="7" w16cid:durableId="700281187">
    <w:abstractNumId w:val="11"/>
  </w:num>
  <w:num w:numId="8" w16cid:durableId="135073134">
    <w:abstractNumId w:val="9"/>
  </w:num>
  <w:num w:numId="9" w16cid:durableId="605037890">
    <w:abstractNumId w:val="21"/>
  </w:num>
  <w:num w:numId="10" w16cid:durableId="66415197">
    <w:abstractNumId w:val="3"/>
  </w:num>
  <w:num w:numId="11" w16cid:durableId="366178180">
    <w:abstractNumId w:val="12"/>
  </w:num>
  <w:num w:numId="12" w16cid:durableId="2138452537">
    <w:abstractNumId w:val="4"/>
  </w:num>
  <w:num w:numId="13" w16cid:durableId="1691100204">
    <w:abstractNumId w:val="22"/>
  </w:num>
  <w:num w:numId="14" w16cid:durableId="1544713559">
    <w:abstractNumId w:val="15"/>
  </w:num>
  <w:num w:numId="15" w16cid:durableId="2017415298">
    <w:abstractNumId w:val="17"/>
  </w:num>
  <w:num w:numId="16" w16cid:durableId="688215850">
    <w:abstractNumId w:val="8"/>
  </w:num>
  <w:num w:numId="17" w16cid:durableId="564876616">
    <w:abstractNumId w:val="16"/>
  </w:num>
  <w:num w:numId="18" w16cid:durableId="748579674">
    <w:abstractNumId w:val="23"/>
  </w:num>
  <w:num w:numId="19" w16cid:durableId="376246038">
    <w:abstractNumId w:val="7"/>
  </w:num>
  <w:num w:numId="20" w16cid:durableId="91822955">
    <w:abstractNumId w:val="10"/>
  </w:num>
  <w:num w:numId="21" w16cid:durableId="242229352">
    <w:abstractNumId w:val="18"/>
  </w:num>
  <w:num w:numId="22" w16cid:durableId="1527518609">
    <w:abstractNumId w:val="20"/>
  </w:num>
  <w:num w:numId="23" w16cid:durableId="1999262013">
    <w:abstractNumId w:val="24"/>
  </w:num>
  <w:num w:numId="24" w16cid:durableId="340355615">
    <w:abstractNumId w:val="2"/>
  </w:num>
  <w:num w:numId="25" w16cid:durableId="198993526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208A6"/>
    <w:rsid w:val="00020F1A"/>
    <w:rsid w:val="00032D47"/>
    <w:rsid w:val="00034E1E"/>
    <w:rsid w:val="00035EAF"/>
    <w:rsid w:val="00043F30"/>
    <w:rsid w:val="00045AED"/>
    <w:rsid w:val="000463E4"/>
    <w:rsid w:val="0004664E"/>
    <w:rsid w:val="0004732B"/>
    <w:rsid w:val="00051B4B"/>
    <w:rsid w:val="00051EBB"/>
    <w:rsid w:val="000550BC"/>
    <w:rsid w:val="00057E9B"/>
    <w:rsid w:val="000643FA"/>
    <w:rsid w:val="0006696B"/>
    <w:rsid w:val="00071942"/>
    <w:rsid w:val="000724AF"/>
    <w:rsid w:val="000730C9"/>
    <w:rsid w:val="0007575F"/>
    <w:rsid w:val="00075B2C"/>
    <w:rsid w:val="00075FD1"/>
    <w:rsid w:val="00077712"/>
    <w:rsid w:val="00085800"/>
    <w:rsid w:val="000865E3"/>
    <w:rsid w:val="0008716F"/>
    <w:rsid w:val="00087E5C"/>
    <w:rsid w:val="00090197"/>
    <w:rsid w:val="000917C5"/>
    <w:rsid w:val="00095E02"/>
    <w:rsid w:val="00097DC6"/>
    <w:rsid w:val="000A093A"/>
    <w:rsid w:val="000A36A9"/>
    <w:rsid w:val="000B0720"/>
    <w:rsid w:val="000B58AF"/>
    <w:rsid w:val="000B6D99"/>
    <w:rsid w:val="000C1344"/>
    <w:rsid w:val="000C21D0"/>
    <w:rsid w:val="000C42E2"/>
    <w:rsid w:val="000C57B9"/>
    <w:rsid w:val="000D38DC"/>
    <w:rsid w:val="000E29D8"/>
    <w:rsid w:val="000F6423"/>
    <w:rsid w:val="0010303E"/>
    <w:rsid w:val="001116B0"/>
    <w:rsid w:val="0011327D"/>
    <w:rsid w:val="00115E2D"/>
    <w:rsid w:val="00116DA6"/>
    <w:rsid w:val="00126BEC"/>
    <w:rsid w:val="001306D1"/>
    <w:rsid w:val="00131E75"/>
    <w:rsid w:val="00133F21"/>
    <w:rsid w:val="00137E15"/>
    <w:rsid w:val="001417A8"/>
    <w:rsid w:val="00141C15"/>
    <w:rsid w:val="00145540"/>
    <w:rsid w:val="00153793"/>
    <w:rsid w:val="001547B6"/>
    <w:rsid w:val="00155C3C"/>
    <w:rsid w:val="00163E5F"/>
    <w:rsid w:val="0016445D"/>
    <w:rsid w:val="00164BF6"/>
    <w:rsid w:val="00166479"/>
    <w:rsid w:val="001677A3"/>
    <w:rsid w:val="00172743"/>
    <w:rsid w:val="00175301"/>
    <w:rsid w:val="00176A86"/>
    <w:rsid w:val="001A12F1"/>
    <w:rsid w:val="001A5A68"/>
    <w:rsid w:val="001A6212"/>
    <w:rsid w:val="001A75E0"/>
    <w:rsid w:val="001B0AF2"/>
    <w:rsid w:val="001B731B"/>
    <w:rsid w:val="001C22A7"/>
    <w:rsid w:val="001C2DBE"/>
    <w:rsid w:val="001C4ACE"/>
    <w:rsid w:val="001C699C"/>
    <w:rsid w:val="001D1016"/>
    <w:rsid w:val="001E0CE1"/>
    <w:rsid w:val="001E58CC"/>
    <w:rsid w:val="001F2A01"/>
    <w:rsid w:val="001F59ED"/>
    <w:rsid w:val="002111DF"/>
    <w:rsid w:val="00211D37"/>
    <w:rsid w:val="00212204"/>
    <w:rsid w:val="00216763"/>
    <w:rsid w:val="00222269"/>
    <w:rsid w:val="00222811"/>
    <w:rsid w:val="00225464"/>
    <w:rsid w:val="00227E55"/>
    <w:rsid w:val="00233D70"/>
    <w:rsid w:val="00235373"/>
    <w:rsid w:val="0023655D"/>
    <w:rsid w:val="00242080"/>
    <w:rsid w:val="00246D61"/>
    <w:rsid w:val="0024786A"/>
    <w:rsid w:val="0025058B"/>
    <w:rsid w:val="00252F50"/>
    <w:rsid w:val="00260D45"/>
    <w:rsid w:val="00262116"/>
    <w:rsid w:val="002641FE"/>
    <w:rsid w:val="00265254"/>
    <w:rsid w:val="00267362"/>
    <w:rsid w:val="002725E8"/>
    <w:rsid w:val="00272EC2"/>
    <w:rsid w:val="00273B2A"/>
    <w:rsid w:val="00274677"/>
    <w:rsid w:val="00276785"/>
    <w:rsid w:val="0029147A"/>
    <w:rsid w:val="00296604"/>
    <w:rsid w:val="00297225"/>
    <w:rsid w:val="002A005E"/>
    <w:rsid w:val="002A0270"/>
    <w:rsid w:val="002A189A"/>
    <w:rsid w:val="002A50E9"/>
    <w:rsid w:val="002A66E2"/>
    <w:rsid w:val="002B7AEB"/>
    <w:rsid w:val="002C0488"/>
    <w:rsid w:val="002C4097"/>
    <w:rsid w:val="002C594E"/>
    <w:rsid w:val="002D3D42"/>
    <w:rsid w:val="002D479B"/>
    <w:rsid w:val="002D4DDC"/>
    <w:rsid w:val="002D6EC9"/>
    <w:rsid w:val="002D787B"/>
    <w:rsid w:val="002E04E4"/>
    <w:rsid w:val="002E188B"/>
    <w:rsid w:val="002E5135"/>
    <w:rsid w:val="002F692C"/>
    <w:rsid w:val="00315DC4"/>
    <w:rsid w:val="00317020"/>
    <w:rsid w:val="00317054"/>
    <w:rsid w:val="00320B4D"/>
    <w:rsid w:val="00321FC4"/>
    <w:rsid w:val="00326FF6"/>
    <w:rsid w:val="00327A22"/>
    <w:rsid w:val="00332BB8"/>
    <w:rsid w:val="0033513A"/>
    <w:rsid w:val="00342130"/>
    <w:rsid w:val="00343561"/>
    <w:rsid w:val="00346605"/>
    <w:rsid w:val="0035318F"/>
    <w:rsid w:val="00354C01"/>
    <w:rsid w:val="00355FF9"/>
    <w:rsid w:val="00361C2F"/>
    <w:rsid w:val="0036306A"/>
    <w:rsid w:val="003727DB"/>
    <w:rsid w:val="00386642"/>
    <w:rsid w:val="0039078B"/>
    <w:rsid w:val="00390912"/>
    <w:rsid w:val="00392176"/>
    <w:rsid w:val="003921D6"/>
    <w:rsid w:val="003A0928"/>
    <w:rsid w:val="003A298A"/>
    <w:rsid w:val="003A553B"/>
    <w:rsid w:val="003A566A"/>
    <w:rsid w:val="003B1EC9"/>
    <w:rsid w:val="003B2DFA"/>
    <w:rsid w:val="003B32A7"/>
    <w:rsid w:val="003B4548"/>
    <w:rsid w:val="003C2392"/>
    <w:rsid w:val="003C2E75"/>
    <w:rsid w:val="003D3004"/>
    <w:rsid w:val="003D523C"/>
    <w:rsid w:val="003E1304"/>
    <w:rsid w:val="003E35D4"/>
    <w:rsid w:val="003E3DEA"/>
    <w:rsid w:val="003E4685"/>
    <w:rsid w:val="003E7121"/>
    <w:rsid w:val="003F0731"/>
    <w:rsid w:val="003F33B4"/>
    <w:rsid w:val="003F36B0"/>
    <w:rsid w:val="003F5CAC"/>
    <w:rsid w:val="0040372C"/>
    <w:rsid w:val="004047F5"/>
    <w:rsid w:val="00405F6D"/>
    <w:rsid w:val="00424124"/>
    <w:rsid w:val="00434212"/>
    <w:rsid w:val="0043652D"/>
    <w:rsid w:val="00440F6E"/>
    <w:rsid w:val="00443645"/>
    <w:rsid w:val="00443CD6"/>
    <w:rsid w:val="0045180D"/>
    <w:rsid w:val="004552C9"/>
    <w:rsid w:val="004607AC"/>
    <w:rsid w:val="0046127E"/>
    <w:rsid w:val="004627EF"/>
    <w:rsid w:val="00466E46"/>
    <w:rsid w:val="004678E1"/>
    <w:rsid w:val="004729B6"/>
    <w:rsid w:val="00473281"/>
    <w:rsid w:val="00473B68"/>
    <w:rsid w:val="004776CE"/>
    <w:rsid w:val="0047793F"/>
    <w:rsid w:val="00480799"/>
    <w:rsid w:val="00480BBD"/>
    <w:rsid w:val="00481601"/>
    <w:rsid w:val="0048301B"/>
    <w:rsid w:val="004866E3"/>
    <w:rsid w:val="00492168"/>
    <w:rsid w:val="0049450F"/>
    <w:rsid w:val="004A5ABE"/>
    <w:rsid w:val="004A6424"/>
    <w:rsid w:val="004A69D0"/>
    <w:rsid w:val="004A6A82"/>
    <w:rsid w:val="004B185B"/>
    <w:rsid w:val="004B22E2"/>
    <w:rsid w:val="004B2D38"/>
    <w:rsid w:val="004B6AA8"/>
    <w:rsid w:val="004B6E00"/>
    <w:rsid w:val="004C130E"/>
    <w:rsid w:val="004C186B"/>
    <w:rsid w:val="004C38DD"/>
    <w:rsid w:val="004C3F2E"/>
    <w:rsid w:val="004C4856"/>
    <w:rsid w:val="004C6DC3"/>
    <w:rsid w:val="004C7784"/>
    <w:rsid w:val="004D1CAD"/>
    <w:rsid w:val="004D453B"/>
    <w:rsid w:val="004D780D"/>
    <w:rsid w:val="004D7CF8"/>
    <w:rsid w:val="004E4188"/>
    <w:rsid w:val="004E6BC0"/>
    <w:rsid w:val="004E6D3B"/>
    <w:rsid w:val="004F3417"/>
    <w:rsid w:val="004F39D2"/>
    <w:rsid w:val="004F46BC"/>
    <w:rsid w:val="004F47DC"/>
    <w:rsid w:val="004F5864"/>
    <w:rsid w:val="005007E9"/>
    <w:rsid w:val="00504C05"/>
    <w:rsid w:val="00504E5F"/>
    <w:rsid w:val="00504E73"/>
    <w:rsid w:val="005055A6"/>
    <w:rsid w:val="00506EF4"/>
    <w:rsid w:val="00507060"/>
    <w:rsid w:val="0051179B"/>
    <w:rsid w:val="0051424F"/>
    <w:rsid w:val="005174AE"/>
    <w:rsid w:val="00523623"/>
    <w:rsid w:val="005300F0"/>
    <w:rsid w:val="005339F7"/>
    <w:rsid w:val="00534DE7"/>
    <w:rsid w:val="005363F5"/>
    <w:rsid w:val="00544843"/>
    <w:rsid w:val="0054560C"/>
    <w:rsid w:val="00545FD3"/>
    <w:rsid w:val="0055464C"/>
    <w:rsid w:val="00561FB7"/>
    <w:rsid w:val="0056238B"/>
    <w:rsid w:val="00563129"/>
    <w:rsid w:val="00565BDB"/>
    <w:rsid w:val="005666A4"/>
    <w:rsid w:val="0057145F"/>
    <w:rsid w:val="005758E7"/>
    <w:rsid w:val="005778C8"/>
    <w:rsid w:val="0058120D"/>
    <w:rsid w:val="00586C5F"/>
    <w:rsid w:val="00591529"/>
    <w:rsid w:val="005A0E71"/>
    <w:rsid w:val="005A1A97"/>
    <w:rsid w:val="005A1F9F"/>
    <w:rsid w:val="005B31EF"/>
    <w:rsid w:val="005B47BD"/>
    <w:rsid w:val="005B6FA6"/>
    <w:rsid w:val="005C0F4C"/>
    <w:rsid w:val="005D2C51"/>
    <w:rsid w:val="005F1619"/>
    <w:rsid w:val="005F21BF"/>
    <w:rsid w:val="005F613D"/>
    <w:rsid w:val="005F7630"/>
    <w:rsid w:val="005F7F36"/>
    <w:rsid w:val="006010E0"/>
    <w:rsid w:val="00603015"/>
    <w:rsid w:val="0060603E"/>
    <w:rsid w:val="00611A88"/>
    <w:rsid w:val="00616A59"/>
    <w:rsid w:val="00620C27"/>
    <w:rsid w:val="00623B38"/>
    <w:rsid w:val="0063087B"/>
    <w:rsid w:val="00632789"/>
    <w:rsid w:val="00634707"/>
    <w:rsid w:val="00635D05"/>
    <w:rsid w:val="006439F2"/>
    <w:rsid w:val="00644034"/>
    <w:rsid w:val="006477B7"/>
    <w:rsid w:val="00652AC8"/>
    <w:rsid w:val="00655FEB"/>
    <w:rsid w:val="0066157D"/>
    <w:rsid w:val="0067125A"/>
    <w:rsid w:val="00671E30"/>
    <w:rsid w:val="006756FB"/>
    <w:rsid w:val="00677BD0"/>
    <w:rsid w:val="006843E1"/>
    <w:rsid w:val="00685B82"/>
    <w:rsid w:val="00685E11"/>
    <w:rsid w:val="0069705B"/>
    <w:rsid w:val="006A0EDC"/>
    <w:rsid w:val="006A18DB"/>
    <w:rsid w:val="006A2D2E"/>
    <w:rsid w:val="006A583A"/>
    <w:rsid w:val="006A7498"/>
    <w:rsid w:val="006B16C1"/>
    <w:rsid w:val="006C1C85"/>
    <w:rsid w:val="006C452E"/>
    <w:rsid w:val="006C48AC"/>
    <w:rsid w:val="006D6ABC"/>
    <w:rsid w:val="006E1700"/>
    <w:rsid w:val="006E1CF4"/>
    <w:rsid w:val="006E790B"/>
    <w:rsid w:val="006F055C"/>
    <w:rsid w:val="006F5485"/>
    <w:rsid w:val="00702C40"/>
    <w:rsid w:val="00707D20"/>
    <w:rsid w:val="00710F58"/>
    <w:rsid w:val="00714B77"/>
    <w:rsid w:val="00716F18"/>
    <w:rsid w:val="00721AD7"/>
    <w:rsid w:val="007225EF"/>
    <w:rsid w:val="00722BA6"/>
    <w:rsid w:val="00723DC5"/>
    <w:rsid w:val="00727952"/>
    <w:rsid w:val="007338D6"/>
    <w:rsid w:val="00737F2A"/>
    <w:rsid w:val="00740B36"/>
    <w:rsid w:val="00741B79"/>
    <w:rsid w:val="00747A6F"/>
    <w:rsid w:val="00751076"/>
    <w:rsid w:val="007531BC"/>
    <w:rsid w:val="00755E5E"/>
    <w:rsid w:val="0075622F"/>
    <w:rsid w:val="0075696D"/>
    <w:rsid w:val="0076067D"/>
    <w:rsid w:val="007677CC"/>
    <w:rsid w:val="007704B9"/>
    <w:rsid w:val="00776EF2"/>
    <w:rsid w:val="007814F3"/>
    <w:rsid w:val="00782CDC"/>
    <w:rsid w:val="007839F9"/>
    <w:rsid w:val="00784132"/>
    <w:rsid w:val="00786229"/>
    <w:rsid w:val="00791D57"/>
    <w:rsid w:val="00795A55"/>
    <w:rsid w:val="007A2765"/>
    <w:rsid w:val="007B13E5"/>
    <w:rsid w:val="007B2F6B"/>
    <w:rsid w:val="007B473A"/>
    <w:rsid w:val="007B4C06"/>
    <w:rsid w:val="007C0083"/>
    <w:rsid w:val="007D0BB2"/>
    <w:rsid w:val="007D2C48"/>
    <w:rsid w:val="007D672A"/>
    <w:rsid w:val="007E546F"/>
    <w:rsid w:val="007F0AF3"/>
    <w:rsid w:val="007F1928"/>
    <w:rsid w:val="007F3600"/>
    <w:rsid w:val="007F392E"/>
    <w:rsid w:val="00807435"/>
    <w:rsid w:val="00811A1B"/>
    <w:rsid w:val="00813DEF"/>
    <w:rsid w:val="00814815"/>
    <w:rsid w:val="00814F68"/>
    <w:rsid w:val="008222F9"/>
    <w:rsid w:val="00822C1C"/>
    <w:rsid w:val="00824C74"/>
    <w:rsid w:val="00824DED"/>
    <w:rsid w:val="00826E5A"/>
    <w:rsid w:val="00830875"/>
    <w:rsid w:val="0083513D"/>
    <w:rsid w:val="0083713D"/>
    <w:rsid w:val="008437B2"/>
    <w:rsid w:val="00843F1C"/>
    <w:rsid w:val="00850DCE"/>
    <w:rsid w:val="00853591"/>
    <w:rsid w:val="00854FBB"/>
    <w:rsid w:val="0086373E"/>
    <w:rsid w:val="008661BA"/>
    <w:rsid w:val="008671A6"/>
    <w:rsid w:val="00871CA8"/>
    <w:rsid w:val="00872E80"/>
    <w:rsid w:val="00874586"/>
    <w:rsid w:val="00885004"/>
    <w:rsid w:val="00886B7B"/>
    <w:rsid w:val="00887AB4"/>
    <w:rsid w:val="00894290"/>
    <w:rsid w:val="008A03FB"/>
    <w:rsid w:val="008A25A1"/>
    <w:rsid w:val="008A5D14"/>
    <w:rsid w:val="008B39B6"/>
    <w:rsid w:val="008B4455"/>
    <w:rsid w:val="008C1AFD"/>
    <w:rsid w:val="008C4B67"/>
    <w:rsid w:val="008D1AEF"/>
    <w:rsid w:val="008D5DB8"/>
    <w:rsid w:val="008E48C2"/>
    <w:rsid w:val="008E526C"/>
    <w:rsid w:val="008F1CFE"/>
    <w:rsid w:val="008F2160"/>
    <w:rsid w:val="00905E86"/>
    <w:rsid w:val="009124E4"/>
    <w:rsid w:val="00917D0F"/>
    <w:rsid w:val="00921CC4"/>
    <w:rsid w:val="00924EA9"/>
    <w:rsid w:val="00925FA2"/>
    <w:rsid w:val="009268AE"/>
    <w:rsid w:val="00926A9C"/>
    <w:rsid w:val="00927803"/>
    <w:rsid w:val="0093139A"/>
    <w:rsid w:val="009453B3"/>
    <w:rsid w:val="0094586E"/>
    <w:rsid w:val="00951766"/>
    <w:rsid w:val="00957CD1"/>
    <w:rsid w:val="00960F96"/>
    <w:rsid w:val="00961DB2"/>
    <w:rsid w:val="00962456"/>
    <w:rsid w:val="0097292F"/>
    <w:rsid w:val="009741D9"/>
    <w:rsid w:val="00976583"/>
    <w:rsid w:val="0098270C"/>
    <w:rsid w:val="00982CA4"/>
    <w:rsid w:val="00984235"/>
    <w:rsid w:val="00993D92"/>
    <w:rsid w:val="00996BC6"/>
    <w:rsid w:val="009A2180"/>
    <w:rsid w:val="009A4D63"/>
    <w:rsid w:val="009A54FC"/>
    <w:rsid w:val="009B08C5"/>
    <w:rsid w:val="009B52C0"/>
    <w:rsid w:val="009B5F13"/>
    <w:rsid w:val="009C2167"/>
    <w:rsid w:val="009C3A43"/>
    <w:rsid w:val="009C4757"/>
    <w:rsid w:val="009C7547"/>
    <w:rsid w:val="009D46C1"/>
    <w:rsid w:val="009D5B40"/>
    <w:rsid w:val="009E0D02"/>
    <w:rsid w:val="009E4418"/>
    <w:rsid w:val="009E5838"/>
    <w:rsid w:val="00A0235E"/>
    <w:rsid w:val="00A024AB"/>
    <w:rsid w:val="00A04526"/>
    <w:rsid w:val="00A07EAB"/>
    <w:rsid w:val="00A11704"/>
    <w:rsid w:val="00A11840"/>
    <w:rsid w:val="00A127C5"/>
    <w:rsid w:val="00A13AA6"/>
    <w:rsid w:val="00A22671"/>
    <w:rsid w:val="00A22C61"/>
    <w:rsid w:val="00A262E4"/>
    <w:rsid w:val="00A26EC3"/>
    <w:rsid w:val="00A300E0"/>
    <w:rsid w:val="00A359C7"/>
    <w:rsid w:val="00A35DBF"/>
    <w:rsid w:val="00A41CF3"/>
    <w:rsid w:val="00A4200A"/>
    <w:rsid w:val="00A4674D"/>
    <w:rsid w:val="00A547CE"/>
    <w:rsid w:val="00A55FF3"/>
    <w:rsid w:val="00A603CE"/>
    <w:rsid w:val="00A64CF7"/>
    <w:rsid w:val="00A65FD7"/>
    <w:rsid w:val="00A7535D"/>
    <w:rsid w:val="00A7677A"/>
    <w:rsid w:val="00A80FA1"/>
    <w:rsid w:val="00A81AFF"/>
    <w:rsid w:val="00A821EA"/>
    <w:rsid w:val="00A8721E"/>
    <w:rsid w:val="00A92495"/>
    <w:rsid w:val="00AA5160"/>
    <w:rsid w:val="00AA5899"/>
    <w:rsid w:val="00AA6DEA"/>
    <w:rsid w:val="00AB38F0"/>
    <w:rsid w:val="00AB75A3"/>
    <w:rsid w:val="00AB7FC6"/>
    <w:rsid w:val="00AC05AE"/>
    <w:rsid w:val="00AD115D"/>
    <w:rsid w:val="00AD16AE"/>
    <w:rsid w:val="00AD6C53"/>
    <w:rsid w:val="00AE72F4"/>
    <w:rsid w:val="00AF0A4B"/>
    <w:rsid w:val="00AF4BBC"/>
    <w:rsid w:val="00AF637C"/>
    <w:rsid w:val="00AF65DE"/>
    <w:rsid w:val="00B03B66"/>
    <w:rsid w:val="00B04278"/>
    <w:rsid w:val="00B07458"/>
    <w:rsid w:val="00B11C29"/>
    <w:rsid w:val="00B12672"/>
    <w:rsid w:val="00B14ADC"/>
    <w:rsid w:val="00B15E6A"/>
    <w:rsid w:val="00B17FD9"/>
    <w:rsid w:val="00B2434D"/>
    <w:rsid w:val="00B24D29"/>
    <w:rsid w:val="00B34716"/>
    <w:rsid w:val="00B3707E"/>
    <w:rsid w:val="00B468FE"/>
    <w:rsid w:val="00B50950"/>
    <w:rsid w:val="00B61A13"/>
    <w:rsid w:val="00B62196"/>
    <w:rsid w:val="00B6232D"/>
    <w:rsid w:val="00B648CA"/>
    <w:rsid w:val="00B66CC1"/>
    <w:rsid w:val="00B66FA5"/>
    <w:rsid w:val="00B674C5"/>
    <w:rsid w:val="00B747E3"/>
    <w:rsid w:val="00B74894"/>
    <w:rsid w:val="00B749FB"/>
    <w:rsid w:val="00B75800"/>
    <w:rsid w:val="00B75FF7"/>
    <w:rsid w:val="00B82B83"/>
    <w:rsid w:val="00B8611D"/>
    <w:rsid w:val="00B86A23"/>
    <w:rsid w:val="00B909F7"/>
    <w:rsid w:val="00B96A24"/>
    <w:rsid w:val="00BA677D"/>
    <w:rsid w:val="00BA6FDB"/>
    <w:rsid w:val="00BB02ED"/>
    <w:rsid w:val="00BB3CBF"/>
    <w:rsid w:val="00BB5132"/>
    <w:rsid w:val="00BB606C"/>
    <w:rsid w:val="00BB65B4"/>
    <w:rsid w:val="00BC31F9"/>
    <w:rsid w:val="00BC6F83"/>
    <w:rsid w:val="00BC704C"/>
    <w:rsid w:val="00BD34B4"/>
    <w:rsid w:val="00BD4EE7"/>
    <w:rsid w:val="00BD70CD"/>
    <w:rsid w:val="00BE373F"/>
    <w:rsid w:val="00BF0E9C"/>
    <w:rsid w:val="00BF1232"/>
    <w:rsid w:val="00BF2C5D"/>
    <w:rsid w:val="00BF31E3"/>
    <w:rsid w:val="00BF5F1C"/>
    <w:rsid w:val="00C0471E"/>
    <w:rsid w:val="00C07731"/>
    <w:rsid w:val="00C17339"/>
    <w:rsid w:val="00C17E83"/>
    <w:rsid w:val="00C218A9"/>
    <w:rsid w:val="00C23997"/>
    <w:rsid w:val="00C2430C"/>
    <w:rsid w:val="00C40BE6"/>
    <w:rsid w:val="00C47EE0"/>
    <w:rsid w:val="00C517CE"/>
    <w:rsid w:val="00C53317"/>
    <w:rsid w:val="00C55337"/>
    <w:rsid w:val="00C55AFA"/>
    <w:rsid w:val="00C565E3"/>
    <w:rsid w:val="00C60F90"/>
    <w:rsid w:val="00C61EB9"/>
    <w:rsid w:val="00C63006"/>
    <w:rsid w:val="00C6623E"/>
    <w:rsid w:val="00C67568"/>
    <w:rsid w:val="00C67B33"/>
    <w:rsid w:val="00C7007B"/>
    <w:rsid w:val="00C71871"/>
    <w:rsid w:val="00C724F1"/>
    <w:rsid w:val="00C732A6"/>
    <w:rsid w:val="00C735F1"/>
    <w:rsid w:val="00C913B6"/>
    <w:rsid w:val="00C91C5E"/>
    <w:rsid w:val="00C92E44"/>
    <w:rsid w:val="00CA6EA3"/>
    <w:rsid w:val="00CB15A7"/>
    <w:rsid w:val="00CB3398"/>
    <w:rsid w:val="00CB367A"/>
    <w:rsid w:val="00CB37E9"/>
    <w:rsid w:val="00CB424D"/>
    <w:rsid w:val="00CB6D97"/>
    <w:rsid w:val="00CC09CE"/>
    <w:rsid w:val="00CC13A4"/>
    <w:rsid w:val="00CC18CA"/>
    <w:rsid w:val="00CC2B1A"/>
    <w:rsid w:val="00CC6426"/>
    <w:rsid w:val="00CD32A6"/>
    <w:rsid w:val="00CD451E"/>
    <w:rsid w:val="00CD7021"/>
    <w:rsid w:val="00CE0C9D"/>
    <w:rsid w:val="00CF29C8"/>
    <w:rsid w:val="00D11258"/>
    <w:rsid w:val="00D12496"/>
    <w:rsid w:val="00D134C5"/>
    <w:rsid w:val="00D20E5E"/>
    <w:rsid w:val="00D23CDC"/>
    <w:rsid w:val="00D26593"/>
    <w:rsid w:val="00D268EB"/>
    <w:rsid w:val="00D26CFF"/>
    <w:rsid w:val="00D274C6"/>
    <w:rsid w:val="00D446F1"/>
    <w:rsid w:val="00D4500C"/>
    <w:rsid w:val="00D456D8"/>
    <w:rsid w:val="00D45A0E"/>
    <w:rsid w:val="00D4758C"/>
    <w:rsid w:val="00D50169"/>
    <w:rsid w:val="00D506AA"/>
    <w:rsid w:val="00D522CC"/>
    <w:rsid w:val="00D5391C"/>
    <w:rsid w:val="00D55FAB"/>
    <w:rsid w:val="00D56786"/>
    <w:rsid w:val="00D61EAB"/>
    <w:rsid w:val="00D645A9"/>
    <w:rsid w:val="00D701D3"/>
    <w:rsid w:val="00D71B0D"/>
    <w:rsid w:val="00D7445F"/>
    <w:rsid w:val="00D9137B"/>
    <w:rsid w:val="00D91E8D"/>
    <w:rsid w:val="00D92B1D"/>
    <w:rsid w:val="00D96F05"/>
    <w:rsid w:val="00DA75DC"/>
    <w:rsid w:val="00DB0323"/>
    <w:rsid w:val="00DB1FA7"/>
    <w:rsid w:val="00DB3BFC"/>
    <w:rsid w:val="00DB5910"/>
    <w:rsid w:val="00DC0E31"/>
    <w:rsid w:val="00DC3C53"/>
    <w:rsid w:val="00DC70D0"/>
    <w:rsid w:val="00DC7DD6"/>
    <w:rsid w:val="00DD3971"/>
    <w:rsid w:val="00DD47DD"/>
    <w:rsid w:val="00DD527A"/>
    <w:rsid w:val="00DE277A"/>
    <w:rsid w:val="00DE2A3F"/>
    <w:rsid w:val="00DE3A3E"/>
    <w:rsid w:val="00DF5F45"/>
    <w:rsid w:val="00E03E65"/>
    <w:rsid w:val="00E13146"/>
    <w:rsid w:val="00E174FC"/>
    <w:rsid w:val="00E20070"/>
    <w:rsid w:val="00E20994"/>
    <w:rsid w:val="00E22124"/>
    <w:rsid w:val="00E261AD"/>
    <w:rsid w:val="00E324C0"/>
    <w:rsid w:val="00E40344"/>
    <w:rsid w:val="00E56C7E"/>
    <w:rsid w:val="00E576BD"/>
    <w:rsid w:val="00E57BE9"/>
    <w:rsid w:val="00E604D6"/>
    <w:rsid w:val="00E625D9"/>
    <w:rsid w:val="00E67086"/>
    <w:rsid w:val="00E67A6E"/>
    <w:rsid w:val="00E741B6"/>
    <w:rsid w:val="00E857E4"/>
    <w:rsid w:val="00E85B05"/>
    <w:rsid w:val="00E9139D"/>
    <w:rsid w:val="00E92487"/>
    <w:rsid w:val="00E94123"/>
    <w:rsid w:val="00EA219F"/>
    <w:rsid w:val="00EA26E5"/>
    <w:rsid w:val="00EA3B02"/>
    <w:rsid w:val="00EA5A59"/>
    <w:rsid w:val="00EA6213"/>
    <w:rsid w:val="00EB0C39"/>
    <w:rsid w:val="00EB3301"/>
    <w:rsid w:val="00EB7F64"/>
    <w:rsid w:val="00EC66AA"/>
    <w:rsid w:val="00EE013E"/>
    <w:rsid w:val="00EE2068"/>
    <w:rsid w:val="00EE4A18"/>
    <w:rsid w:val="00EF1F69"/>
    <w:rsid w:val="00EF2787"/>
    <w:rsid w:val="00EF61D1"/>
    <w:rsid w:val="00F00551"/>
    <w:rsid w:val="00F01D00"/>
    <w:rsid w:val="00F05333"/>
    <w:rsid w:val="00F154D0"/>
    <w:rsid w:val="00F173D1"/>
    <w:rsid w:val="00F24880"/>
    <w:rsid w:val="00F261D6"/>
    <w:rsid w:val="00F26D45"/>
    <w:rsid w:val="00F30C84"/>
    <w:rsid w:val="00F35704"/>
    <w:rsid w:val="00F35911"/>
    <w:rsid w:val="00F35DD7"/>
    <w:rsid w:val="00F37513"/>
    <w:rsid w:val="00F42D43"/>
    <w:rsid w:val="00F44535"/>
    <w:rsid w:val="00F465CD"/>
    <w:rsid w:val="00F57965"/>
    <w:rsid w:val="00F60351"/>
    <w:rsid w:val="00F60640"/>
    <w:rsid w:val="00F6398D"/>
    <w:rsid w:val="00F66A95"/>
    <w:rsid w:val="00F70A83"/>
    <w:rsid w:val="00F70F29"/>
    <w:rsid w:val="00F71810"/>
    <w:rsid w:val="00F72ABE"/>
    <w:rsid w:val="00F72B1B"/>
    <w:rsid w:val="00F75873"/>
    <w:rsid w:val="00F7596C"/>
    <w:rsid w:val="00F765DB"/>
    <w:rsid w:val="00F77BAA"/>
    <w:rsid w:val="00F77E12"/>
    <w:rsid w:val="00F80CBC"/>
    <w:rsid w:val="00F814DE"/>
    <w:rsid w:val="00F90045"/>
    <w:rsid w:val="00F925FE"/>
    <w:rsid w:val="00FA0472"/>
    <w:rsid w:val="00FA28D1"/>
    <w:rsid w:val="00FA41E9"/>
    <w:rsid w:val="00FA6558"/>
    <w:rsid w:val="00FB2665"/>
    <w:rsid w:val="00FC46AF"/>
    <w:rsid w:val="00FC79A8"/>
    <w:rsid w:val="00FD489B"/>
    <w:rsid w:val="00FD530D"/>
    <w:rsid w:val="00FD791D"/>
    <w:rsid w:val="00FE0217"/>
    <w:rsid w:val="00FE6C15"/>
    <w:rsid w:val="00FF02B6"/>
    <w:rsid w:val="00FF0F79"/>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E75"/>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roposal">
    <w:name w:val="Proposal"/>
    <w:basedOn w:val="Normal"/>
    <w:link w:val="ProposalChar"/>
    <w:qFormat/>
    <w:rsid w:val="0006696B"/>
    <w:pPr>
      <w:tabs>
        <w:tab w:val="left" w:pos="1701"/>
      </w:tabs>
      <w:overflowPunct w:val="0"/>
      <w:autoSpaceDE w:val="0"/>
      <w:autoSpaceDN w:val="0"/>
      <w:adjustRightInd w:val="0"/>
      <w:spacing w:before="0"/>
      <w:ind w:left="1701" w:hanging="1701"/>
      <w:textAlignment w:val="baseline"/>
    </w:pPr>
    <w:rPr>
      <w:rFonts w:ascii="Times New Roman" w:hAnsi="Times New Roman"/>
      <w:b/>
      <w:bCs/>
      <w:lang w:val="en-GB" w:eastAsia="zh-CN"/>
    </w:rPr>
  </w:style>
  <w:style w:type="character" w:customStyle="1" w:styleId="ProposalChar">
    <w:name w:val="Proposal Char"/>
    <w:link w:val="Proposal"/>
    <w:qFormat/>
    <w:rsid w:val="0006696B"/>
    <w:rPr>
      <w:rFonts w:ascii="Times New Roman" w:eastAsia="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27285834">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34886994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0057564">
      <w:bodyDiv w:val="1"/>
      <w:marLeft w:val="0"/>
      <w:marRight w:val="0"/>
      <w:marTop w:val="0"/>
      <w:marBottom w:val="0"/>
      <w:divBdr>
        <w:top w:val="none" w:sz="0" w:space="0" w:color="auto"/>
        <w:left w:val="none" w:sz="0" w:space="0" w:color="auto"/>
        <w:bottom w:val="none" w:sz="0" w:space="0" w:color="auto"/>
        <w:right w:val="none" w:sz="0" w:space="0" w:color="auto"/>
      </w:divBdr>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1192</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7972</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2022-08-09T20:29:00Z</cp:lastPrinted>
  <dcterms:created xsi:type="dcterms:W3CDTF">2022-08-10T03:32:00Z</dcterms:created>
  <dcterms:modified xsi:type="dcterms:W3CDTF">2022-08-10T03:32:00Z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