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664D4848"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2D4C57">
        <w:rPr>
          <w:rFonts w:ascii="Arial" w:hAnsi="Arial" w:cs="Arial"/>
          <w:b/>
          <w:bCs/>
          <w:sz w:val="24"/>
        </w:rPr>
        <w:t>9</w:t>
      </w:r>
      <w:r w:rsidRPr="00BF20D3">
        <w:rPr>
          <w:rFonts w:ascii="Arial" w:hAnsi="Arial" w:cs="Arial"/>
          <w:b/>
          <w:bCs/>
          <w:sz w:val="24"/>
        </w:rPr>
        <w:t>-e</w:t>
      </w:r>
      <w:r w:rsidR="008C0423">
        <w:rPr>
          <w:rFonts w:ascii="Arial" w:hAnsi="Arial" w:cs="Arial"/>
          <w:b/>
          <w:bCs/>
          <w:sz w:val="24"/>
        </w:rPr>
        <w:t>lectronic</w:t>
      </w:r>
      <w:r w:rsidRPr="00BF20D3">
        <w:rPr>
          <w:rFonts w:ascii="Arial" w:hAnsi="Arial" w:cs="Arial"/>
          <w:b/>
          <w:bCs/>
          <w:sz w:val="24"/>
        </w:rPr>
        <w:t xml:space="preserve">               </w:t>
      </w:r>
      <w:r w:rsidRPr="00BF20D3">
        <w:rPr>
          <w:rFonts w:ascii="Arial" w:hAnsi="Arial" w:cs="Arial"/>
          <w:b/>
          <w:bCs/>
          <w:sz w:val="24"/>
        </w:rPr>
        <w:tab/>
        <w:t>R2-2</w:t>
      </w:r>
      <w:r w:rsidR="00273C28">
        <w:rPr>
          <w:rFonts w:ascii="Arial" w:hAnsi="Arial" w:cs="Arial"/>
          <w:b/>
          <w:bCs/>
          <w:sz w:val="24"/>
        </w:rPr>
        <w:t>2</w:t>
      </w:r>
      <w:r w:rsidR="00016530">
        <w:rPr>
          <w:rFonts w:ascii="Arial" w:hAnsi="Arial" w:cs="Arial"/>
          <w:b/>
          <w:bCs/>
          <w:sz w:val="24"/>
        </w:rPr>
        <w:t>07828</w:t>
      </w:r>
    </w:p>
    <w:p w14:paraId="04F87BFA" w14:textId="1C973A83"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060DCF">
        <w:rPr>
          <w:rFonts w:cs="Arial"/>
          <w:b/>
          <w:bCs/>
          <w:sz w:val="24"/>
        </w:rPr>
        <w:t>17</w:t>
      </w:r>
      <w:r w:rsidR="00060DCF" w:rsidRPr="0040576F">
        <w:rPr>
          <w:rFonts w:cs="Arial"/>
          <w:b/>
          <w:bCs/>
          <w:sz w:val="24"/>
          <w:vertAlign w:val="superscript"/>
        </w:rPr>
        <w:t>th</w:t>
      </w:r>
      <w:r w:rsidR="00060DCF">
        <w:rPr>
          <w:rFonts w:cs="Arial"/>
          <w:b/>
          <w:bCs/>
          <w:sz w:val="24"/>
        </w:rPr>
        <w:t xml:space="preserve"> 26</w:t>
      </w:r>
      <w:r w:rsidR="00060DCF" w:rsidRPr="0040576F">
        <w:rPr>
          <w:rFonts w:cs="Arial"/>
          <w:b/>
          <w:bCs/>
          <w:sz w:val="24"/>
          <w:vertAlign w:val="superscript"/>
        </w:rPr>
        <w:t>th</w:t>
      </w:r>
      <w:r w:rsidR="00060DCF">
        <w:rPr>
          <w:rFonts w:cs="Arial"/>
          <w:b/>
          <w:bCs/>
          <w:sz w:val="24"/>
        </w:rPr>
        <w:t xml:space="preserve"> August</w:t>
      </w:r>
      <w:r w:rsidRPr="00BF20D3">
        <w:rPr>
          <w:rFonts w:cs="Arial"/>
          <w:b/>
          <w:bCs/>
          <w:sz w:val="24"/>
        </w:rPr>
        <w:t xml:space="preserve"> </w:t>
      </w:r>
      <w:r w:rsidRPr="00BF20D3">
        <w:rPr>
          <w:b/>
          <w:sz w:val="24"/>
        </w:rPr>
        <w:t>202</w:t>
      </w:r>
      <w:r w:rsidR="00096408">
        <w:rPr>
          <w:b/>
          <w:sz w:val="24"/>
        </w:rPr>
        <w:t>2</w:t>
      </w:r>
    </w:p>
    <w:p w14:paraId="51CB701F" w14:textId="48F1D6BF"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B07B02">
        <w:rPr>
          <w:rFonts w:cs="Arial"/>
          <w:sz w:val="24"/>
          <w:lang w:val="en-US"/>
        </w:rPr>
        <w:t>2</w:t>
      </w:r>
      <w:r w:rsidR="004E2C23" w:rsidRPr="00BF20D3">
        <w:rPr>
          <w:rFonts w:cs="Arial"/>
          <w:sz w:val="24"/>
          <w:lang w:val="en-US"/>
        </w:rPr>
        <w:t>.2</w:t>
      </w:r>
      <w:r w:rsidR="00B2311E" w:rsidRPr="00BF20D3">
        <w:rPr>
          <w:rFonts w:cs="Arial"/>
          <w:sz w:val="24"/>
          <w:lang w:val="en-US"/>
        </w:rPr>
        <w:t xml:space="preserve"> </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3DDAD1D7"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796D46">
        <w:rPr>
          <w:rFonts w:cs="Arial"/>
          <w:sz w:val="24"/>
          <w:lang w:val="en-US"/>
        </w:rPr>
        <w:t>s</w:t>
      </w:r>
      <w:r w:rsidR="00B07B02">
        <w:rPr>
          <w:rFonts w:cs="Arial"/>
          <w:sz w:val="24"/>
          <w:lang w:val="en-US"/>
        </w:rPr>
        <w:t xml:space="preserve">idelink </w:t>
      </w:r>
      <w:r w:rsidR="006D156B" w:rsidRPr="00BF20D3">
        <w:rPr>
          <w:rFonts w:cs="Arial"/>
          <w:sz w:val="24"/>
          <w:lang w:val="en-US"/>
        </w:rPr>
        <w:t>positioning</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5E9D27C2" w:rsidR="00F835F7" w:rsidRDefault="00F835F7" w:rsidP="00900717">
      <w:pPr>
        <w:jc w:val="both"/>
        <w:rPr>
          <w:rFonts w:eastAsia="SimSun"/>
          <w:szCs w:val="20"/>
          <w:lang w:val="en-US" w:eastAsia="ja-JP"/>
        </w:rPr>
      </w:pPr>
    </w:p>
    <w:p w14:paraId="1EC79CE3" w14:textId="0EB0FD39" w:rsidR="00426599" w:rsidRDefault="00F835F7" w:rsidP="00F835F7">
      <w:pPr>
        <w:jc w:val="both"/>
        <w:rPr>
          <w:rFonts w:eastAsia="SimSun"/>
          <w:szCs w:val="20"/>
          <w:lang w:val="en-US" w:eastAsia="ja-JP"/>
        </w:rPr>
      </w:pPr>
      <w:r w:rsidRPr="002D58AF">
        <w:rPr>
          <w:rFonts w:eastAsia="SimSun"/>
          <w:szCs w:val="20"/>
          <w:lang w:val="en-US" w:eastAsia="ja-JP"/>
        </w:rPr>
        <w:t xml:space="preserve">A new release-18 study item on expanded and improved NR positioning was approved in RANP#94e meeting in December 2021 </w:t>
      </w:r>
      <w:r w:rsidRPr="002D58AF">
        <w:rPr>
          <w:rFonts w:eastAsia="SimSun"/>
          <w:szCs w:val="20"/>
          <w:lang w:val="en-US" w:eastAsia="ja-JP"/>
        </w:rPr>
        <w:fldChar w:fldCharType="begin"/>
      </w:r>
      <w:r w:rsidRPr="002D58AF">
        <w:rPr>
          <w:rFonts w:eastAsia="SimSun"/>
          <w:szCs w:val="20"/>
          <w:lang w:val="en-US" w:eastAsia="ja-JP"/>
        </w:rPr>
        <w:instrText xml:space="preserve"> REF _Ref71022775 \r \h </w:instrText>
      </w:r>
      <w:r>
        <w:rPr>
          <w:rFonts w:eastAsia="SimSun"/>
          <w:szCs w:val="20"/>
          <w:lang w:val="en-US" w:eastAsia="ja-JP"/>
        </w:rPr>
        <w:instrText xml:space="preserve"> \* MERGEFORMAT </w:instrText>
      </w:r>
      <w:r w:rsidRPr="002D58AF">
        <w:rPr>
          <w:rFonts w:eastAsia="SimSun"/>
          <w:szCs w:val="20"/>
          <w:lang w:val="en-US" w:eastAsia="ja-JP"/>
        </w:rPr>
      </w:r>
      <w:r w:rsidRPr="002D58AF">
        <w:rPr>
          <w:rFonts w:eastAsia="SimSun"/>
          <w:szCs w:val="20"/>
          <w:lang w:val="en-US" w:eastAsia="ja-JP"/>
        </w:rPr>
        <w:fldChar w:fldCharType="separate"/>
      </w:r>
      <w:r w:rsidRPr="002D58AF">
        <w:rPr>
          <w:rFonts w:eastAsia="SimSun"/>
          <w:szCs w:val="20"/>
          <w:lang w:val="en-US" w:eastAsia="ja-JP"/>
        </w:rPr>
        <w:t>[1]</w:t>
      </w:r>
      <w:r w:rsidRPr="002D58AF">
        <w:rPr>
          <w:rFonts w:eastAsia="SimSun"/>
          <w:szCs w:val="20"/>
          <w:lang w:val="en-US" w:eastAsia="ja-JP"/>
        </w:rPr>
        <w:fldChar w:fldCharType="end"/>
      </w:r>
      <w:r w:rsidRPr="002D58AF">
        <w:rPr>
          <w:rFonts w:eastAsia="SimSun"/>
          <w:szCs w:val="20"/>
          <w:lang w:val="en-US" w:eastAsia="ja-JP"/>
        </w:rPr>
        <w:t>. The study item to develop sidelink positioning is related to the outcome of the previous study/report,  the study on "Scenarios and requirements of in-coverage, partial coverage, and out-of-coverage NR positioning use cases" which focused on V2X and public safety use cases with the outcome being captured in TR 38.845</w:t>
      </w:r>
      <w:r w:rsidR="00426599">
        <w:rPr>
          <w:rFonts w:eastAsia="SimSun"/>
          <w:szCs w:val="20"/>
          <w:lang w:val="en-US" w:eastAsia="ja-JP"/>
        </w:rPr>
        <w:t xml:space="preserve"> [2]</w:t>
      </w:r>
      <w:r w:rsidRPr="002D58AF">
        <w:rPr>
          <w:rFonts w:eastAsia="SimSun"/>
          <w:szCs w:val="20"/>
          <w:lang w:val="en-US" w:eastAsia="ja-JP"/>
        </w:rPr>
        <w:t xml:space="preserve">. </w:t>
      </w:r>
    </w:p>
    <w:p w14:paraId="58249B9E" w14:textId="77777777" w:rsidR="00426599" w:rsidRDefault="00426599" w:rsidP="00F835F7">
      <w:pPr>
        <w:jc w:val="both"/>
        <w:rPr>
          <w:rFonts w:eastAsia="SimSun"/>
          <w:szCs w:val="20"/>
          <w:lang w:val="en-US" w:eastAsia="ja-JP"/>
        </w:rPr>
      </w:pPr>
    </w:p>
    <w:p w14:paraId="20C9E99E" w14:textId="0393621E" w:rsidR="00F835F7" w:rsidRPr="002D58AF" w:rsidRDefault="00F835F7" w:rsidP="00F835F7">
      <w:pPr>
        <w:jc w:val="both"/>
        <w:rPr>
          <w:rFonts w:eastAsia="SimSun"/>
          <w:szCs w:val="20"/>
          <w:lang w:val="en-US" w:eastAsia="ja-JP"/>
        </w:rPr>
      </w:pPr>
      <w:r w:rsidRPr="002D58AF">
        <w:rPr>
          <w:rFonts w:eastAsia="SimSun"/>
          <w:szCs w:val="20"/>
          <w:lang w:val="en-US" w:eastAsia="ja-JP"/>
        </w:rPr>
        <w:t>Additionally, SA1 has developed requirements for "Ranging based services" in TS 22.261</w:t>
      </w:r>
      <w:r w:rsidR="005E0C02">
        <w:rPr>
          <w:rFonts w:eastAsia="SimSun"/>
          <w:szCs w:val="20"/>
          <w:lang w:val="en-US" w:eastAsia="ja-JP"/>
        </w:rPr>
        <w:t xml:space="preserve"> [3]</w:t>
      </w:r>
      <w:r w:rsidRPr="002D58AF">
        <w:rPr>
          <w:rFonts w:eastAsia="SimSun"/>
          <w:szCs w:val="20"/>
          <w:lang w:val="en-US" w:eastAsia="ja-JP"/>
        </w:rPr>
        <w:t>, and positioning accuracy requirements for IIoT uses cases in out-of-coverage scenarios in TS22.104</w:t>
      </w:r>
      <w:r w:rsidR="002D58AF">
        <w:rPr>
          <w:rFonts w:eastAsia="SimSun"/>
          <w:szCs w:val="20"/>
          <w:lang w:val="en-US" w:eastAsia="ja-JP"/>
        </w:rPr>
        <w:t xml:space="preserve"> [</w:t>
      </w:r>
      <w:r w:rsidR="00C82AF1">
        <w:rPr>
          <w:rFonts w:eastAsia="SimSun"/>
          <w:szCs w:val="20"/>
          <w:lang w:val="en-US" w:eastAsia="ja-JP"/>
        </w:rPr>
        <w:t>4</w:t>
      </w:r>
      <w:r w:rsidR="002D58AF">
        <w:rPr>
          <w:rFonts w:eastAsia="SimSun"/>
          <w:szCs w:val="20"/>
          <w:lang w:val="en-US" w:eastAsia="ja-JP"/>
        </w:rPr>
        <w:t>]</w:t>
      </w:r>
      <w:r w:rsidRPr="002D58AF">
        <w:rPr>
          <w:rFonts w:eastAsia="SimSun"/>
          <w:szCs w:val="20"/>
          <w:lang w:val="en-US" w:eastAsia="ja-JP"/>
        </w:rPr>
        <w:t>.</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0375B19F" w14:textId="77777777" w:rsidR="00253F94" w:rsidRDefault="00253F94" w:rsidP="00253F94">
            <w:pPr>
              <w:ind w:left="720"/>
              <w:rPr>
                <w:rFonts w:eastAsia="MS Mincho"/>
              </w:rPr>
            </w:pPr>
          </w:p>
          <w:p w14:paraId="103180A4" w14:textId="77777777" w:rsidR="00D340DA" w:rsidRPr="00AB31E0" w:rsidRDefault="00D340DA" w:rsidP="002D58AF">
            <w:pPr>
              <w:overflowPunct w:val="0"/>
              <w:autoSpaceDE w:val="0"/>
              <w:autoSpaceDN w:val="0"/>
              <w:adjustRightInd w:val="0"/>
              <w:textAlignment w:val="baseline"/>
              <w:rPr>
                <w:bCs/>
              </w:rPr>
            </w:pPr>
            <w:r w:rsidRPr="00AB31E0">
              <w:rPr>
                <w:bCs/>
              </w:rPr>
              <w:t xml:space="preserve">Study solutions for sidelink positioning considering the following: [RAN1, RAN2] </w:t>
            </w:r>
          </w:p>
          <w:p w14:paraId="5620C4A8" w14:textId="77777777" w:rsidR="00D340DA" w:rsidRPr="00660713" w:rsidRDefault="00D340DA" w:rsidP="00D340DA">
            <w:pPr>
              <w:numPr>
                <w:ilvl w:val="0"/>
                <w:numId w:val="20"/>
              </w:numPr>
              <w:overflowPunct w:val="0"/>
              <w:autoSpaceDE w:val="0"/>
              <w:autoSpaceDN w:val="0"/>
              <w:adjustRightInd w:val="0"/>
              <w:textAlignment w:val="baseline"/>
              <w:rPr>
                <w:bCs/>
                <w:highlight w:val="yellow"/>
              </w:rPr>
            </w:pPr>
            <w:r w:rsidRPr="00660713">
              <w:rPr>
                <w:bCs/>
                <w:highlight w:val="yellow"/>
              </w:rPr>
              <w:t xml:space="preserve">Scenario/requirements </w:t>
            </w:r>
          </w:p>
          <w:p w14:paraId="422539E5" w14:textId="77777777" w:rsidR="00D340DA" w:rsidRPr="00660713" w:rsidRDefault="00D340DA" w:rsidP="00D340DA">
            <w:pPr>
              <w:numPr>
                <w:ilvl w:val="1"/>
                <w:numId w:val="20"/>
              </w:numPr>
              <w:overflowPunct w:val="0"/>
              <w:autoSpaceDE w:val="0"/>
              <w:autoSpaceDN w:val="0"/>
              <w:adjustRightInd w:val="0"/>
              <w:textAlignment w:val="baseline"/>
              <w:rPr>
                <w:bCs/>
                <w:highlight w:val="yellow"/>
              </w:rPr>
            </w:pPr>
            <w:r w:rsidRPr="00660713">
              <w:rPr>
                <w:bCs/>
                <w:highlight w:val="yellow"/>
              </w:rPr>
              <w:t>Coverage scenarios to cover: in-coverage, partial-coverage and out-of-coverage</w:t>
            </w:r>
          </w:p>
          <w:p w14:paraId="292AF05E" w14:textId="77777777" w:rsidR="00D340DA" w:rsidRPr="00660713" w:rsidRDefault="00D340DA" w:rsidP="00D340DA">
            <w:pPr>
              <w:numPr>
                <w:ilvl w:val="1"/>
                <w:numId w:val="20"/>
              </w:numPr>
              <w:overflowPunct w:val="0"/>
              <w:autoSpaceDE w:val="0"/>
              <w:autoSpaceDN w:val="0"/>
              <w:adjustRightInd w:val="0"/>
              <w:textAlignment w:val="baseline"/>
              <w:rPr>
                <w:bCs/>
                <w:highlight w:val="yellow"/>
              </w:rPr>
            </w:pPr>
            <w:r w:rsidRPr="00660713">
              <w:rPr>
                <w:bCs/>
                <w:highlight w:val="yellow"/>
              </w:rPr>
              <w:t>Requirements: Based on requirements identified in TR38.845 and TS22.261 and TS22.104</w:t>
            </w:r>
          </w:p>
          <w:p w14:paraId="6F540862" w14:textId="77777777" w:rsidR="00D340DA" w:rsidRPr="00660713" w:rsidRDefault="00D340DA" w:rsidP="00D340DA">
            <w:pPr>
              <w:numPr>
                <w:ilvl w:val="1"/>
                <w:numId w:val="20"/>
              </w:numPr>
              <w:overflowPunct w:val="0"/>
              <w:autoSpaceDE w:val="0"/>
              <w:autoSpaceDN w:val="0"/>
              <w:adjustRightInd w:val="0"/>
              <w:textAlignment w:val="baseline"/>
              <w:rPr>
                <w:bCs/>
                <w:highlight w:val="yellow"/>
              </w:rPr>
            </w:pPr>
            <w:r w:rsidRPr="00660713">
              <w:rPr>
                <w:bCs/>
                <w:highlight w:val="yellow"/>
              </w:rPr>
              <w:t>Use cases: V2X (TR38.845), public safety (TR38.845), commercial (TS22.261), IIOT (TS22.104)</w:t>
            </w:r>
          </w:p>
          <w:p w14:paraId="05D28753" w14:textId="77777777" w:rsidR="00D340DA" w:rsidRPr="00660713" w:rsidRDefault="00D340DA" w:rsidP="00D340DA">
            <w:pPr>
              <w:numPr>
                <w:ilvl w:val="1"/>
                <w:numId w:val="20"/>
              </w:numPr>
              <w:overflowPunct w:val="0"/>
              <w:autoSpaceDE w:val="0"/>
              <w:autoSpaceDN w:val="0"/>
              <w:adjustRightInd w:val="0"/>
              <w:textAlignment w:val="baseline"/>
              <w:rPr>
                <w:bCs/>
                <w:highlight w:val="yellow"/>
              </w:rPr>
            </w:pPr>
            <w:r w:rsidRPr="00660713">
              <w:rPr>
                <w:bCs/>
                <w:highlight w:val="yellow"/>
              </w:rPr>
              <w:t>Spectrum: ITS, licensed</w:t>
            </w:r>
          </w:p>
          <w:p w14:paraId="789E2808" w14:textId="77777777" w:rsidR="00D340DA" w:rsidRPr="00AB31E0" w:rsidRDefault="00D340DA" w:rsidP="00D340DA">
            <w:pPr>
              <w:numPr>
                <w:ilvl w:val="0"/>
                <w:numId w:val="20"/>
              </w:numPr>
              <w:overflowPunct w:val="0"/>
              <w:autoSpaceDE w:val="0"/>
              <w:autoSpaceDN w:val="0"/>
              <w:adjustRightInd w:val="0"/>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6672B38A" w14:textId="77777777" w:rsidR="00D340DA" w:rsidRPr="00AB31E0" w:rsidRDefault="00D340DA" w:rsidP="00D340DA">
            <w:pPr>
              <w:numPr>
                <w:ilvl w:val="0"/>
                <w:numId w:val="20"/>
              </w:numPr>
              <w:overflowPunct w:val="0"/>
              <w:autoSpaceDE w:val="0"/>
              <w:autoSpaceDN w:val="0"/>
              <w:adjustRightInd w:val="0"/>
              <w:textAlignment w:val="baseline"/>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595EA00E" w14:textId="77777777" w:rsidR="00D340DA" w:rsidRPr="00450452" w:rsidRDefault="00D340DA" w:rsidP="00D340DA">
            <w:pPr>
              <w:numPr>
                <w:ilvl w:val="0"/>
                <w:numId w:val="20"/>
              </w:numPr>
              <w:overflowPunct w:val="0"/>
              <w:autoSpaceDE w:val="0"/>
              <w:autoSpaceDN w:val="0"/>
              <w:adjustRightInd w:val="0"/>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1E2F1AA5" w14:textId="77777777" w:rsidR="00D340DA" w:rsidRDefault="00D340DA" w:rsidP="00D340DA">
            <w:pPr>
              <w:numPr>
                <w:ilvl w:val="1"/>
                <w:numId w:val="20"/>
              </w:numPr>
              <w:overflowPunct w:val="0"/>
              <w:autoSpaceDE w:val="0"/>
              <w:autoSpaceDN w:val="0"/>
              <w:adjustRightInd w:val="0"/>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101DF274" w14:textId="77777777" w:rsidR="00D340DA" w:rsidRPr="00AB31E0" w:rsidRDefault="00D340DA" w:rsidP="00D340DA">
            <w:pPr>
              <w:numPr>
                <w:ilvl w:val="1"/>
                <w:numId w:val="20"/>
              </w:numPr>
              <w:overflowPunct w:val="0"/>
              <w:autoSpaceDE w:val="0"/>
              <w:autoSpaceDN w:val="0"/>
              <w:adjustRightInd w:val="0"/>
              <w:textAlignment w:val="baseline"/>
              <w:rPr>
                <w:bCs/>
              </w:rPr>
            </w:pPr>
            <w:r w:rsidRPr="00AB31E0">
              <w:rPr>
                <w:bCs/>
              </w:rPr>
              <w:t>Study of positioning methods (e.g. TDOA, RTT, AOA/D, etc) including combination of SL positioning measurements with other RAT dependent positioning measurements (e.g. Uu based measurements) [RAN1]</w:t>
            </w:r>
          </w:p>
          <w:p w14:paraId="67EAFCB1" w14:textId="77777777" w:rsidR="00D340DA" w:rsidRPr="00AB31E0" w:rsidRDefault="00D340DA" w:rsidP="00D340DA">
            <w:pPr>
              <w:numPr>
                <w:ilvl w:val="1"/>
                <w:numId w:val="20"/>
              </w:numPr>
              <w:overflowPunct w:val="0"/>
              <w:autoSpaceDE w:val="0"/>
              <w:autoSpaceDN w:val="0"/>
              <w:adjustRightInd w:val="0"/>
              <w:textAlignment w:val="baseline"/>
              <w:rPr>
                <w:bCs/>
              </w:rPr>
            </w:pPr>
            <w:r w:rsidRPr="00AB31E0">
              <w:rPr>
                <w:bCs/>
              </w:rPr>
              <w:t>Study of sidelink reference signals for positioning purposes</w:t>
            </w:r>
            <w:r>
              <w:rPr>
                <w:bCs/>
              </w:rPr>
              <w:t xml:space="preserve"> from physical layer perspective</w:t>
            </w:r>
            <w:r w:rsidRPr="00AB31E0">
              <w:rPr>
                <w:bCs/>
              </w:rPr>
              <w:t>, including signal design, resource allocation, measurements, associated procedures, etc</w:t>
            </w:r>
            <w:r>
              <w:rPr>
                <w:bCs/>
              </w:rPr>
              <w:t>, reusing existing reference signals, procedures, etc from sidelink communication and from positioning as much as possible</w:t>
            </w:r>
            <w:r w:rsidRPr="00AB31E0">
              <w:rPr>
                <w:bCs/>
              </w:rPr>
              <w:t xml:space="preserve"> [RAN1]</w:t>
            </w:r>
          </w:p>
          <w:p w14:paraId="3CED071D" w14:textId="77777777" w:rsidR="00D340DA" w:rsidRPr="00F95D1E" w:rsidRDefault="00D340DA" w:rsidP="00D340DA">
            <w:pPr>
              <w:numPr>
                <w:ilvl w:val="1"/>
                <w:numId w:val="20"/>
              </w:numPr>
              <w:overflowPunct w:val="0"/>
              <w:autoSpaceDE w:val="0"/>
              <w:autoSpaceDN w:val="0"/>
              <w:adjustRightInd w:val="0"/>
              <w:textAlignment w:val="baseline"/>
              <w:rPr>
                <w:bCs/>
                <w:highlight w:val="yellow"/>
              </w:rPr>
            </w:pPr>
            <w:r w:rsidRPr="00F95D1E">
              <w:rPr>
                <w:bCs/>
                <w:highlight w:val="yellow"/>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6C36C431" w14:textId="77777777" w:rsidR="00D340DA" w:rsidRDefault="00D340DA" w:rsidP="00D340DA">
            <w:pPr>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5FFA3CA8" w14:textId="77777777" w:rsidR="00253F94" w:rsidRDefault="00253F94" w:rsidP="00253F94">
            <w:pPr>
              <w:ind w:left="1080"/>
              <w:rPr>
                <w:rFonts w:eastAsia="MS Mincho"/>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2F44708B" w14:textId="33B5A677" w:rsidR="001F213B" w:rsidRDefault="001F213B" w:rsidP="009045B9">
      <w:pPr>
        <w:jc w:val="both"/>
        <w:rPr>
          <w:rFonts w:eastAsia="SimSun"/>
          <w:szCs w:val="20"/>
          <w:lang w:eastAsia="ja-JP"/>
        </w:rPr>
      </w:pPr>
      <w:r>
        <w:rPr>
          <w:rFonts w:eastAsia="SimSun"/>
          <w:szCs w:val="20"/>
          <w:lang w:eastAsia="ja-JP"/>
        </w:rPr>
        <w:t xml:space="preserve">RAN2 has not discussed any Rel-18 topics yet, and the upcoming RAN2#119e meeting is the first one to discuss </w:t>
      </w:r>
      <w:r w:rsidR="00BF3613">
        <w:rPr>
          <w:rFonts w:eastAsia="SimSun"/>
          <w:szCs w:val="20"/>
          <w:lang w:eastAsia="ja-JP"/>
        </w:rPr>
        <w:t xml:space="preserve">amongst other </w:t>
      </w:r>
      <w:r>
        <w:rPr>
          <w:rFonts w:eastAsia="SimSun"/>
          <w:szCs w:val="20"/>
          <w:lang w:eastAsia="ja-JP"/>
        </w:rPr>
        <w:t xml:space="preserve">this </w:t>
      </w:r>
      <w:r w:rsidR="00BF3613">
        <w:rPr>
          <w:rFonts w:eastAsia="SimSun"/>
          <w:szCs w:val="20"/>
          <w:lang w:eastAsia="ja-JP"/>
        </w:rPr>
        <w:t>top</w:t>
      </w:r>
      <w:r w:rsidR="005428B5">
        <w:rPr>
          <w:rFonts w:eastAsia="SimSun"/>
          <w:szCs w:val="20"/>
          <w:lang w:eastAsia="ja-JP"/>
        </w:rPr>
        <w:t>ic.</w:t>
      </w:r>
    </w:p>
    <w:p w14:paraId="07230357" w14:textId="77777777" w:rsidR="004866B9" w:rsidRDefault="004866B9" w:rsidP="009045B9">
      <w:pPr>
        <w:jc w:val="both"/>
        <w:rPr>
          <w:rFonts w:eastAsia="SimSun"/>
          <w:szCs w:val="20"/>
          <w:lang w:val="en-US" w:eastAsia="ja-JP"/>
        </w:rPr>
      </w:pPr>
    </w:p>
    <w:p w14:paraId="73A157E1" w14:textId="33E44B4E" w:rsidR="009045B9"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w:t>
      </w:r>
      <w:r w:rsidR="007F6234">
        <w:rPr>
          <w:rFonts w:eastAsia="SimSun"/>
          <w:szCs w:val="20"/>
          <w:lang w:val="en-US" w:eastAsia="ja-JP"/>
        </w:rPr>
        <w:t xml:space="preserve">scenarios and </w:t>
      </w:r>
      <w:r w:rsidR="008A3B24">
        <w:rPr>
          <w:rFonts w:eastAsia="SimSun"/>
          <w:szCs w:val="20"/>
          <w:lang w:val="en-US" w:eastAsia="ja-JP"/>
        </w:rPr>
        <w:t xml:space="preserve">potential </w:t>
      </w:r>
      <w:r w:rsidR="00C874C7">
        <w:rPr>
          <w:rFonts w:eastAsia="SimSun"/>
          <w:szCs w:val="20"/>
          <w:lang w:val="en-US" w:eastAsia="ja-JP"/>
        </w:rPr>
        <w:t>solutions for Sidel</w:t>
      </w:r>
      <w:r w:rsidR="00C46FA5">
        <w:rPr>
          <w:rFonts w:eastAsia="SimSun"/>
          <w:szCs w:val="20"/>
          <w:lang w:val="en-US" w:eastAsia="ja-JP"/>
        </w:rPr>
        <w:t xml:space="preserve">ink positioning </w:t>
      </w:r>
    </w:p>
    <w:p w14:paraId="11B6B575" w14:textId="77777777" w:rsidR="0073344F" w:rsidRPr="009E641A" w:rsidRDefault="0073344F" w:rsidP="009045B9">
      <w:pPr>
        <w:jc w:val="both"/>
        <w:rPr>
          <w:rFonts w:eastAsia="SimSun"/>
          <w:szCs w:val="20"/>
          <w:lang w:val="en-US" w:eastAsia="ja-JP"/>
        </w:rPr>
      </w:pPr>
    </w:p>
    <w:p w14:paraId="6DFA2096" w14:textId="15DD16D4"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lastRenderedPageBreak/>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B07B02">
        <w:rPr>
          <w:rFonts w:eastAsia="Arial"/>
          <w:b w:val="0"/>
          <w:bCs w:val="0"/>
          <w:noProof/>
          <w:kern w:val="0"/>
          <w:sz w:val="36"/>
          <w:szCs w:val="20"/>
        </w:rPr>
        <w:t xml:space="preserve">Sidelink positioning </w:t>
      </w:r>
    </w:p>
    <w:p w14:paraId="557BC23C" w14:textId="77777777" w:rsidR="00857785" w:rsidRPr="00C84EC1" w:rsidRDefault="00857785" w:rsidP="00E15BC6">
      <w:pPr>
        <w:pStyle w:val="3GPPAgreements"/>
        <w:numPr>
          <w:ilvl w:val="0"/>
          <w:numId w:val="0"/>
        </w:numPr>
        <w:rPr>
          <w:lang w:val="en-GB"/>
        </w:rPr>
      </w:pPr>
    </w:p>
    <w:p w14:paraId="6EE35616" w14:textId="1914466F" w:rsidR="00D425BD" w:rsidRDefault="00CD522E" w:rsidP="00787C6F">
      <w:pPr>
        <w:pStyle w:val="Heading2"/>
        <w:keepLines/>
        <w:numPr>
          <w:ilvl w:val="1"/>
          <w:numId w:val="8"/>
        </w:numPr>
        <w:tabs>
          <w:tab w:val="clear" w:pos="1440"/>
          <w:tab w:val="clear" w:pos="4716"/>
        </w:tabs>
        <w:overflowPunct w:val="0"/>
        <w:autoSpaceDE w:val="0"/>
        <w:autoSpaceDN w:val="0"/>
        <w:adjustRightInd w:val="0"/>
        <w:spacing w:before="180" w:after="180"/>
        <w:ind w:left="576"/>
      </w:pPr>
      <w:r>
        <w:t xml:space="preserve">SL Positioning </w:t>
      </w:r>
      <w:r w:rsidR="005035A4">
        <w:t>Scenarios</w:t>
      </w:r>
      <w:r w:rsidR="003D5499">
        <w:t xml:space="preserve"> </w:t>
      </w:r>
      <w:r w:rsidR="00F73DA7" w:rsidDel="00F73DA7">
        <w:t xml:space="preserve"> </w:t>
      </w:r>
    </w:p>
    <w:p w14:paraId="1D2434CB" w14:textId="078D725F" w:rsidR="00825171" w:rsidRDefault="00825171" w:rsidP="00825171">
      <w:pPr>
        <w:jc w:val="both"/>
      </w:pPr>
      <w:r>
        <w:t>According to the SID</w:t>
      </w:r>
      <w:r w:rsidR="00841EB2">
        <w:t xml:space="preserve"> [1]</w:t>
      </w:r>
      <w:r>
        <w:t xml:space="preserve">, numerous use-cases have been considered, such as V2X, public-safety, commercial, and Industrial IoT (IIoT). We consider these use-cases are still quite diverse. During the study item, Wewe could still discuss but we would prefer to prioritize at least one of those use-cases. </w:t>
      </w:r>
    </w:p>
    <w:p w14:paraId="1109FFA1" w14:textId="7A121698" w:rsidR="00825171" w:rsidRDefault="00825171" w:rsidP="00825171">
      <w:pPr>
        <w:jc w:val="both"/>
      </w:pPr>
      <w:r>
        <w:t>Among the use-cases listed in the SID, we prefer to prioritize V2X use case for positioning evaluation. V2X and public safety are the use-cases that were discussed in RAN level as a study item in Rel-17. The other use-cases were discussed in SA level. Furthermore, the market demand on V2X positioning is very strong considering 5G Automotive Association (5GAA) requests 3GPP to identify the solutions to support V2X positioning. Other possible use-case can be the public-safety use-case. In our view, the identified positioning solutions in V2X positioning can also be generally applied in other use-cases.</w:t>
      </w:r>
    </w:p>
    <w:p w14:paraId="22F9C6EC" w14:textId="77777777" w:rsidR="00551383" w:rsidRDefault="00551383" w:rsidP="00825171">
      <w:pPr>
        <w:jc w:val="both"/>
      </w:pPr>
    </w:p>
    <w:p w14:paraId="47A07996" w14:textId="77777777" w:rsidR="00825171" w:rsidRDefault="00825171" w:rsidP="00825171">
      <w:pPr>
        <w:jc w:val="both"/>
      </w:pPr>
      <w:r>
        <w:t xml:space="preserve">For the coverage scenarios, we tend to firstly investigate the in-coverage scenario. We consider in-coverage scenario is the most common scenario in V2X positioning (i.e., in comparison to partial coverage and out-of-coverage). In this scenario, both Uu-interface and PC5-interface are available. It is expected the resources related to sidelink positioning is are allocated by gNB. This is similar to Mode-1 in legacy V2X communication. PC5-link will be used for sidelink positioning, such as obtaining relative positioning between UEs. Uu-interface has been commonly used in legacy NR positioning, such as obtaining an absolute positioning of a UE. Hence, in-coverage scenario would enable us to evaluate hybrid positioning (jointly used of Uu-interface and PC5-interfaces for positioning). </w:t>
      </w:r>
    </w:p>
    <w:p w14:paraId="5ECE047C" w14:textId="77777777" w:rsidR="00551383" w:rsidRDefault="00551383" w:rsidP="00825171">
      <w:pPr>
        <w:jc w:val="both"/>
      </w:pPr>
    </w:p>
    <w:p w14:paraId="082A22C6" w14:textId="37F19C42" w:rsidR="00BF2CF8" w:rsidRDefault="00825171" w:rsidP="00551383">
      <w:pPr>
        <w:jc w:val="both"/>
        <w:rPr>
          <w:b/>
          <w:bCs/>
          <w:lang w:eastAsia="zh-CN"/>
        </w:rPr>
      </w:pPr>
      <w:r w:rsidRPr="00A82033">
        <w:rPr>
          <w:b/>
          <w:bCs/>
        </w:rPr>
        <w:t>Proposal 1: Prioritize the study on V2X positioning use cases with in-coverage scenario in SL positioning Study item.</w:t>
      </w:r>
    </w:p>
    <w:p w14:paraId="25062540" w14:textId="77777777" w:rsidR="00BF2CF8" w:rsidRPr="00453226" w:rsidRDefault="00BF2CF8" w:rsidP="00E9594C">
      <w:pPr>
        <w:jc w:val="both"/>
        <w:rPr>
          <w:b/>
          <w:bCs/>
          <w:lang w:eastAsia="zh-CN"/>
        </w:rPr>
      </w:pPr>
    </w:p>
    <w:p w14:paraId="7130A6AC" w14:textId="2E24B54D" w:rsidR="005035A4" w:rsidRDefault="0078548F" w:rsidP="005035A4">
      <w:pPr>
        <w:pStyle w:val="Heading2"/>
        <w:keepLines/>
        <w:numPr>
          <w:ilvl w:val="1"/>
          <w:numId w:val="8"/>
        </w:numPr>
        <w:tabs>
          <w:tab w:val="clear" w:pos="1440"/>
          <w:tab w:val="clear" w:pos="4716"/>
        </w:tabs>
        <w:overflowPunct w:val="0"/>
        <w:autoSpaceDE w:val="0"/>
        <w:autoSpaceDN w:val="0"/>
        <w:adjustRightInd w:val="0"/>
        <w:spacing w:before="180" w:after="180"/>
        <w:ind w:left="576"/>
      </w:pPr>
      <w:r>
        <w:t>Solutions for SL positioning</w:t>
      </w:r>
    </w:p>
    <w:p w14:paraId="0BC7185C" w14:textId="77777777" w:rsidR="00142901" w:rsidRDefault="00142901" w:rsidP="00142901">
      <w:pPr>
        <w:jc w:val="both"/>
        <w:rPr>
          <w:lang w:val="en-US"/>
        </w:rPr>
      </w:pPr>
      <w:r>
        <w:rPr>
          <w:lang w:val="en-US"/>
        </w:rPr>
        <w:t>In V2X positioning or any other sidelink positioning use-cases, a UE may need to determine the distance to surrounding UEs. For example, a moving vehicle needs to determine whether there are surrounding VRUs and the relative distance to those VRUs. The determination operation should be performed in a quick manner. Hence, in case one or more VRUs are detected to be very close, the moving vehicle and/or VRUs can perform the necessary action to avoid potential collision. The determination of surrounding UEs (VRUs) can be facilitated by allowing concurrent transmission of SL-PRS from multiple UEs. For example, multiple VRU(s) can transmit “SL-PRS” concurrently and/or within the same set of resources. The transmitted SL-PRS can be received by moving vehicle(s), other VRU(s), or RSU(s). The concurrent/simultaneous transmission of “SL-PRS” can be arranged by allowing multiplexing of SL-RS from multiple UEs within a given set of resources (e.g., time-division multiplexing (TDM), frequency-division multiplexing (FDM), and/or Code-division Multiplexing (CDM))</w:t>
      </w:r>
    </w:p>
    <w:p w14:paraId="6FFE3ECA" w14:textId="2A3A8660" w:rsidR="00142901" w:rsidRDefault="00142901" w:rsidP="00142901">
      <w:pPr>
        <w:pStyle w:val="Caption"/>
        <w:rPr>
          <w:b w:val="0"/>
          <w:bCs/>
        </w:rPr>
      </w:pPr>
      <w:bookmarkStart w:id="3" w:name="_Toc101969822"/>
      <w:r>
        <w:t xml:space="preserve">Proposal </w:t>
      </w:r>
      <w:r w:rsidR="008C3B1D">
        <w:t>2</w:t>
      </w:r>
      <w:r>
        <w:t xml:space="preserve">: </w:t>
      </w:r>
      <w:r>
        <w:rPr>
          <w:bCs/>
        </w:rPr>
        <w:t>Consider supporting multiplexing of sidelink positioning reference signal from several UEs within a given set of resources.</w:t>
      </w:r>
      <w:bookmarkEnd w:id="3"/>
    </w:p>
    <w:p w14:paraId="07BBB327" w14:textId="77777777" w:rsidR="00142901" w:rsidRPr="001724BC" w:rsidRDefault="00142901" w:rsidP="00142901">
      <w:pPr>
        <w:jc w:val="both"/>
      </w:pPr>
    </w:p>
    <w:p w14:paraId="46D49963" w14:textId="77777777" w:rsidR="00142901" w:rsidRPr="00BE79B1" w:rsidRDefault="00142901" w:rsidP="00142901">
      <w:pPr>
        <w:jc w:val="both"/>
        <w:rPr>
          <w:lang w:val="en-US"/>
        </w:rPr>
      </w:pPr>
      <w:r>
        <w:rPr>
          <w:lang w:val="en-US"/>
        </w:rPr>
        <w:t>The UE is expected to perform positioning measurement based on the received “SL-PRS”. The relative positioning estimation (i.e, relative distance) is obtained based on the collected positioning measurement. We consider sidelink positioning should consider the legacy positioning measurement, such as received power measurement (e.g., RSRP) and/or timing measurement (e.g., TDOA). In addition to the relative distance between UEs, other parameters, such as angle of arrival (AoA), angle of departure (AoD), LOS indication, can be obtained based on those positioning measurements.</w:t>
      </w:r>
    </w:p>
    <w:p w14:paraId="650D49F9" w14:textId="2241EB51" w:rsidR="00142901" w:rsidRPr="001A75CC" w:rsidRDefault="00142901" w:rsidP="00142901">
      <w:pPr>
        <w:pStyle w:val="Caption"/>
        <w:rPr>
          <w:b w:val="0"/>
          <w:bCs/>
          <w:lang w:val="en-US"/>
        </w:rPr>
      </w:pPr>
      <w:bookmarkStart w:id="4" w:name="_Toc101969823"/>
      <w:r>
        <w:t xml:space="preserve">Proposal </w:t>
      </w:r>
      <w:r w:rsidR="008C3B1D">
        <w:t>3</w:t>
      </w:r>
      <w:r>
        <w:t xml:space="preserve">: </w:t>
      </w:r>
      <w:r>
        <w:rPr>
          <w:bCs/>
        </w:rPr>
        <w:t xml:space="preserve">Relative positioning is </w:t>
      </w:r>
      <w:r w:rsidRPr="001724BC">
        <w:t>estimated</w:t>
      </w:r>
      <w:r>
        <w:rPr>
          <w:bCs/>
        </w:rPr>
        <w:t xml:space="preserve"> based on received power measurement (e.g., RSRP) and/or timing measurement (e.g., TDOA).</w:t>
      </w:r>
      <w:bookmarkEnd w:id="4"/>
    </w:p>
    <w:p w14:paraId="49DBBB96" w14:textId="77777777" w:rsidR="00142901" w:rsidRDefault="00142901" w:rsidP="00142901">
      <w:pPr>
        <w:jc w:val="both"/>
      </w:pPr>
    </w:p>
    <w:p w14:paraId="0DB83313" w14:textId="50369360" w:rsidR="00142901" w:rsidRPr="00C248B9" w:rsidRDefault="00142901" w:rsidP="00142901">
      <w:pPr>
        <w:jc w:val="both"/>
      </w:pPr>
      <w:r>
        <w:t xml:space="preserve">NR Positioning based on direct-link (Uu) has been well established since Rel-16. NR positioning is designed to support commercial requirements that have stringent positioning accuracy as required for certain Industrial IoT use-cases. The required accuracy as introduced in Rel-17 is in the order of 20 cm which is quite challenging. The study of sidelink positioning can </w:t>
      </w:r>
      <w:r w:rsidR="001F4E49">
        <w:t>aim</w:t>
      </w:r>
      <w:r>
        <w:t xml:space="preserve"> to improve the overall positioning accuracy. For example, if one of the UE is an RSU in which the location is known and the RSU has LOS component towards the VRU or moving vehicle. On the other hand, the LOS component from gNB in direct-link can be limited due to buildings and obstructions. In this particular example, it would be beneficial to jointly utilize direct-link and sidelink for positioning estimation purpose. </w:t>
      </w:r>
    </w:p>
    <w:p w14:paraId="6E8C219D" w14:textId="55ED3F1E" w:rsidR="00142901" w:rsidRDefault="00142901" w:rsidP="00142901">
      <w:pPr>
        <w:pStyle w:val="Caption"/>
        <w:rPr>
          <w:b w:val="0"/>
          <w:bCs/>
        </w:rPr>
      </w:pPr>
      <w:bookmarkStart w:id="5" w:name="_Toc101969824"/>
      <w:r>
        <w:lastRenderedPageBreak/>
        <w:t xml:space="preserve">Proposal </w:t>
      </w:r>
      <w:r w:rsidR="008C3B1D">
        <w:t>4</w:t>
      </w:r>
      <w:r>
        <w:t xml:space="preserve">: </w:t>
      </w:r>
      <w:r>
        <w:rPr>
          <w:bCs/>
        </w:rPr>
        <w:t>Support hybrid positioning where the UE receives reference signal for positioning from both direct-link (Uu) and sidelink (PC5) and jointly utilize for positioning estimation purpose.</w:t>
      </w:r>
      <w:bookmarkEnd w:id="5"/>
    </w:p>
    <w:p w14:paraId="4A9DC0E5" w14:textId="20FDE93C" w:rsidR="0078548F" w:rsidRDefault="0078548F" w:rsidP="009834EE">
      <w:pPr>
        <w:jc w:val="both"/>
        <w:rPr>
          <w:b/>
          <w:lang w:eastAsia="x-none"/>
        </w:rPr>
      </w:pPr>
    </w:p>
    <w:p w14:paraId="601510C7" w14:textId="61C18343" w:rsidR="0078548F" w:rsidRDefault="0078548F" w:rsidP="0078548F">
      <w:pPr>
        <w:pStyle w:val="Heading2"/>
        <w:keepLines/>
        <w:numPr>
          <w:ilvl w:val="1"/>
          <w:numId w:val="8"/>
        </w:numPr>
        <w:tabs>
          <w:tab w:val="clear" w:pos="1440"/>
          <w:tab w:val="clear" w:pos="4716"/>
        </w:tabs>
        <w:overflowPunct w:val="0"/>
        <w:autoSpaceDE w:val="0"/>
        <w:autoSpaceDN w:val="0"/>
        <w:adjustRightInd w:val="0"/>
        <w:spacing w:before="180" w:after="180"/>
        <w:ind w:left="576"/>
      </w:pPr>
      <w:r>
        <w:t>Solutions for</w:t>
      </w:r>
      <w:r w:rsidR="002A3634">
        <w:t xml:space="preserve"> VRU scenario</w:t>
      </w:r>
    </w:p>
    <w:p w14:paraId="24CB7852" w14:textId="339CAA15" w:rsidR="0078548F" w:rsidRDefault="0078548F" w:rsidP="0078548F">
      <w:pPr>
        <w:jc w:val="both"/>
        <w:rPr>
          <w:b/>
          <w:lang w:eastAsia="x-none"/>
        </w:rPr>
      </w:pPr>
    </w:p>
    <w:p w14:paraId="515537EB" w14:textId="77777777" w:rsidR="005D4D7C" w:rsidRDefault="005D4D7C" w:rsidP="005D4D7C">
      <w:pPr>
        <w:jc w:val="both"/>
        <w:rPr>
          <w:lang w:val="en-US"/>
        </w:rPr>
      </w:pPr>
      <w:r>
        <w:rPr>
          <w:lang w:val="en-US"/>
        </w:rPr>
        <w:t xml:space="preserve">One of the challenging scenarios for positioning in V2X use-cases is to handle Vulnerable Road User (VRU). This is one of the scenarios that has been identified by 5GAA as shown in </w:t>
      </w:r>
      <w:r>
        <w:rPr>
          <w:lang w:val="en-US"/>
        </w:rPr>
        <w:fldChar w:fldCharType="begin"/>
      </w:r>
      <w:r>
        <w:rPr>
          <w:lang w:val="en-US"/>
        </w:rPr>
        <w:instrText xml:space="preserve"> REF _Ref97034718 \h </w:instrText>
      </w:r>
      <w:r>
        <w:rPr>
          <w:lang w:val="en-US"/>
        </w:rPr>
      </w:r>
      <w:r>
        <w:rPr>
          <w:lang w:val="en-US"/>
        </w:rPr>
        <w:fldChar w:fldCharType="separate"/>
      </w:r>
      <w:r w:rsidRPr="00221030">
        <w:rPr>
          <w:szCs w:val="22"/>
          <w:lang w:val="en-US"/>
        </w:rPr>
        <w:t xml:space="preserve">Figure </w:t>
      </w:r>
      <w:r>
        <w:rPr>
          <w:noProof/>
          <w:lang w:val="en-US"/>
        </w:rPr>
        <w:t>1</w:t>
      </w:r>
      <w:r>
        <w:rPr>
          <w:lang w:val="en-US"/>
        </w:rPr>
        <w:fldChar w:fldCharType="end"/>
      </w:r>
      <w:r>
        <w:rPr>
          <w:lang w:val="en-US"/>
        </w:rPr>
        <w:t>.</w:t>
      </w:r>
    </w:p>
    <w:p w14:paraId="4D4F08B0" w14:textId="77777777" w:rsidR="005D4D7C" w:rsidRDefault="005D4D7C" w:rsidP="005D4D7C">
      <w:pPr>
        <w:jc w:val="both"/>
        <w:rPr>
          <w:lang w:val="en-US"/>
        </w:rPr>
      </w:pPr>
    </w:p>
    <w:p w14:paraId="6C0D2B5D" w14:textId="77777777" w:rsidR="005D4D7C" w:rsidRDefault="005D4D7C" w:rsidP="005D4D7C">
      <w:pPr>
        <w:keepNext/>
        <w:jc w:val="center"/>
      </w:pPr>
      <w:r w:rsidRPr="004C6AC7">
        <w:rPr>
          <w:noProof/>
          <w:lang w:val="en-US"/>
        </w:rPr>
        <w:drawing>
          <wp:inline distT="0" distB="0" distL="0" distR="0" wp14:anchorId="5E72CB3A" wp14:editId="74EB4B41">
            <wp:extent cx="4285849" cy="5216056"/>
            <wp:effectExtent l="0" t="0" r="0" b="381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4369531" cy="5317900"/>
                    </a:xfrm>
                    <a:prstGeom prst="rect">
                      <a:avLst/>
                    </a:prstGeom>
                  </pic:spPr>
                </pic:pic>
              </a:graphicData>
            </a:graphic>
          </wp:inline>
        </w:drawing>
      </w:r>
    </w:p>
    <w:p w14:paraId="50459069" w14:textId="77777777" w:rsidR="005D4D7C" w:rsidRPr="00221030" w:rsidRDefault="005D4D7C" w:rsidP="005D4D7C">
      <w:pPr>
        <w:pStyle w:val="Caption"/>
        <w:jc w:val="center"/>
        <w:rPr>
          <w:i/>
          <w:iCs/>
          <w:lang w:val="en-US"/>
        </w:rPr>
      </w:pPr>
      <w:bookmarkStart w:id="6" w:name="_Ref97034718"/>
      <w:r w:rsidRPr="00221030">
        <w:rPr>
          <w:lang w:val="en-US"/>
        </w:rPr>
        <w:t xml:space="preserve">Figure </w:t>
      </w:r>
      <w:r w:rsidRPr="00221030">
        <w:rPr>
          <w:i/>
          <w:iCs/>
          <w:lang w:val="en-US"/>
        </w:rPr>
        <w:fldChar w:fldCharType="begin"/>
      </w:r>
      <w:r w:rsidRPr="00221030">
        <w:rPr>
          <w:lang w:val="en-US"/>
        </w:rPr>
        <w:instrText xml:space="preserve"> SEQ Figure \* ARABIC </w:instrText>
      </w:r>
      <w:r w:rsidRPr="00221030">
        <w:rPr>
          <w:i/>
          <w:iCs/>
          <w:lang w:val="en-US"/>
        </w:rPr>
        <w:fldChar w:fldCharType="separate"/>
      </w:r>
      <w:r>
        <w:rPr>
          <w:noProof/>
          <w:lang w:val="en-US"/>
        </w:rPr>
        <w:t>1</w:t>
      </w:r>
      <w:r w:rsidRPr="00221030">
        <w:rPr>
          <w:i/>
          <w:iCs/>
          <w:lang w:val="en-US"/>
        </w:rPr>
        <w:fldChar w:fldCharType="end"/>
      </w:r>
      <w:bookmarkEnd w:id="6"/>
      <w:r w:rsidRPr="00221030">
        <w:rPr>
          <w:lang w:val="en-US"/>
        </w:rPr>
        <w:t>: Illustration of VRU</w:t>
      </w:r>
      <w:r>
        <w:rPr>
          <w:lang w:val="en-US"/>
        </w:rPr>
        <w:t xml:space="preserve">, ref. </w:t>
      </w:r>
      <w:r w:rsidRPr="00C26EDA">
        <w:rPr>
          <w:lang w:val="en-US"/>
        </w:rPr>
        <w:t>5GAA Technical report on C-V2X Use Cases and Service Level Requirements Volume I</w:t>
      </w:r>
    </w:p>
    <w:p w14:paraId="17C1EF47" w14:textId="77777777" w:rsidR="005D4D7C" w:rsidRDefault="005D4D7C" w:rsidP="005D4D7C">
      <w:pPr>
        <w:jc w:val="both"/>
        <w:rPr>
          <w:lang w:val="en-US"/>
        </w:rPr>
      </w:pPr>
    </w:p>
    <w:p w14:paraId="06053630" w14:textId="0DCB57C1" w:rsidR="005D4D7C" w:rsidRDefault="005D4D7C" w:rsidP="005D4D7C">
      <w:pPr>
        <w:jc w:val="both"/>
        <w:rPr>
          <w:lang w:val="en-US"/>
        </w:rPr>
      </w:pPr>
      <w:r>
        <w:rPr>
          <w:lang w:val="en-US"/>
        </w:rPr>
        <w:t xml:space="preserve">In </w:t>
      </w:r>
      <w:r>
        <w:rPr>
          <w:lang w:val="en-US"/>
        </w:rPr>
        <w:fldChar w:fldCharType="begin"/>
      </w:r>
      <w:r>
        <w:rPr>
          <w:lang w:val="en-US"/>
        </w:rPr>
        <w:instrText xml:space="preserve"> REF _Ref97034718 \h </w:instrText>
      </w:r>
      <w:r>
        <w:rPr>
          <w:lang w:val="en-US"/>
        </w:rPr>
      </w:r>
      <w:r>
        <w:rPr>
          <w:lang w:val="en-US"/>
        </w:rPr>
        <w:fldChar w:fldCharType="separate"/>
      </w:r>
      <w:r w:rsidRPr="00221030">
        <w:rPr>
          <w:szCs w:val="22"/>
          <w:lang w:val="en-US"/>
        </w:rPr>
        <w:t xml:space="preserve">Figure </w:t>
      </w:r>
      <w:r>
        <w:rPr>
          <w:noProof/>
          <w:lang w:val="en-US"/>
        </w:rPr>
        <w:t>1</w:t>
      </w:r>
      <w:r>
        <w:rPr>
          <w:lang w:val="en-US"/>
        </w:rPr>
        <w:fldChar w:fldCharType="end"/>
      </w:r>
      <w:r>
        <w:rPr>
          <w:lang w:val="en-US"/>
        </w:rPr>
        <w:t>, the main purpose is to alert vehicle (Host Vehicle - HV) of VRUs approaching the road or crossing an intersection and warn of any risk of collision. Hence, to provide safety, typically in the road or crossing, there is a road side unit (RSU) that can be in a form of road sign or traffic light. In V2X context, HV, VRU and RSU are equipped with communication module that can support both Uu and PC5 interfaces. In order to avoid the collision, the position of VRU and HV should be known, at least the relative distance. RSU can be used to assist the position of VRU and HV. The positioning estimation can be performed in VRU, HV, RSU, or LMF, depending on the context / purposes.</w:t>
      </w:r>
    </w:p>
    <w:p w14:paraId="10FC762E" w14:textId="77777777" w:rsidR="005D4D7C" w:rsidRPr="009A4424" w:rsidRDefault="005D4D7C" w:rsidP="005D4D7C">
      <w:pPr>
        <w:jc w:val="both"/>
        <w:rPr>
          <w:lang w:val="en-US"/>
        </w:rPr>
      </w:pPr>
    </w:p>
    <w:p w14:paraId="404E72AA" w14:textId="4C5EC111" w:rsidR="005D4D7C" w:rsidRDefault="005D4D7C" w:rsidP="005D4D7C">
      <w:pPr>
        <w:jc w:val="both"/>
        <w:rPr>
          <w:b/>
          <w:bCs/>
        </w:rPr>
      </w:pPr>
      <w:r>
        <w:rPr>
          <w:b/>
          <w:bCs/>
        </w:rPr>
        <w:t>Observation 1: In V2X scenario, some UE(s) may be stationary (e.g., a UE in RSU). This type of UE can be used to facilitate positioning procedure, such as to perform as reference UE for positioning.</w:t>
      </w:r>
    </w:p>
    <w:p w14:paraId="6A217992" w14:textId="77777777" w:rsidR="00355C1F" w:rsidRDefault="00355C1F" w:rsidP="005D4D7C">
      <w:pPr>
        <w:jc w:val="both"/>
        <w:rPr>
          <w:b/>
          <w:bCs/>
        </w:rPr>
      </w:pPr>
    </w:p>
    <w:p w14:paraId="1C91C731" w14:textId="77777777" w:rsidR="005D4D7C" w:rsidRPr="00711CFC" w:rsidRDefault="005D4D7C" w:rsidP="005D4D7C">
      <w:pPr>
        <w:rPr>
          <w:lang w:val="en-US"/>
        </w:rPr>
      </w:pPr>
      <w:r>
        <w:rPr>
          <w:lang w:val="en-US"/>
        </w:rPr>
        <w:t>The radio resources for the SL-PRS transmissions are limited. Furthermore, it should also consider the following c</w:t>
      </w:r>
      <w:r w:rsidRPr="00711CFC">
        <w:rPr>
          <w:lang w:val="en-US"/>
        </w:rPr>
        <w:t>ircumsta</w:t>
      </w:r>
      <w:r>
        <w:rPr>
          <w:lang w:val="en-US"/>
        </w:rPr>
        <w:t>nces</w:t>
      </w:r>
      <w:r w:rsidRPr="00711CFC">
        <w:rPr>
          <w:lang w:val="en-US"/>
        </w:rPr>
        <w:t>:</w:t>
      </w:r>
    </w:p>
    <w:p w14:paraId="1F9357B4" w14:textId="77777777" w:rsidR="005D4D7C" w:rsidRPr="00711CFC" w:rsidRDefault="005D4D7C" w:rsidP="005D4D7C">
      <w:pPr>
        <w:pStyle w:val="ListParagraph"/>
        <w:numPr>
          <w:ilvl w:val="0"/>
          <w:numId w:val="30"/>
        </w:numPr>
        <w:spacing w:line="276" w:lineRule="auto"/>
        <w:ind w:leftChars="0"/>
        <w:contextualSpacing/>
        <w:rPr>
          <w:lang w:val="en-US"/>
        </w:rPr>
      </w:pPr>
      <w:r w:rsidRPr="00711CFC">
        <w:rPr>
          <w:lang w:val="en-US"/>
        </w:rPr>
        <w:lastRenderedPageBreak/>
        <w:t>The need to perform positioning measurement and estimation in</w:t>
      </w:r>
      <w:r>
        <w:rPr>
          <w:lang w:val="en-US"/>
        </w:rPr>
        <w:t xml:space="preserve"> a</w:t>
      </w:r>
      <w:r w:rsidRPr="00711CFC">
        <w:rPr>
          <w:lang w:val="en-US"/>
        </w:rPr>
        <w:t xml:space="preserve"> timely manner. Hence, the transmission,</w:t>
      </w:r>
      <w:r>
        <w:rPr>
          <w:lang w:val="en-US"/>
        </w:rPr>
        <w:t xml:space="preserve"> </w:t>
      </w:r>
      <w:r w:rsidRPr="00711CFC">
        <w:rPr>
          <w:lang w:val="en-US"/>
        </w:rPr>
        <w:t xml:space="preserve">in some cases, may require </w:t>
      </w:r>
      <w:r>
        <w:rPr>
          <w:lang w:val="en-US"/>
        </w:rPr>
        <w:t>low latency and high accuracy.</w:t>
      </w:r>
    </w:p>
    <w:p w14:paraId="72985101" w14:textId="77777777" w:rsidR="005D4D7C" w:rsidRDefault="005D4D7C" w:rsidP="005D4D7C">
      <w:pPr>
        <w:pStyle w:val="ListParagraph"/>
        <w:numPr>
          <w:ilvl w:val="0"/>
          <w:numId w:val="30"/>
        </w:numPr>
        <w:spacing w:line="276" w:lineRule="auto"/>
        <w:ind w:leftChars="0"/>
        <w:contextualSpacing/>
        <w:rPr>
          <w:lang w:val="en-US"/>
        </w:rPr>
      </w:pPr>
      <w:r w:rsidRPr="00711CFC">
        <w:rPr>
          <w:lang w:val="en-US"/>
        </w:rPr>
        <w:t xml:space="preserve">UEs </w:t>
      </w:r>
      <w:r>
        <w:rPr>
          <w:lang w:val="en-US"/>
        </w:rPr>
        <w:t xml:space="preserve">(VRUs) </w:t>
      </w:r>
      <w:r w:rsidRPr="00711CFC">
        <w:rPr>
          <w:lang w:val="en-US"/>
        </w:rPr>
        <w:t>distribution that can be significantly changed</w:t>
      </w:r>
      <w:r>
        <w:rPr>
          <w:lang w:val="en-US"/>
        </w:rPr>
        <w:t>. In one particular time, it can be many UEs (rush hours) and another particular time, it can be a few UEs (midnight time).</w:t>
      </w:r>
    </w:p>
    <w:p w14:paraId="5868918B" w14:textId="77777777" w:rsidR="005D4D7C" w:rsidRDefault="005D4D7C" w:rsidP="005D4D7C">
      <w:pPr>
        <w:jc w:val="both"/>
        <w:rPr>
          <w:b/>
          <w:bCs/>
          <w:lang w:val="en-US"/>
        </w:rPr>
      </w:pPr>
    </w:p>
    <w:p w14:paraId="3EA456D7" w14:textId="05EC2B71" w:rsidR="005D4D7C" w:rsidRPr="004B56A5" w:rsidRDefault="005D4D7C" w:rsidP="005D4D7C">
      <w:pPr>
        <w:jc w:val="both"/>
        <w:rPr>
          <w:lang w:val="en-US"/>
        </w:rPr>
      </w:pPr>
      <w:r>
        <w:rPr>
          <w:lang w:val="en-US"/>
        </w:rPr>
        <w:t xml:space="preserve">The usage of radio resources and the SL-PRS transmission should be controlled (e.g., by gNB) so that sidelink-positioning can be used, particularly to support V2X use-cases (e.g., collision avoidance) where the positioning estimation shall be obtained in a timely manner. Network-controlled radio resources have been supported in legacy sidelink for communication and known as Mode-1. </w:t>
      </w:r>
      <w:r w:rsidRPr="004B56A5">
        <w:rPr>
          <w:lang w:val="en-US"/>
        </w:rPr>
        <w:t>In a junction scenario and during rush hour, the number of VRUs are expected to be high.</w:t>
      </w:r>
      <w:r>
        <w:rPr>
          <w:lang w:val="en-US"/>
        </w:rPr>
        <w:t xml:space="preserve"> There should be a mechanism to control which UEs that are allowed to transmit. For example, the RSUs can be configured to transmit SL-PRS and the VRUs are configured to receive SL-PRS. Outside of rush-hours, there could be the opposite case where VRUs are configured to transmit SL-PRS. In this example, </w:t>
      </w:r>
      <w:r w:rsidRPr="00920BFA">
        <w:t>UE-types classification for V2X positioning (e.g., RSU, VRU, Car)</w:t>
      </w:r>
      <w:r>
        <w:t xml:space="preserve"> can be beneficial for V2X positioning. RAN</w:t>
      </w:r>
      <w:r w:rsidR="008D62C8">
        <w:t>2</w:t>
      </w:r>
      <w:r>
        <w:t xml:space="preserve"> can consider sending LS to  SA2 with respect to this.</w:t>
      </w:r>
    </w:p>
    <w:p w14:paraId="41A44BAC" w14:textId="099B40B0" w:rsidR="005D4D7C" w:rsidRDefault="005D4D7C" w:rsidP="005D4D7C">
      <w:pPr>
        <w:pStyle w:val="Caption"/>
        <w:rPr>
          <w:b w:val="0"/>
          <w:bCs/>
        </w:rPr>
      </w:pPr>
      <w:bookmarkStart w:id="7" w:name="_Toc101969825"/>
      <w:r>
        <w:t xml:space="preserve">Proposal </w:t>
      </w:r>
      <w:r w:rsidR="008C3B1D">
        <w:t>5</w:t>
      </w:r>
      <w:r>
        <w:rPr>
          <w:bCs/>
        </w:rPr>
        <w:t>: Consider to support UE-types classification for V2X positioning (e.g., RSU, VRU, Car).</w:t>
      </w:r>
      <w:bookmarkEnd w:id="7"/>
    </w:p>
    <w:p w14:paraId="56F7EFF5" w14:textId="77777777" w:rsidR="005D4D7C" w:rsidRDefault="005D4D7C" w:rsidP="005D4D7C">
      <w:pPr>
        <w:jc w:val="both"/>
      </w:pPr>
    </w:p>
    <w:p w14:paraId="00BD681E" w14:textId="77777777" w:rsidR="005D4D7C" w:rsidRPr="00DC3566" w:rsidRDefault="005D4D7C" w:rsidP="005D4D7C">
      <w:pPr>
        <w:jc w:val="both"/>
      </w:pPr>
      <w:r w:rsidRPr="00DC3566">
        <w:t>The concept of region / zone has been commonly used in sidelink for communication.</w:t>
      </w:r>
      <w:r>
        <w:t xml:space="preserve"> In a given zone, a UE is expected to perform communication using a specific carrier frequency. Similar concept of region / zone can be applied for positioning purpose, such as to adapt </w:t>
      </w:r>
      <w:r w:rsidRPr="00895F6A">
        <w:t>positioning procedure based on the region/zone of the UE.</w:t>
      </w:r>
      <w:r>
        <w:t xml:space="preserve"> For example, if a UE is in a cross-junction, the UE is expected to perform frequent positioning procedure (e.g., positioning measurement / estimation), particularly to detect and avoid potential collision.</w:t>
      </w:r>
    </w:p>
    <w:p w14:paraId="7D4FFFC4" w14:textId="240D4ACC" w:rsidR="005D4D7C" w:rsidRDefault="005D4D7C" w:rsidP="005D4D7C">
      <w:pPr>
        <w:pStyle w:val="Caption"/>
        <w:rPr>
          <w:b w:val="0"/>
          <w:bCs/>
        </w:rPr>
      </w:pPr>
      <w:bookmarkStart w:id="8" w:name="_Toc101969826"/>
      <w:r>
        <w:t xml:space="preserve">Proposal </w:t>
      </w:r>
      <w:r w:rsidR="008C3B1D">
        <w:t>6</w:t>
      </w:r>
      <w:r>
        <w:t xml:space="preserve">: </w:t>
      </w:r>
      <w:r>
        <w:rPr>
          <w:bCs/>
        </w:rPr>
        <w:t>Consider to adapt positioning procedure based on the region/zone of the UE.</w:t>
      </w:r>
      <w:bookmarkEnd w:id="8"/>
    </w:p>
    <w:p w14:paraId="0113FD3E" w14:textId="77777777" w:rsidR="005D4D7C" w:rsidRPr="001724BC" w:rsidRDefault="005D4D7C" w:rsidP="005D4D7C">
      <w:pPr>
        <w:jc w:val="both"/>
      </w:pPr>
    </w:p>
    <w:p w14:paraId="76E6D5EA" w14:textId="72F81FE2" w:rsidR="005D4D7C" w:rsidRDefault="005D4D7C" w:rsidP="005D4D7C">
      <w:pPr>
        <w:jc w:val="both"/>
        <w:rPr>
          <w:lang w:val="en-US"/>
        </w:rPr>
      </w:pPr>
      <w:r>
        <w:rPr>
          <w:lang w:val="en-US"/>
        </w:rPr>
        <w:t xml:space="preserve">Sidelink positioning relies on the interaction, such as transmission and reception, between UEs. For example, a UE-A transmits SL-PRS and another UE-B receives it and performs a positioning measurement. From the positioning measurement, the UE-B is expected to be able to </w:t>
      </w:r>
      <w:r w:rsidR="00546CEB">
        <w:rPr>
          <w:lang w:val="en-US"/>
        </w:rPr>
        <w:t xml:space="preserve">estimate </w:t>
      </w:r>
      <w:r>
        <w:rPr>
          <w:lang w:val="en-US"/>
        </w:rPr>
        <w:t xml:space="preserve">the relative position (distance), such as UE-A is </w:t>
      </w:r>
      <m:oMath>
        <m:r>
          <w:rPr>
            <w:rFonts w:ascii="Cambria Math" w:hAnsi="Cambria Math"/>
            <w:lang w:val="en-US"/>
          </w:rPr>
          <m:t>X</m:t>
        </m:r>
      </m:oMath>
      <w:r>
        <w:rPr>
          <w:lang w:val="en-US"/>
        </w:rPr>
        <w:t xml:space="preserve"> meters away from UE-B. UE-B would still not be able to know the direction of UE-A relative from UE-B. </w:t>
      </w:r>
    </w:p>
    <w:p w14:paraId="10A95A2A" w14:textId="77777777" w:rsidR="005D4D7C" w:rsidRDefault="005D4D7C" w:rsidP="005D4D7C">
      <w:pPr>
        <w:keepNext/>
        <w:jc w:val="center"/>
      </w:pPr>
      <w:r w:rsidRPr="002E02B3">
        <w:rPr>
          <w:noProof/>
          <w:lang w:val="en-US"/>
        </w:rPr>
        <w:drawing>
          <wp:inline distT="0" distB="0" distL="0" distR="0" wp14:anchorId="01B2FEFE" wp14:editId="4AED0BD9">
            <wp:extent cx="2504661" cy="2492383"/>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2"/>
                    <a:stretch>
                      <a:fillRect/>
                    </a:stretch>
                  </pic:blipFill>
                  <pic:spPr>
                    <a:xfrm>
                      <a:off x="0" y="0"/>
                      <a:ext cx="2519475" cy="2507125"/>
                    </a:xfrm>
                    <a:prstGeom prst="rect">
                      <a:avLst/>
                    </a:prstGeom>
                  </pic:spPr>
                </pic:pic>
              </a:graphicData>
            </a:graphic>
          </wp:inline>
        </w:drawing>
      </w:r>
    </w:p>
    <w:p w14:paraId="4BF4A857" w14:textId="77777777" w:rsidR="005D4D7C" w:rsidRPr="006E7AF5" w:rsidRDefault="005D4D7C" w:rsidP="005D4D7C">
      <w:pPr>
        <w:pStyle w:val="Caption"/>
        <w:jc w:val="center"/>
        <w:rPr>
          <w:i/>
          <w:iCs/>
          <w:lang w:val="en-US"/>
        </w:rPr>
      </w:pPr>
      <w:r w:rsidRPr="006E7AF5">
        <w:rPr>
          <w:lang w:val="en-US"/>
        </w:rPr>
        <w:t xml:space="preserve">Figure </w:t>
      </w:r>
      <w:r w:rsidRPr="006E7AF5">
        <w:rPr>
          <w:i/>
          <w:iCs/>
          <w:lang w:val="en-US"/>
        </w:rPr>
        <w:fldChar w:fldCharType="begin"/>
      </w:r>
      <w:r w:rsidRPr="006E7AF5">
        <w:rPr>
          <w:lang w:val="en-US"/>
        </w:rPr>
        <w:instrText xml:space="preserve"> SEQ Figure \* ARABIC </w:instrText>
      </w:r>
      <w:r w:rsidRPr="006E7AF5">
        <w:rPr>
          <w:i/>
          <w:iCs/>
          <w:lang w:val="en-US"/>
        </w:rPr>
        <w:fldChar w:fldCharType="separate"/>
      </w:r>
      <w:r>
        <w:rPr>
          <w:noProof/>
          <w:lang w:val="en-US"/>
        </w:rPr>
        <w:t>2</w:t>
      </w:r>
      <w:r w:rsidRPr="006E7AF5">
        <w:rPr>
          <w:i/>
          <w:iCs/>
          <w:lang w:val="en-US"/>
        </w:rPr>
        <w:fldChar w:fldCharType="end"/>
      </w:r>
      <w:r w:rsidRPr="006E7AF5">
        <w:rPr>
          <w:lang w:val="en-US"/>
        </w:rPr>
        <w:t xml:space="preserve">: </w:t>
      </w:r>
      <w:r>
        <w:rPr>
          <w:lang w:val="en-US"/>
        </w:rPr>
        <w:t>Illustration of relative positioning without angle information</w:t>
      </w:r>
    </w:p>
    <w:p w14:paraId="03EAFC75" w14:textId="77777777" w:rsidR="005D4D7C" w:rsidRDefault="005D4D7C" w:rsidP="005D4D7C">
      <w:pPr>
        <w:jc w:val="both"/>
        <w:rPr>
          <w:b/>
          <w:bCs/>
        </w:rPr>
      </w:pPr>
    </w:p>
    <w:p w14:paraId="68E3C8BA" w14:textId="77777777" w:rsidR="005D4D7C" w:rsidRDefault="005D4D7C" w:rsidP="005D4D7C">
      <w:pPr>
        <w:jc w:val="both"/>
        <w:rPr>
          <w:rFonts w:cstheme="minorHAnsi"/>
        </w:rPr>
      </w:pPr>
      <w:r>
        <w:rPr>
          <w:lang w:val="en-US"/>
        </w:rPr>
        <w:t xml:space="preserve">Obtaining the relative positioning and relative angle are needed in certain use-cases. One of the use-cases is the use-cases identified in ranging based services technical report </w:t>
      </w:r>
      <w:r>
        <w:rPr>
          <w:lang w:val="en-US"/>
        </w:rPr>
        <w:fldChar w:fldCharType="begin"/>
      </w:r>
      <w:r>
        <w:rPr>
          <w:lang w:val="en-US"/>
        </w:rPr>
        <w:instrText xml:space="preserve"> REF _Ref101778714 \r \h </w:instrText>
      </w:r>
      <w:r>
        <w:rPr>
          <w:lang w:val="en-US"/>
        </w:rPr>
      </w:r>
      <w:r>
        <w:rPr>
          <w:lang w:val="en-US"/>
        </w:rPr>
        <w:fldChar w:fldCharType="separate"/>
      </w:r>
      <w:r>
        <w:rPr>
          <w:lang w:val="en-US"/>
        </w:rPr>
        <w:t>[5]</w:t>
      </w:r>
      <w:r>
        <w:rPr>
          <w:lang w:val="en-US"/>
        </w:rPr>
        <w:fldChar w:fldCharType="end"/>
      </w:r>
      <w:r>
        <w:rPr>
          <w:lang w:val="en-US"/>
        </w:rPr>
        <w:t xml:space="preserve">. Furthermore, the work in SA2 </w:t>
      </w:r>
      <w:r>
        <w:rPr>
          <w:lang w:val="en-US"/>
        </w:rPr>
        <w:fldChar w:fldCharType="begin"/>
      </w:r>
      <w:r>
        <w:rPr>
          <w:lang w:val="en-US"/>
        </w:rPr>
        <w:instrText xml:space="preserve"> REF _Ref101778719 \r \h </w:instrText>
      </w:r>
      <w:r>
        <w:rPr>
          <w:lang w:val="en-US"/>
        </w:rPr>
      </w:r>
      <w:r>
        <w:rPr>
          <w:lang w:val="en-US"/>
        </w:rPr>
        <w:fldChar w:fldCharType="separate"/>
      </w:r>
      <w:r>
        <w:rPr>
          <w:lang w:val="en-US"/>
        </w:rPr>
        <w:t>[6]</w:t>
      </w:r>
      <w:r>
        <w:rPr>
          <w:lang w:val="en-US"/>
        </w:rPr>
        <w:fldChar w:fldCharType="end"/>
      </w:r>
      <w:r>
        <w:rPr>
          <w:lang w:val="en-US"/>
        </w:rPr>
        <w:t xml:space="preserve">, has identified a key issue on supporting </w:t>
      </w:r>
      <w:r>
        <w:rPr>
          <w:rFonts w:cstheme="minorHAnsi"/>
        </w:rPr>
        <w:t xml:space="preserve">ranging service operation procedure with the assistance of another UE. The assistance of another UE can be used to estimate both relative positioning (distance) and angle as illustrated in </w:t>
      </w:r>
      <w:r>
        <w:rPr>
          <w:rFonts w:cstheme="minorHAnsi"/>
        </w:rPr>
        <w:fldChar w:fldCharType="begin"/>
      </w:r>
      <w:r>
        <w:rPr>
          <w:rFonts w:cstheme="minorHAnsi"/>
        </w:rPr>
        <w:instrText xml:space="preserve"> REF _Ref99115338 \h </w:instrText>
      </w:r>
      <w:r>
        <w:rPr>
          <w:rFonts w:cstheme="minorHAnsi"/>
        </w:rPr>
      </w:r>
      <w:r>
        <w:rPr>
          <w:rFonts w:cstheme="minorHAnsi"/>
        </w:rPr>
        <w:fldChar w:fldCharType="separate"/>
      </w:r>
      <w:r w:rsidRPr="006E7AF5">
        <w:rPr>
          <w:szCs w:val="22"/>
          <w:lang w:val="en-US"/>
        </w:rPr>
        <w:t xml:space="preserve">Figure </w:t>
      </w:r>
      <w:r>
        <w:rPr>
          <w:noProof/>
          <w:lang w:val="en-US"/>
        </w:rPr>
        <w:t>3</w:t>
      </w:r>
      <w:r>
        <w:rPr>
          <w:rFonts w:cstheme="minorHAnsi"/>
        </w:rPr>
        <w:fldChar w:fldCharType="end"/>
      </w:r>
      <w:r>
        <w:rPr>
          <w:rFonts w:cstheme="minorHAnsi"/>
        </w:rPr>
        <w:t xml:space="preserve">. </w:t>
      </w:r>
    </w:p>
    <w:p w14:paraId="05987891" w14:textId="77777777" w:rsidR="005D4D7C" w:rsidRDefault="005D4D7C" w:rsidP="005D4D7C">
      <w:pPr>
        <w:keepNext/>
        <w:jc w:val="center"/>
      </w:pPr>
      <w:r>
        <w:rPr>
          <w:noProof/>
        </w:rPr>
        <w:lastRenderedPageBreak/>
        <w:drawing>
          <wp:inline distT="0" distB="0" distL="0" distR="0" wp14:anchorId="02EC58CF" wp14:editId="4017A091">
            <wp:extent cx="2428875" cy="2816821"/>
            <wp:effectExtent l="0" t="0" r="0" b="317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3"/>
                    <a:stretch>
                      <a:fillRect/>
                    </a:stretch>
                  </pic:blipFill>
                  <pic:spPr>
                    <a:xfrm>
                      <a:off x="0" y="0"/>
                      <a:ext cx="2440546" cy="2830356"/>
                    </a:xfrm>
                    <a:prstGeom prst="rect">
                      <a:avLst/>
                    </a:prstGeom>
                  </pic:spPr>
                </pic:pic>
              </a:graphicData>
            </a:graphic>
          </wp:inline>
        </w:drawing>
      </w:r>
    </w:p>
    <w:p w14:paraId="455602DB" w14:textId="77777777" w:rsidR="005D4D7C" w:rsidRDefault="005D4D7C" w:rsidP="005D4D7C">
      <w:pPr>
        <w:pStyle w:val="Caption"/>
        <w:jc w:val="center"/>
        <w:rPr>
          <w:i/>
          <w:iCs/>
          <w:lang w:val="en-US"/>
        </w:rPr>
      </w:pPr>
      <w:bookmarkStart w:id="9" w:name="_Ref99115338"/>
      <w:r w:rsidRPr="006E7AF5">
        <w:rPr>
          <w:lang w:val="en-US"/>
        </w:rPr>
        <w:t xml:space="preserve">Figure </w:t>
      </w:r>
      <w:r w:rsidRPr="006E7AF5">
        <w:rPr>
          <w:i/>
          <w:iCs/>
          <w:lang w:val="en-US"/>
        </w:rPr>
        <w:fldChar w:fldCharType="begin"/>
      </w:r>
      <w:r w:rsidRPr="006E7AF5">
        <w:rPr>
          <w:lang w:val="en-US"/>
        </w:rPr>
        <w:instrText xml:space="preserve"> SEQ Figure \* ARABIC </w:instrText>
      </w:r>
      <w:r w:rsidRPr="006E7AF5">
        <w:rPr>
          <w:i/>
          <w:iCs/>
          <w:lang w:val="en-US"/>
        </w:rPr>
        <w:fldChar w:fldCharType="separate"/>
      </w:r>
      <w:r>
        <w:rPr>
          <w:noProof/>
          <w:lang w:val="en-US"/>
        </w:rPr>
        <w:t>3</w:t>
      </w:r>
      <w:r w:rsidRPr="006E7AF5">
        <w:rPr>
          <w:i/>
          <w:iCs/>
          <w:lang w:val="en-US"/>
        </w:rPr>
        <w:fldChar w:fldCharType="end"/>
      </w:r>
      <w:bookmarkEnd w:id="9"/>
      <w:r w:rsidRPr="006E7AF5">
        <w:rPr>
          <w:lang w:val="en-US"/>
        </w:rPr>
        <w:t xml:space="preserve">: </w:t>
      </w:r>
      <w:r>
        <w:rPr>
          <w:lang w:val="en-US"/>
        </w:rPr>
        <w:t xml:space="preserve">Illustration of ranging between host and target UEs, with help form an assistant UE. </w:t>
      </w:r>
    </w:p>
    <w:p w14:paraId="0FB85D89" w14:textId="77777777" w:rsidR="005D4D7C" w:rsidRPr="0087207E" w:rsidRDefault="005D4D7C" w:rsidP="005D4D7C">
      <w:pPr>
        <w:jc w:val="both"/>
        <w:rPr>
          <w:rFonts w:cstheme="minorHAnsi"/>
          <w:lang w:val="en-US"/>
        </w:rPr>
      </w:pPr>
    </w:p>
    <w:p w14:paraId="2EE8F94F" w14:textId="77777777" w:rsidR="005D4D7C" w:rsidRDefault="005D4D7C" w:rsidP="005D4D7C">
      <w:pPr>
        <w:jc w:val="both"/>
        <w:rPr>
          <w:b/>
          <w:bCs/>
        </w:rPr>
      </w:pPr>
      <w:r>
        <w:rPr>
          <w:rFonts w:cstheme="minorHAnsi"/>
        </w:rPr>
        <w:t>We consider RAN1 should also study this aspect, particularly how the physical layer aspects and the interation with higher layer can support this procedure.</w:t>
      </w:r>
      <w:r>
        <w:rPr>
          <w:b/>
          <w:bCs/>
        </w:rPr>
        <w:t xml:space="preserve"> </w:t>
      </w:r>
    </w:p>
    <w:p w14:paraId="3AB10971" w14:textId="2CFB4A0E" w:rsidR="005D4D7C" w:rsidRPr="0070299B" w:rsidRDefault="005D4D7C" w:rsidP="005D4D7C">
      <w:pPr>
        <w:pStyle w:val="Caption"/>
      </w:pPr>
      <w:bookmarkStart w:id="10" w:name="_Toc101969827"/>
      <w:r>
        <w:t xml:space="preserve">Proposal </w:t>
      </w:r>
      <w:r w:rsidR="008C3B1D">
        <w:t>7</w:t>
      </w:r>
      <w:r>
        <w:t xml:space="preserve">: </w:t>
      </w:r>
      <w:r w:rsidRPr="008C4C7C">
        <w:rPr>
          <w:bCs/>
        </w:rPr>
        <w:t xml:space="preserve">Consider </w:t>
      </w:r>
      <w:r w:rsidRPr="008C4C7C">
        <w:rPr>
          <w:bCs/>
          <w:lang w:val="en-US"/>
        </w:rPr>
        <w:t xml:space="preserve">supporting </w:t>
      </w:r>
      <w:r w:rsidRPr="008C4C7C">
        <w:rPr>
          <w:rFonts w:cstheme="minorHAnsi"/>
          <w:bCs/>
        </w:rPr>
        <w:t>positioning procedure with the assistance of another UE</w:t>
      </w:r>
      <w:r w:rsidRPr="008C4C7C">
        <w:rPr>
          <w:bCs/>
        </w:rPr>
        <w:t xml:space="preserve"> for the estimation of relative positioning and relative angle.</w:t>
      </w:r>
      <w:bookmarkEnd w:id="10"/>
    </w:p>
    <w:p w14:paraId="34C4014E" w14:textId="77777777" w:rsidR="005D4D7C" w:rsidRDefault="005D4D7C" w:rsidP="005D4D7C">
      <w:pPr>
        <w:jc w:val="both"/>
        <w:rPr>
          <w:b/>
          <w:bC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10572175" w14:textId="35643EEF" w:rsidR="002A1F03" w:rsidRDefault="002A1F03" w:rsidP="00162038">
      <w:pPr>
        <w:rPr>
          <w:lang w:eastAsia="x-none"/>
        </w:rPr>
      </w:pPr>
    </w:p>
    <w:p w14:paraId="63A4C5C6" w14:textId="07B4511D" w:rsidR="00355C1F" w:rsidRDefault="00355C1F" w:rsidP="00355C1F">
      <w:pPr>
        <w:jc w:val="both"/>
        <w:rPr>
          <w:b/>
          <w:bCs/>
        </w:rPr>
      </w:pPr>
      <w:r w:rsidRPr="00A82033">
        <w:rPr>
          <w:b/>
          <w:bCs/>
        </w:rPr>
        <w:t>Proposal 1: Prioritize the study on V2X positioning use cases with in-coverage scenario in SL positioning Study item.</w:t>
      </w:r>
    </w:p>
    <w:p w14:paraId="11CC2C42" w14:textId="73EBBF45" w:rsidR="00176773" w:rsidRDefault="00176773" w:rsidP="00176773">
      <w:pPr>
        <w:pStyle w:val="Caption"/>
        <w:rPr>
          <w:b w:val="0"/>
          <w:bCs/>
        </w:rPr>
      </w:pPr>
      <w:r>
        <w:t xml:space="preserve">Proposal </w:t>
      </w:r>
      <w:r w:rsidR="008C3B1D">
        <w:t>2</w:t>
      </w:r>
      <w:r>
        <w:t xml:space="preserve">: </w:t>
      </w:r>
      <w:r>
        <w:rPr>
          <w:bCs/>
        </w:rPr>
        <w:t>Consider supporting multiplexing of sidelink positioning reference signal from several UEs within a given set of resources.</w:t>
      </w:r>
    </w:p>
    <w:p w14:paraId="06C16EBB" w14:textId="3F54BBAD" w:rsidR="00355C1F" w:rsidRPr="001A75CC" w:rsidRDefault="00355C1F" w:rsidP="00355C1F">
      <w:pPr>
        <w:pStyle w:val="Caption"/>
        <w:rPr>
          <w:b w:val="0"/>
          <w:bCs/>
          <w:lang w:val="en-US"/>
        </w:rPr>
      </w:pPr>
      <w:r>
        <w:t xml:space="preserve">Proposal </w:t>
      </w:r>
      <w:r w:rsidR="008C3B1D">
        <w:t>3</w:t>
      </w:r>
      <w:r>
        <w:t xml:space="preserve">: </w:t>
      </w:r>
      <w:r>
        <w:rPr>
          <w:bCs/>
        </w:rPr>
        <w:t xml:space="preserve">Relative positioning is </w:t>
      </w:r>
      <w:r w:rsidRPr="001724BC">
        <w:t>estimated</w:t>
      </w:r>
      <w:r>
        <w:rPr>
          <w:bCs/>
        </w:rPr>
        <w:t xml:space="preserve"> based on received power measurement (e.g., RSRP) and/or timing measurement (e.g., TDOA).</w:t>
      </w:r>
    </w:p>
    <w:p w14:paraId="6F335CB9" w14:textId="30B0A55B" w:rsidR="00355C1F" w:rsidRDefault="00355C1F" w:rsidP="00355C1F">
      <w:pPr>
        <w:pStyle w:val="Caption"/>
        <w:rPr>
          <w:b w:val="0"/>
          <w:bCs/>
        </w:rPr>
      </w:pPr>
      <w:r>
        <w:t xml:space="preserve">Proposal </w:t>
      </w:r>
      <w:r w:rsidR="008C3B1D">
        <w:t>4</w:t>
      </w:r>
      <w:r>
        <w:t xml:space="preserve">: </w:t>
      </w:r>
      <w:r>
        <w:rPr>
          <w:bCs/>
        </w:rPr>
        <w:t>Support hybrid positioning where the UE receives reference signal for positioning from both direct-link (Uu) and sidelink (PC5) and jointly utilize for positioning estimation purpose.</w:t>
      </w:r>
    </w:p>
    <w:p w14:paraId="40BCE09F" w14:textId="77777777" w:rsidR="00355C1F" w:rsidRDefault="00355C1F" w:rsidP="00355C1F">
      <w:pPr>
        <w:jc w:val="both"/>
        <w:rPr>
          <w:b/>
          <w:bCs/>
        </w:rPr>
      </w:pPr>
      <w:r>
        <w:rPr>
          <w:b/>
          <w:bCs/>
        </w:rPr>
        <w:t>Observation 1: In V2X scenario, some UE(s) may be stationary (e.g., a UE in RSU). This type of UE can be used to facilitate positioning procedure, such as to perform as reference UE for positioning.</w:t>
      </w:r>
    </w:p>
    <w:p w14:paraId="1A305CA4" w14:textId="03C44ECE" w:rsidR="00355C1F" w:rsidRDefault="00355C1F" w:rsidP="00355C1F">
      <w:pPr>
        <w:pStyle w:val="Caption"/>
        <w:rPr>
          <w:b w:val="0"/>
          <w:bCs/>
        </w:rPr>
      </w:pPr>
      <w:r>
        <w:t xml:space="preserve">Proposal </w:t>
      </w:r>
      <w:r w:rsidR="008C3B1D">
        <w:t>5</w:t>
      </w:r>
      <w:r>
        <w:rPr>
          <w:bCs/>
        </w:rPr>
        <w:t>: Consider to support UE-types classification for V2X positioning (e.g., RSU, VRU, Car).</w:t>
      </w:r>
    </w:p>
    <w:p w14:paraId="3C37C229" w14:textId="1D0FF7E6" w:rsidR="00355C1F" w:rsidRDefault="00355C1F" w:rsidP="00355C1F">
      <w:pPr>
        <w:pStyle w:val="Caption"/>
        <w:rPr>
          <w:b w:val="0"/>
          <w:bCs/>
        </w:rPr>
      </w:pPr>
      <w:r>
        <w:t xml:space="preserve">Proposal </w:t>
      </w:r>
      <w:r w:rsidR="008C3B1D">
        <w:t>6</w:t>
      </w:r>
      <w:r>
        <w:t xml:space="preserve">: </w:t>
      </w:r>
      <w:r>
        <w:rPr>
          <w:bCs/>
        </w:rPr>
        <w:t>Consider to adapt positioning procedure based on the region/zone of the UE.</w:t>
      </w:r>
    </w:p>
    <w:p w14:paraId="3E31D028" w14:textId="08A5FBD7" w:rsidR="0058074B" w:rsidRPr="0070299B" w:rsidRDefault="0058074B" w:rsidP="0058074B">
      <w:pPr>
        <w:pStyle w:val="Caption"/>
      </w:pPr>
      <w:r>
        <w:t xml:space="preserve">Proposal </w:t>
      </w:r>
      <w:r w:rsidR="008C3B1D">
        <w:t>7</w:t>
      </w:r>
      <w:r>
        <w:t xml:space="preserve">: </w:t>
      </w:r>
      <w:r w:rsidRPr="008C4C7C">
        <w:rPr>
          <w:bCs/>
        </w:rPr>
        <w:t xml:space="preserve">Consider </w:t>
      </w:r>
      <w:r w:rsidRPr="008C4C7C">
        <w:rPr>
          <w:bCs/>
          <w:lang w:val="en-US"/>
        </w:rPr>
        <w:t xml:space="preserve">supporting </w:t>
      </w:r>
      <w:r w:rsidRPr="008C4C7C">
        <w:rPr>
          <w:rFonts w:cstheme="minorHAnsi"/>
          <w:bCs/>
        </w:rPr>
        <w:t>positioning procedure with the assistance of another UE</w:t>
      </w:r>
      <w:r w:rsidRPr="008C4C7C">
        <w:rPr>
          <w:bCs/>
        </w:rPr>
        <w:t xml:space="preserve"> for the estimation of relative positioning and relative angle.</w:t>
      </w:r>
    </w:p>
    <w:p w14:paraId="6E6F7B01" w14:textId="77777777" w:rsidR="0058074B" w:rsidRPr="00AD766F" w:rsidRDefault="0058074B" w:rsidP="00AD766F">
      <w:pPr>
        <w:jc w:val="both"/>
        <w:rPr>
          <w:b/>
          <w:lang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11" w:name="_Ref124589665"/>
      <w:bookmarkStart w:id="12" w:name="_Ref71620620"/>
      <w:bookmarkStart w:id="13" w:name="_Ref124671424"/>
      <w:r w:rsidRPr="00BD7E35">
        <w:rPr>
          <w:rFonts w:eastAsia="Arial"/>
          <w:b w:val="0"/>
          <w:bCs w:val="0"/>
          <w:noProof/>
          <w:kern w:val="0"/>
          <w:sz w:val="36"/>
          <w:szCs w:val="20"/>
        </w:rPr>
        <w:t>References</w:t>
      </w:r>
    </w:p>
    <w:p w14:paraId="7F6A9606" w14:textId="06D65E5D"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14" w:name="_Ref61535913"/>
      <w:bookmarkStart w:id="15" w:name="_Ref71022775"/>
      <w:bookmarkStart w:id="16" w:name="_Ref167612671"/>
      <w:bookmarkEnd w:id="11"/>
      <w:bookmarkEnd w:id="12"/>
      <w:bookmarkEnd w:id="13"/>
      <w:r>
        <w:t>RP-213588, “</w:t>
      </w:r>
      <w:r w:rsidRPr="00AE0EB9">
        <w:t>Revised SID on Study on expanded and improved NR positioning</w:t>
      </w:r>
      <w:r>
        <w:t>”, RANP #94e, December 202</w:t>
      </w:r>
      <w:bookmarkEnd w:id="14"/>
      <w:r>
        <w:t>1</w:t>
      </w:r>
      <w:bookmarkEnd w:id="15"/>
    </w:p>
    <w:p w14:paraId="747AEDD2" w14:textId="171F127C" w:rsidR="00000FFE" w:rsidRPr="00B8655B" w:rsidRDefault="00000FFE" w:rsidP="00000FFE">
      <w:pPr>
        <w:pStyle w:val="ListParagraph"/>
        <w:numPr>
          <w:ilvl w:val="0"/>
          <w:numId w:val="9"/>
        </w:numPr>
        <w:spacing w:after="160"/>
        <w:ind w:leftChars="0"/>
        <w:contextualSpacing/>
      </w:pPr>
      <w:r w:rsidRPr="00352BBA">
        <w:rPr>
          <w:rFonts w:eastAsia="MS Mincho"/>
        </w:rPr>
        <w:t>TR38.845</w:t>
      </w:r>
      <w:r w:rsidR="00F5154B">
        <w:rPr>
          <w:rFonts w:eastAsia="MS Mincho"/>
        </w:rPr>
        <w:t xml:space="preserve">, </w:t>
      </w:r>
      <w:r w:rsidR="00380B29">
        <w:rPr>
          <w:rFonts w:eastAsia="MS Mincho"/>
        </w:rPr>
        <w:t>“</w:t>
      </w:r>
      <w:r w:rsidR="00380B29" w:rsidRPr="00380B29">
        <w:rPr>
          <w:rFonts w:eastAsia="MS Mincho"/>
        </w:rPr>
        <w:t>Study on scenarios and requirements of in-coverage, partial coverage, and out-of-coverage NR positioning use cases</w:t>
      </w:r>
      <w:r w:rsidR="00380B29">
        <w:rPr>
          <w:rFonts w:eastAsia="MS Mincho"/>
        </w:rPr>
        <w:t xml:space="preserve">”, </w:t>
      </w:r>
      <w:r w:rsidR="00F5154B">
        <w:rPr>
          <w:rFonts w:eastAsia="MS Mincho"/>
        </w:rPr>
        <w:t>Rel-17</w:t>
      </w:r>
    </w:p>
    <w:p w14:paraId="2B028C2C" w14:textId="4F1F54BC" w:rsidR="00000FFE" w:rsidRPr="00B8655B" w:rsidRDefault="00000FFE" w:rsidP="00000FFE">
      <w:pPr>
        <w:pStyle w:val="ListParagraph"/>
        <w:numPr>
          <w:ilvl w:val="0"/>
          <w:numId w:val="9"/>
        </w:numPr>
        <w:spacing w:after="160"/>
        <w:ind w:leftChars="0"/>
        <w:contextualSpacing/>
      </w:pPr>
      <w:r w:rsidRPr="00352BBA">
        <w:rPr>
          <w:rFonts w:eastAsia="MS Mincho"/>
        </w:rPr>
        <w:t>TS22.261</w:t>
      </w:r>
      <w:r w:rsidR="00243B80">
        <w:rPr>
          <w:rFonts w:eastAsia="MS Mincho"/>
        </w:rPr>
        <w:t xml:space="preserve">, </w:t>
      </w:r>
      <w:r w:rsidR="00243B80" w:rsidRPr="00BF3DF1">
        <w:rPr>
          <w:rFonts w:eastAsia="SimSun"/>
          <w:szCs w:val="20"/>
          <w:lang w:val="en-US" w:eastAsia="ja-JP"/>
        </w:rPr>
        <w:t>Ranging based services"</w:t>
      </w:r>
    </w:p>
    <w:p w14:paraId="1BC849A1" w14:textId="1AB77BF4" w:rsidR="00000FFE" w:rsidRPr="006B335F" w:rsidRDefault="00000FFE" w:rsidP="00000FFE">
      <w:pPr>
        <w:pStyle w:val="ListParagraph"/>
        <w:numPr>
          <w:ilvl w:val="0"/>
          <w:numId w:val="9"/>
        </w:numPr>
        <w:spacing w:after="160"/>
        <w:ind w:leftChars="0"/>
        <w:contextualSpacing/>
      </w:pPr>
      <w:r w:rsidRPr="00352BBA">
        <w:rPr>
          <w:rFonts w:eastAsia="MS Mincho"/>
        </w:rPr>
        <w:lastRenderedPageBreak/>
        <w:t>TS22.104</w:t>
      </w:r>
      <w:r w:rsidR="00243B80">
        <w:rPr>
          <w:rFonts w:eastAsia="MS Mincho"/>
        </w:rPr>
        <w:t xml:space="preserve">, </w:t>
      </w:r>
      <w:r w:rsidR="00243B80" w:rsidRPr="00BF3DF1">
        <w:rPr>
          <w:rFonts w:eastAsia="SimSun"/>
          <w:szCs w:val="20"/>
          <w:lang w:val="en-US" w:eastAsia="ja-JP"/>
        </w:rPr>
        <w:t>positioning accuracy requirements for IIoT uses cases in out-of-coverage scenarios</w:t>
      </w:r>
    </w:p>
    <w:p w14:paraId="6DBD7090" w14:textId="52E32B7A" w:rsidR="00000FFE" w:rsidRPr="001C5ADB" w:rsidRDefault="00000FFE" w:rsidP="00000FFE">
      <w:pPr>
        <w:pStyle w:val="ListParagraph"/>
        <w:numPr>
          <w:ilvl w:val="0"/>
          <w:numId w:val="9"/>
        </w:numPr>
        <w:spacing w:after="160"/>
        <w:ind w:leftChars="0"/>
        <w:contextualSpacing/>
      </w:pPr>
      <w:bookmarkStart w:id="17" w:name="_Ref101778714"/>
      <w:r>
        <w:rPr>
          <w:rFonts w:eastAsia="MS Mincho"/>
        </w:rPr>
        <w:t>TR 22.855</w:t>
      </w:r>
      <w:r w:rsidR="006A4330">
        <w:rPr>
          <w:rFonts w:eastAsia="MS Mincho"/>
        </w:rPr>
        <w:t xml:space="preserve"> </w:t>
      </w:r>
      <w:r>
        <w:rPr>
          <w:rFonts w:eastAsia="MS Mincho"/>
        </w:rPr>
        <w:t>Study on Ranging-based Services</w:t>
      </w:r>
      <w:bookmarkEnd w:id="17"/>
    </w:p>
    <w:p w14:paraId="179444AB" w14:textId="18701DDE" w:rsidR="00000FFE" w:rsidRDefault="00000FFE" w:rsidP="00000FFE">
      <w:pPr>
        <w:pStyle w:val="ListParagraph"/>
        <w:numPr>
          <w:ilvl w:val="0"/>
          <w:numId w:val="9"/>
        </w:numPr>
        <w:spacing w:after="160"/>
        <w:ind w:leftChars="0"/>
        <w:contextualSpacing/>
      </w:pPr>
      <w:bookmarkStart w:id="18" w:name="_Ref101778719"/>
      <w:r>
        <w:t>TR 23.700-86</w:t>
      </w:r>
      <w:r w:rsidR="00B11DE8">
        <w:t>, XXX</w:t>
      </w:r>
    </w:p>
    <w:bookmarkEnd w:id="16"/>
    <w:bookmarkEnd w:id="18"/>
    <w:p w14:paraId="63E35177" w14:textId="41364E90" w:rsidR="000C5C77" w:rsidRPr="001D0E7D" w:rsidRDefault="000C5C7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5ECAC" w14:textId="77777777" w:rsidR="002E69CC" w:rsidRDefault="002E69CC">
      <w:r>
        <w:separator/>
      </w:r>
    </w:p>
  </w:endnote>
  <w:endnote w:type="continuationSeparator" w:id="0">
    <w:p w14:paraId="17A33799" w14:textId="77777777" w:rsidR="002E69CC" w:rsidRDefault="002E69CC">
      <w:r>
        <w:continuationSeparator/>
      </w:r>
    </w:p>
  </w:endnote>
  <w:endnote w:type="continuationNotice" w:id="1">
    <w:p w14:paraId="5C98AFBA" w14:textId="77777777" w:rsidR="002E69CC" w:rsidRDefault="002E69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80850" w14:textId="77777777" w:rsidR="002E69CC" w:rsidRDefault="002E69CC">
      <w:r>
        <w:separator/>
      </w:r>
    </w:p>
  </w:footnote>
  <w:footnote w:type="continuationSeparator" w:id="0">
    <w:p w14:paraId="1ECE726F" w14:textId="77777777" w:rsidR="002E69CC" w:rsidRDefault="002E69CC">
      <w:r>
        <w:continuationSeparator/>
      </w:r>
    </w:p>
  </w:footnote>
  <w:footnote w:type="continuationNotice" w:id="1">
    <w:p w14:paraId="775F90E4" w14:textId="77777777" w:rsidR="002E69CC" w:rsidRDefault="002E69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D43B1"/>
    <w:multiLevelType w:val="hybridMultilevel"/>
    <w:tmpl w:val="DD86E1D0"/>
    <w:lvl w:ilvl="0" w:tplc="47ACF334">
      <w:start w:val="38"/>
      <w:numFmt w:val="bullet"/>
      <w:lvlText w:val="-"/>
      <w:lvlJc w:val="left"/>
      <w:pPr>
        <w:ind w:left="360" w:hanging="360"/>
      </w:pPr>
      <w:rPr>
        <w:rFonts w:ascii="Calibri" w:eastAsiaTheme="minorEastAsia"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2"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8"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8"/>
  </w:num>
  <w:num w:numId="3">
    <w:abstractNumId w:val="26"/>
  </w:num>
  <w:num w:numId="4">
    <w:abstractNumId w:val="25"/>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23"/>
  </w:num>
  <w:num w:numId="8">
    <w:abstractNumId w:val="16"/>
  </w:num>
  <w:num w:numId="9">
    <w:abstractNumId w:val="11"/>
  </w:num>
  <w:num w:numId="10">
    <w:abstractNumId w:val="17"/>
  </w:num>
  <w:num w:numId="11">
    <w:abstractNumId w:val="14"/>
  </w:num>
  <w:num w:numId="12">
    <w:abstractNumId w:val="20"/>
  </w:num>
  <w:num w:numId="13">
    <w:abstractNumId w:val="16"/>
  </w:num>
  <w:num w:numId="14">
    <w:abstractNumId w:val="13"/>
  </w:num>
  <w:num w:numId="15">
    <w:abstractNumId w:val="12"/>
  </w:num>
  <w:num w:numId="16">
    <w:abstractNumId w:val="10"/>
  </w:num>
  <w:num w:numId="17">
    <w:abstractNumId w:val="27"/>
  </w:num>
  <w:num w:numId="18">
    <w:abstractNumId w:val="6"/>
  </w:num>
  <w:num w:numId="19">
    <w:abstractNumId w:val="16"/>
  </w:num>
  <w:num w:numId="20">
    <w:abstractNumId w:val="3"/>
  </w:num>
  <w:num w:numId="21">
    <w:abstractNumId w:val="24"/>
  </w:num>
  <w:num w:numId="22">
    <w:abstractNumId w:val="14"/>
  </w:num>
  <w:num w:numId="23">
    <w:abstractNumId w:val="2"/>
  </w:num>
  <w:num w:numId="24">
    <w:abstractNumId w:val="19"/>
  </w:num>
  <w:num w:numId="25">
    <w:abstractNumId w:val="21"/>
  </w:num>
  <w:num w:numId="26">
    <w:abstractNumId w:val="7"/>
  </w:num>
  <w:num w:numId="27">
    <w:abstractNumId w:val="9"/>
  </w:num>
  <w:num w:numId="28">
    <w:abstractNumId w:val="15"/>
  </w:num>
  <w:num w:numId="29">
    <w:abstractNumId w:val="22"/>
  </w:num>
  <w:num w:numId="3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530"/>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7E7"/>
    <w:rsid w:val="00035916"/>
    <w:rsid w:val="00035AF6"/>
    <w:rsid w:val="00035BC1"/>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BF2"/>
    <w:rsid w:val="00040C2B"/>
    <w:rsid w:val="00040E83"/>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5FD"/>
    <w:rsid w:val="0004567C"/>
    <w:rsid w:val="000458C4"/>
    <w:rsid w:val="000459C0"/>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CF"/>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79F"/>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0A9F"/>
    <w:rsid w:val="00140B61"/>
    <w:rsid w:val="001411B7"/>
    <w:rsid w:val="001412A5"/>
    <w:rsid w:val="0014165D"/>
    <w:rsid w:val="001416B8"/>
    <w:rsid w:val="00141DDD"/>
    <w:rsid w:val="00142075"/>
    <w:rsid w:val="0014271E"/>
    <w:rsid w:val="001427D6"/>
    <w:rsid w:val="00142901"/>
    <w:rsid w:val="0014296B"/>
    <w:rsid w:val="00142AE8"/>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2ED"/>
    <w:rsid w:val="001724D0"/>
    <w:rsid w:val="001725F5"/>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773"/>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2C"/>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B5D"/>
    <w:rsid w:val="001D3D3D"/>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4E49"/>
    <w:rsid w:val="001F506D"/>
    <w:rsid w:val="001F53DA"/>
    <w:rsid w:val="001F5440"/>
    <w:rsid w:val="001F54AA"/>
    <w:rsid w:val="001F54D5"/>
    <w:rsid w:val="001F55E5"/>
    <w:rsid w:val="001F5684"/>
    <w:rsid w:val="001F5C10"/>
    <w:rsid w:val="001F6113"/>
    <w:rsid w:val="001F66E0"/>
    <w:rsid w:val="001F693D"/>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0DD"/>
    <w:rsid w:val="0020311A"/>
    <w:rsid w:val="00203A51"/>
    <w:rsid w:val="0020401C"/>
    <w:rsid w:val="002045B4"/>
    <w:rsid w:val="00204A59"/>
    <w:rsid w:val="002052B3"/>
    <w:rsid w:val="002057E5"/>
    <w:rsid w:val="0020587D"/>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6C7F"/>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C27"/>
    <w:rsid w:val="00234D72"/>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53B"/>
    <w:rsid w:val="002667CD"/>
    <w:rsid w:val="0026695E"/>
    <w:rsid w:val="00266B0A"/>
    <w:rsid w:val="0026720B"/>
    <w:rsid w:val="00267253"/>
    <w:rsid w:val="00267323"/>
    <w:rsid w:val="00267B7D"/>
    <w:rsid w:val="00267E1C"/>
    <w:rsid w:val="00267F51"/>
    <w:rsid w:val="00270776"/>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20CA"/>
    <w:rsid w:val="002A25A3"/>
    <w:rsid w:val="002A2694"/>
    <w:rsid w:val="002A2FFA"/>
    <w:rsid w:val="002A310A"/>
    <w:rsid w:val="002A311A"/>
    <w:rsid w:val="002A3170"/>
    <w:rsid w:val="002A347C"/>
    <w:rsid w:val="002A35D0"/>
    <w:rsid w:val="002A3634"/>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9CC"/>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D35"/>
    <w:rsid w:val="00300F24"/>
    <w:rsid w:val="0030118B"/>
    <w:rsid w:val="0030194F"/>
    <w:rsid w:val="003019D1"/>
    <w:rsid w:val="00301B2F"/>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27FEB"/>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DA8"/>
    <w:rsid w:val="00335FE9"/>
    <w:rsid w:val="003360CC"/>
    <w:rsid w:val="0033610E"/>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5C1F"/>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3A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B29"/>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56C"/>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A7D54"/>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9E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499"/>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BF1"/>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486"/>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3BF9"/>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DD0"/>
    <w:rsid w:val="004B6F8E"/>
    <w:rsid w:val="004B722F"/>
    <w:rsid w:val="004B7263"/>
    <w:rsid w:val="004B78C2"/>
    <w:rsid w:val="004B7904"/>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83"/>
    <w:rsid w:val="005018F5"/>
    <w:rsid w:val="00501A6D"/>
    <w:rsid w:val="00501AA6"/>
    <w:rsid w:val="00501B7C"/>
    <w:rsid w:val="00501E35"/>
    <w:rsid w:val="00501FD3"/>
    <w:rsid w:val="0050218C"/>
    <w:rsid w:val="0050307A"/>
    <w:rsid w:val="005034C9"/>
    <w:rsid w:val="005035A4"/>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591A"/>
    <w:rsid w:val="00526120"/>
    <w:rsid w:val="0052626A"/>
    <w:rsid w:val="00526605"/>
    <w:rsid w:val="00526B98"/>
    <w:rsid w:val="00526BCC"/>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8B5"/>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6CEB"/>
    <w:rsid w:val="005472D8"/>
    <w:rsid w:val="005473A0"/>
    <w:rsid w:val="00547FB5"/>
    <w:rsid w:val="00550428"/>
    <w:rsid w:val="00551032"/>
    <w:rsid w:val="00551383"/>
    <w:rsid w:val="00551B19"/>
    <w:rsid w:val="00551CA2"/>
    <w:rsid w:val="00551F1D"/>
    <w:rsid w:val="00551FF2"/>
    <w:rsid w:val="0055200E"/>
    <w:rsid w:val="005521CC"/>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4B"/>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C3F"/>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D7C"/>
    <w:rsid w:val="005D50AF"/>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696"/>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469"/>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338"/>
    <w:rsid w:val="00624449"/>
    <w:rsid w:val="006244DB"/>
    <w:rsid w:val="006246E2"/>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CFB"/>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427"/>
    <w:rsid w:val="006357C6"/>
    <w:rsid w:val="006357D9"/>
    <w:rsid w:val="00635A37"/>
    <w:rsid w:val="00635F25"/>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296"/>
    <w:rsid w:val="00657E49"/>
    <w:rsid w:val="00657FB9"/>
    <w:rsid w:val="0066050B"/>
    <w:rsid w:val="006605B8"/>
    <w:rsid w:val="00660713"/>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F75"/>
    <w:rsid w:val="00674537"/>
    <w:rsid w:val="0067489C"/>
    <w:rsid w:val="006755BF"/>
    <w:rsid w:val="00675636"/>
    <w:rsid w:val="00675798"/>
    <w:rsid w:val="00675AAE"/>
    <w:rsid w:val="006763E9"/>
    <w:rsid w:val="006765D8"/>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38"/>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330"/>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176"/>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5BF"/>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061"/>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FC2"/>
    <w:rsid w:val="00735998"/>
    <w:rsid w:val="00735BB0"/>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607"/>
    <w:rsid w:val="007607A2"/>
    <w:rsid w:val="00761925"/>
    <w:rsid w:val="00761B9C"/>
    <w:rsid w:val="00761C1D"/>
    <w:rsid w:val="00761FFE"/>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D71"/>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8F"/>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B8B"/>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299"/>
    <w:rsid w:val="007F43CE"/>
    <w:rsid w:val="007F46C2"/>
    <w:rsid w:val="007F4862"/>
    <w:rsid w:val="007F4C99"/>
    <w:rsid w:val="007F52CF"/>
    <w:rsid w:val="007F600A"/>
    <w:rsid w:val="007F6234"/>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171"/>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1EB2"/>
    <w:rsid w:val="008424A0"/>
    <w:rsid w:val="0084251D"/>
    <w:rsid w:val="00842897"/>
    <w:rsid w:val="00842B67"/>
    <w:rsid w:val="00842B9C"/>
    <w:rsid w:val="00842EDE"/>
    <w:rsid w:val="00842F2C"/>
    <w:rsid w:val="00842FFB"/>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46"/>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948"/>
    <w:rsid w:val="00857199"/>
    <w:rsid w:val="008571A1"/>
    <w:rsid w:val="00857729"/>
    <w:rsid w:val="00857785"/>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B1D"/>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2C8"/>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B8C"/>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63C"/>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B3"/>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26"/>
    <w:rsid w:val="009D7436"/>
    <w:rsid w:val="009D7787"/>
    <w:rsid w:val="009D781C"/>
    <w:rsid w:val="009D78BF"/>
    <w:rsid w:val="009D7988"/>
    <w:rsid w:val="009D7A32"/>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801"/>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38"/>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2F30"/>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33"/>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57A"/>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18E"/>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3F59"/>
    <w:rsid w:val="00AE40D8"/>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5B4"/>
    <w:rsid w:val="00AF1614"/>
    <w:rsid w:val="00AF1905"/>
    <w:rsid w:val="00AF1998"/>
    <w:rsid w:val="00AF1E84"/>
    <w:rsid w:val="00AF1F79"/>
    <w:rsid w:val="00AF222F"/>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264"/>
    <w:rsid w:val="00B06495"/>
    <w:rsid w:val="00B07453"/>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E8"/>
    <w:rsid w:val="00B12640"/>
    <w:rsid w:val="00B129FE"/>
    <w:rsid w:val="00B12B56"/>
    <w:rsid w:val="00B12E1C"/>
    <w:rsid w:val="00B134E2"/>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1F58"/>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68CB"/>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0D"/>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2EA"/>
    <w:rsid w:val="00BE33B3"/>
    <w:rsid w:val="00BE36A4"/>
    <w:rsid w:val="00BE38D9"/>
    <w:rsid w:val="00BE3902"/>
    <w:rsid w:val="00BE40B4"/>
    <w:rsid w:val="00BE4120"/>
    <w:rsid w:val="00BE41E2"/>
    <w:rsid w:val="00BE41EE"/>
    <w:rsid w:val="00BE48F4"/>
    <w:rsid w:val="00BE5382"/>
    <w:rsid w:val="00BE5389"/>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2CF8"/>
    <w:rsid w:val="00BF3192"/>
    <w:rsid w:val="00BF3375"/>
    <w:rsid w:val="00BF3522"/>
    <w:rsid w:val="00BF3613"/>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2597"/>
    <w:rsid w:val="00C12781"/>
    <w:rsid w:val="00C12986"/>
    <w:rsid w:val="00C12BF7"/>
    <w:rsid w:val="00C13146"/>
    <w:rsid w:val="00C13889"/>
    <w:rsid w:val="00C13D6D"/>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4E6"/>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38C"/>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C27"/>
    <w:rsid w:val="00C63F21"/>
    <w:rsid w:val="00C64007"/>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6C29"/>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AF1"/>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81"/>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A2"/>
    <w:rsid w:val="00CB27E8"/>
    <w:rsid w:val="00CB2974"/>
    <w:rsid w:val="00CB2A0D"/>
    <w:rsid w:val="00CB2AC3"/>
    <w:rsid w:val="00CB2C73"/>
    <w:rsid w:val="00CB2D99"/>
    <w:rsid w:val="00CB31AD"/>
    <w:rsid w:val="00CB31E5"/>
    <w:rsid w:val="00CB3212"/>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22E"/>
    <w:rsid w:val="00CD5AB3"/>
    <w:rsid w:val="00CD624E"/>
    <w:rsid w:val="00CD6529"/>
    <w:rsid w:val="00CD65DA"/>
    <w:rsid w:val="00CD6D05"/>
    <w:rsid w:val="00CD7277"/>
    <w:rsid w:val="00CD73A0"/>
    <w:rsid w:val="00CD7421"/>
    <w:rsid w:val="00CD78A9"/>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276"/>
    <w:rsid w:val="00D2146F"/>
    <w:rsid w:val="00D214FF"/>
    <w:rsid w:val="00D2150F"/>
    <w:rsid w:val="00D21543"/>
    <w:rsid w:val="00D215EF"/>
    <w:rsid w:val="00D21725"/>
    <w:rsid w:val="00D2175F"/>
    <w:rsid w:val="00D217C4"/>
    <w:rsid w:val="00D218D8"/>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0DA"/>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D90"/>
    <w:rsid w:val="00D6618A"/>
    <w:rsid w:val="00D66233"/>
    <w:rsid w:val="00D66D57"/>
    <w:rsid w:val="00D6737B"/>
    <w:rsid w:val="00D67537"/>
    <w:rsid w:val="00D679C2"/>
    <w:rsid w:val="00D67A08"/>
    <w:rsid w:val="00D67B66"/>
    <w:rsid w:val="00D67C96"/>
    <w:rsid w:val="00D70011"/>
    <w:rsid w:val="00D7026B"/>
    <w:rsid w:val="00D70C01"/>
    <w:rsid w:val="00D71078"/>
    <w:rsid w:val="00D710C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2A1"/>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452"/>
    <w:rsid w:val="00E35C56"/>
    <w:rsid w:val="00E3612B"/>
    <w:rsid w:val="00E36278"/>
    <w:rsid w:val="00E363CD"/>
    <w:rsid w:val="00E366C4"/>
    <w:rsid w:val="00E36C23"/>
    <w:rsid w:val="00E36D93"/>
    <w:rsid w:val="00E373C7"/>
    <w:rsid w:val="00E376D5"/>
    <w:rsid w:val="00E4058C"/>
    <w:rsid w:val="00E40896"/>
    <w:rsid w:val="00E40DF8"/>
    <w:rsid w:val="00E41288"/>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DBA"/>
    <w:rsid w:val="00E53F30"/>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94C"/>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484"/>
    <w:rsid w:val="00EF5B0E"/>
    <w:rsid w:val="00EF5B0F"/>
    <w:rsid w:val="00EF5B77"/>
    <w:rsid w:val="00EF66CA"/>
    <w:rsid w:val="00EF66E2"/>
    <w:rsid w:val="00EF66F7"/>
    <w:rsid w:val="00EF67F6"/>
    <w:rsid w:val="00EF6B08"/>
    <w:rsid w:val="00EF6FC5"/>
    <w:rsid w:val="00EF72CC"/>
    <w:rsid w:val="00EF7433"/>
    <w:rsid w:val="00EF7754"/>
    <w:rsid w:val="00EF7A36"/>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727"/>
    <w:rsid w:val="00F2585C"/>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BB8"/>
    <w:rsid w:val="00F40C0A"/>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54B"/>
    <w:rsid w:val="00F51882"/>
    <w:rsid w:val="00F5197D"/>
    <w:rsid w:val="00F51A03"/>
    <w:rsid w:val="00F51D55"/>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66F"/>
    <w:rsid w:val="00F66DB6"/>
    <w:rsid w:val="00F6763C"/>
    <w:rsid w:val="00F67AB2"/>
    <w:rsid w:val="00F67C20"/>
    <w:rsid w:val="00F7029C"/>
    <w:rsid w:val="00F702EC"/>
    <w:rsid w:val="00F70462"/>
    <w:rsid w:val="00F70A70"/>
    <w:rsid w:val="00F70B6E"/>
    <w:rsid w:val="00F7109D"/>
    <w:rsid w:val="00F7188E"/>
    <w:rsid w:val="00F71F4D"/>
    <w:rsid w:val="00F71FAB"/>
    <w:rsid w:val="00F72102"/>
    <w:rsid w:val="00F72107"/>
    <w:rsid w:val="00F721BE"/>
    <w:rsid w:val="00F72693"/>
    <w:rsid w:val="00F72876"/>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5F7"/>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2C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1550653189">
          <w:marLeft w:val="0"/>
          <w:marRight w:val="0"/>
          <w:marTop w:val="0"/>
          <w:marBottom w:val="0"/>
          <w:divBdr>
            <w:top w:val="none" w:sz="0" w:space="0" w:color="auto"/>
            <w:left w:val="none" w:sz="0" w:space="0" w:color="auto"/>
            <w:bottom w:val="none" w:sz="0" w:space="0" w:color="auto"/>
            <w:right w:val="none" w:sz="0" w:space="0" w:color="auto"/>
          </w:divBdr>
        </w:div>
        <w:div w:id="498812862">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7F33B0BF-94A4-4274-9E6F-488F1EAC7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6</Pages>
  <Words>2343</Words>
  <Characters>12420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14734</CharactersWithSpaces>
  <SharedDoc>false</SharedDoc>
  <HLinks>
    <vt:vector size="6" baseType="variant">
      <vt:variant>
        <vt:i4>1835131</vt:i4>
      </vt:variant>
      <vt:variant>
        <vt:i4>15</vt:i4>
      </vt:variant>
      <vt:variant>
        <vt:i4>0</vt:i4>
      </vt:variant>
      <vt:variant>
        <vt:i4>5</vt:i4>
      </vt:variant>
      <vt:variant>
        <vt:lpwstr>https://sonyeur-my.sharepoint.com/personal/basuki_priyanto_sony_com/Documents/Docs/R1-2112881.zip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3</cp:revision>
  <cp:lastPrinted>2013-05-13T01:37:00Z</cp:lastPrinted>
  <dcterms:created xsi:type="dcterms:W3CDTF">2022-08-09T15:39:00Z</dcterms:created>
  <dcterms:modified xsi:type="dcterms:W3CDTF">2022-08-09T15:40:00Z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