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65F25228"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w:t>
      </w:r>
      <w:r w:rsidR="007F7922">
        <w:rPr>
          <w:b/>
          <w:noProof/>
          <w:sz w:val="24"/>
          <w:szCs w:val="24"/>
        </w:rPr>
        <w:t>207468</w:t>
      </w:r>
    </w:p>
    <w:p w14:paraId="2A46E0A5" w14:textId="77777777"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AD4B8C5" w14:textId="77777777" w:rsidR="000E43D2" w:rsidRPr="00B266B0" w:rsidRDefault="000E43D2" w:rsidP="000E43D2">
      <w:pPr>
        <w:pStyle w:val="Header"/>
        <w:tabs>
          <w:tab w:val="right" w:pos="9639"/>
        </w:tabs>
        <w:rPr>
          <w:bCs/>
          <w:noProof w:val="0"/>
          <w:sz w:val="24"/>
        </w:rPr>
      </w:pPr>
    </w:p>
    <w:p w14:paraId="5DC13515" w14:textId="4203FE55"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w:t>
      </w:r>
      <w:r w:rsidR="004B264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73E715A8" w:rsidR="000E43D2" w:rsidRPr="001D1997" w:rsidRDefault="000E43D2" w:rsidP="005818FC">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5818FC" w:rsidRPr="005818FC">
        <w:rPr>
          <w:rFonts w:ascii="Arial" w:hAnsi="Arial" w:cs="Arial"/>
          <w:b/>
          <w:bCs/>
          <w:szCs w:val="22"/>
          <w:lang w:val="en-US"/>
        </w:rPr>
        <w:t>Setting the stage for practical operation of selective activation of cell groups</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E362158" w14:textId="12558651" w:rsidR="0040377C" w:rsidRPr="00EE0157" w:rsidRDefault="007470B0" w:rsidP="0040377C">
      <w:pPr>
        <w:rPr>
          <w:rFonts w:ascii="Arial" w:hAnsi="Arial" w:cs="Arial"/>
          <w:szCs w:val="22"/>
        </w:rPr>
      </w:pPr>
      <w:r>
        <w:rPr>
          <w:rFonts w:ascii="Arial" w:hAnsi="Arial" w:cs="Arial"/>
          <w:szCs w:val="22"/>
        </w:rPr>
        <w:t>In this paper, we intend to set the stage (for progress in the future meetings) with basic agreements keeping in mind that we do not have plan for spending lot of time on this topic in this meeting.</w:t>
      </w:r>
    </w:p>
    <w:p w14:paraId="3D689248" w14:textId="1FEEB6D0" w:rsidR="008F7EEF" w:rsidRDefault="007470B0" w:rsidP="008F5B07">
      <w:pPr>
        <w:pStyle w:val="Heading1"/>
        <w:rPr>
          <w:rStyle w:val="Heading2Char"/>
          <w:rFonts w:eastAsia="MS Mincho"/>
        </w:rPr>
      </w:pPr>
      <w:r>
        <w:rPr>
          <w:rStyle w:val="Heading2Char"/>
          <w:rFonts w:eastAsia="MS Mincho"/>
        </w:rPr>
        <w:t>Anchoring the MN</w:t>
      </w:r>
    </w:p>
    <w:tbl>
      <w:tblPr>
        <w:tblStyle w:val="TableGrid"/>
        <w:tblW w:w="0" w:type="auto"/>
        <w:tblLook w:val="04A0" w:firstRow="1" w:lastRow="0" w:firstColumn="1" w:lastColumn="0" w:noHBand="0" w:noVBand="1"/>
      </w:tblPr>
      <w:tblGrid>
        <w:gridCol w:w="9016"/>
      </w:tblGrid>
      <w:tr w:rsidR="00D2164D" w14:paraId="0CEC2A70" w14:textId="77777777" w:rsidTr="00D2164D">
        <w:tc>
          <w:tcPr>
            <w:tcW w:w="9016" w:type="dxa"/>
          </w:tcPr>
          <w:p w14:paraId="06F1FFBA" w14:textId="5A1FBF62" w:rsidR="00D2164D" w:rsidRDefault="00D2164D" w:rsidP="007F6D2D">
            <w:pPr>
              <w:rPr>
                <w:rFonts w:ascii="Arial" w:hAnsi="Arial" w:cs="Arial"/>
              </w:rPr>
            </w:pPr>
            <w:r w:rsidRPr="00D2164D">
              <w:rPr>
                <w:rFonts w:ascii="Arial" w:hAnsi="Arial" w:cs="Arial"/>
                <w:noProof/>
              </w:rPr>
              <w:drawing>
                <wp:inline distT="0" distB="0" distL="0" distR="0" wp14:anchorId="0EFDEAB8" wp14:editId="3E225FB3">
                  <wp:extent cx="5731510" cy="1574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574165"/>
                          </a:xfrm>
                          <a:prstGeom prst="rect">
                            <a:avLst/>
                          </a:prstGeom>
                        </pic:spPr>
                      </pic:pic>
                    </a:graphicData>
                  </a:graphic>
                </wp:inline>
              </w:drawing>
            </w:r>
          </w:p>
        </w:tc>
      </w:tr>
    </w:tbl>
    <w:p w14:paraId="4DF07477" w14:textId="5A7796C4" w:rsidR="00D2164D" w:rsidRPr="00477A09" w:rsidRDefault="00D2164D" w:rsidP="00D2164D">
      <w:pPr>
        <w:jc w:val="center"/>
        <w:rPr>
          <w:rFonts w:ascii="Arial" w:hAnsi="Arial" w:cs="Arial"/>
          <w:b/>
          <w:bCs/>
          <w:sz w:val="16"/>
          <w:szCs w:val="16"/>
        </w:rPr>
      </w:pPr>
      <w:r w:rsidRPr="00477A09">
        <w:rPr>
          <w:rFonts w:ascii="Arial" w:hAnsi="Arial" w:cs="Arial"/>
          <w:b/>
          <w:bCs/>
          <w:sz w:val="16"/>
          <w:szCs w:val="16"/>
        </w:rPr>
        <w:t xml:space="preserve">Figure 1: </w:t>
      </w:r>
      <w:r>
        <w:rPr>
          <w:rFonts w:ascii="Arial" w:hAnsi="Arial" w:cs="Arial"/>
          <w:b/>
          <w:bCs/>
          <w:sz w:val="16"/>
          <w:szCs w:val="16"/>
        </w:rPr>
        <w:t>The main objective is to do the switch without reconfiguration of CPC</w:t>
      </w:r>
    </w:p>
    <w:p w14:paraId="5952F9E7" w14:textId="77777777" w:rsidR="00D2164D" w:rsidRDefault="00D2164D" w:rsidP="007F6D2D">
      <w:pPr>
        <w:rPr>
          <w:rFonts w:ascii="Arial" w:hAnsi="Arial" w:cs="Arial"/>
        </w:rPr>
      </w:pPr>
    </w:p>
    <w:p w14:paraId="0C4150D5" w14:textId="40C6C2DC" w:rsidR="00D2164D" w:rsidRDefault="00D2164D" w:rsidP="007F6D2D">
      <w:pPr>
        <w:rPr>
          <w:rFonts w:ascii="Arial" w:hAnsi="Arial" w:cs="Arial"/>
        </w:rPr>
      </w:pPr>
      <w:r>
        <w:rPr>
          <w:rFonts w:ascii="Arial" w:hAnsi="Arial" w:cs="Arial"/>
        </w:rPr>
        <w:t xml:space="preserve">Figure 1 shows the main aim of the objective: to allow the UE to perform a CG switch without explicit reconfiguration in the form of a CPC. </w:t>
      </w:r>
    </w:p>
    <w:p w14:paraId="242E56B4" w14:textId="2B9098E2" w:rsidR="00D2164D" w:rsidRPr="000D75B7" w:rsidRDefault="00D2164D" w:rsidP="007F6D2D">
      <w:pPr>
        <w:rPr>
          <w:rFonts w:ascii="Arial" w:hAnsi="Arial" w:cs="Arial"/>
          <w:b/>
          <w:bCs/>
        </w:rPr>
      </w:pPr>
      <w:r w:rsidRPr="000D75B7">
        <w:rPr>
          <w:rFonts w:ascii="Arial" w:hAnsi="Arial" w:cs="Arial"/>
          <w:b/>
          <w:bCs/>
        </w:rPr>
        <w:t>Observation 1: MN provides the security context for the SN, and a change in MN results in changing the security of the SN as well.</w:t>
      </w:r>
    </w:p>
    <w:p w14:paraId="6545EC7E" w14:textId="20C26C58" w:rsidR="00D2164D" w:rsidRPr="000D75B7" w:rsidRDefault="00D2164D" w:rsidP="007F6D2D">
      <w:pPr>
        <w:rPr>
          <w:rFonts w:ascii="Arial" w:hAnsi="Arial" w:cs="Arial"/>
          <w:b/>
          <w:bCs/>
        </w:rPr>
      </w:pPr>
      <w:r w:rsidRPr="000D75B7">
        <w:rPr>
          <w:rFonts w:ascii="Arial" w:hAnsi="Arial" w:cs="Arial"/>
          <w:b/>
          <w:bCs/>
        </w:rPr>
        <w:t>Observation 2: To avoid a change in security context (which is via RRC), for a SN switch to happen without explicit reconfiguration, the MN cannot be changed.</w:t>
      </w:r>
    </w:p>
    <w:p w14:paraId="5DC32C55" w14:textId="79CE8CAB" w:rsidR="00D2164D" w:rsidRPr="000D75B7" w:rsidRDefault="00D2164D" w:rsidP="007F6D2D">
      <w:pPr>
        <w:rPr>
          <w:rFonts w:ascii="Arial" w:hAnsi="Arial" w:cs="Arial"/>
          <w:b/>
          <w:bCs/>
        </w:rPr>
      </w:pPr>
      <w:r w:rsidRPr="000D75B7">
        <w:rPr>
          <w:rFonts w:ascii="Arial" w:hAnsi="Arial" w:cs="Arial"/>
          <w:b/>
          <w:bCs/>
        </w:rPr>
        <w:t xml:space="preserve">Observation 3: Even with MN not being changed, the SN that is being switched to, needs to be given the security context (cannot reuse the old one) and so is the case for the UE, so some form of security derivation is needed without any explicit </w:t>
      </w:r>
      <w:proofErr w:type="spellStart"/>
      <w:r w:rsidRPr="000D75B7">
        <w:rPr>
          <w:rFonts w:ascii="Arial" w:hAnsi="Arial" w:cs="Arial"/>
          <w:b/>
          <w:bCs/>
        </w:rPr>
        <w:t>reconfig</w:t>
      </w:r>
      <w:proofErr w:type="spellEnd"/>
      <w:r w:rsidRPr="000D75B7">
        <w:rPr>
          <w:rFonts w:ascii="Arial" w:hAnsi="Arial" w:cs="Arial"/>
          <w:b/>
          <w:bCs/>
        </w:rPr>
        <w:t>.</w:t>
      </w:r>
    </w:p>
    <w:p w14:paraId="47FEF2C2" w14:textId="2FADB012" w:rsidR="00D2164D" w:rsidRDefault="00D2164D" w:rsidP="007F6D2D">
      <w:pPr>
        <w:rPr>
          <w:rFonts w:ascii="Arial" w:hAnsi="Arial" w:cs="Arial"/>
        </w:rPr>
      </w:pPr>
      <w:r>
        <w:rPr>
          <w:rFonts w:ascii="Arial" w:hAnsi="Arial" w:cs="Arial"/>
        </w:rPr>
        <w:t xml:space="preserve">While RAN2 can discuss (in conjunction with SA3’s input) on how the security context of the to-be-switched’ SN is to be given to both the target SN and the UE, </w:t>
      </w:r>
      <w:proofErr w:type="gramStart"/>
      <w:r>
        <w:rPr>
          <w:rFonts w:ascii="Arial" w:hAnsi="Arial" w:cs="Arial"/>
        </w:rPr>
        <w:t>it is clear that we</w:t>
      </w:r>
      <w:proofErr w:type="gramEnd"/>
      <w:r>
        <w:rPr>
          <w:rFonts w:ascii="Arial" w:hAnsi="Arial" w:cs="Arial"/>
        </w:rPr>
        <w:t xml:space="preserve"> should not </w:t>
      </w:r>
      <w:r w:rsidR="005A440C">
        <w:rPr>
          <w:rFonts w:ascii="Arial" w:hAnsi="Arial" w:cs="Arial"/>
        </w:rPr>
        <w:t>allow a MN change during this subsequent CG switch.</w:t>
      </w:r>
    </w:p>
    <w:p w14:paraId="35487AF5" w14:textId="41A6E7BB" w:rsidR="005A440C" w:rsidRPr="000D75B7" w:rsidRDefault="005A440C" w:rsidP="007F6D2D">
      <w:pPr>
        <w:rPr>
          <w:rFonts w:ascii="Arial" w:hAnsi="Arial" w:cs="Arial"/>
          <w:b/>
          <w:bCs/>
        </w:rPr>
      </w:pPr>
      <w:r w:rsidRPr="000D75B7">
        <w:rPr>
          <w:rFonts w:ascii="Arial" w:hAnsi="Arial" w:cs="Arial"/>
          <w:b/>
          <w:bCs/>
        </w:rPr>
        <w:t xml:space="preserve">Proposal 1: Subsequent CG change without </w:t>
      </w:r>
      <w:proofErr w:type="spellStart"/>
      <w:r w:rsidRPr="000D75B7">
        <w:rPr>
          <w:rFonts w:ascii="Arial" w:hAnsi="Arial" w:cs="Arial"/>
          <w:b/>
          <w:bCs/>
        </w:rPr>
        <w:t>reconfig</w:t>
      </w:r>
      <w:proofErr w:type="spellEnd"/>
      <w:r w:rsidRPr="000D75B7">
        <w:rPr>
          <w:rFonts w:ascii="Arial" w:hAnsi="Arial" w:cs="Arial"/>
          <w:b/>
          <w:bCs/>
        </w:rPr>
        <w:t xml:space="preserve">/re-initiation of CPA/CPC is limited to the case where the MN is not changed. </w:t>
      </w:r>
    </w:p>
    <w:p w14:paraId="3B14D03E" w14:textId="2E259011" w:rsidR="005A440C" w:rsidRPr="000D75B7" w:rsidRDefault="005A440C" w:rsidP="007F6D2D">
      <w:pPr>
        <w:rPr>
          <w:rFonts w:ascii="Arial" w:hAnsi="Arial" w:cs="Arial"/>
          <w:b/>
          <w:bCs/>
        </w:rPr>
      </w:pPr>
      <w:r w:rsidRPr="000D75B7">
        <w:rPr>
          <w:rFonts w:ascii="Arial" w:hAnsi="Arial" w:cs="Arial"/>
          <w:b/>
          <w:bCs/>
        </w:rPr>
        <w:lastRenderedPageBreak/>
        <w:t xml:space="preserve">Proposal 2: If the MN is to be changed, then UE is expected to be given an RRC message </w:t>
      </w:r>
      <w:proofErr w:type="gramStart"/>
      <w:r w:rsidRPr="000D75B7">
        <w:rPr>
          <w:rFonts w:ascii="Arial" w:hAnsi="Arial" w:cs="Arial"/>
          <w:b/>
          <w:bCs/>
        </w:rPr>
        <w:t>( as</w:t>
      </w:r>
      <w:proofErr w:type="gramEnd"/>
      <w:r w:rsidRPr="000D75B7">
        <w:rPr>
          <w:rFonts w:ascii="Arial" w:hAnsi="Arial" w:cs="Arial"/>
          <w:b/>
          <w:bCs/>
        </w:rPr>
        <w:t xml:space="preserve"> in Legacy)</w:t>
      </w:r>
    </w:p>
    <w:p w14:paraId="0D1BBC62" w14:textId="1E2F2733" w:rsidR="00835671" w:rsidRDefault="00835671" w:rsidP="007F6D2D">
      <w:pPr>
        <w:rPr>
          <w:rFonts w:ascii="Arial" w:hAnsi="Arial" w:cs="Arial"/>
        </w:rPr>
      </w:pPr>
      <w:r>
        <w:rPr>
          <w:rFonts w:ascii="Arial" w:hAnsi="Arial" w:cs="Arial"/>
        </w:rPr>
        <w:t>Another rather straight-forward requirement for the subsequent SN change without RRC message requires that the UE save the source SN config even after a switch of SN.</w:t>
      </w:r>
    </w:p>
    <w:p w14:paraId="14E3D4B2" w14:textId="25F2ABC1" w:rsidR="00CE35ED" w:rsidRPr="00CE35ED" w:rsidRDefault="00835671" w:rsidP="007F6D2D">
      <w:pPr>
        <w:rPr>
          <w:rFonts w:ascii="Arial" w:hAnsi="Arial" w:cs="Arial"/>
          <w:b/>
          <w:bCs/>
        </w:rPr>
      </w:pPr>
      <w:r w:rsidRPr="00CE35ED">
        <w:rPr>
          <w:rFonts w:ascii="Arial" w:hAnsi="Arial" w:cs="Arial"/>
          <w:b/>
          <w:bCs/>
        </w:rPr>
        <w:t>Proposal 3: The UE can be configured to save the source SN configuration after a SN switch. In this way, which SNs are valid for the subsequent SN switch without RRC CPC, can be configurable to the UE by the NW.</w:t>
      </w:r>
      <w:r w:rsidR="00CE35ED">
        <w:rPr>
          <w:rFonts w:ascii="Arial" w:hAnsi="Arial" w:cs="Arial"/>
          <w:b/>
          <w:bCs/>
        </w:rPr>
        <w:t xml:space="preserve"> FFS on the number of SN configs the UE can store.</w:t>
      </w:r>
    </w:p>
    <w:p w14:paraId="1EDA59EE" w14:textId="77E10F34" w:rsidR="00835671" w:rsidRDefault="00835671" w:rsidP="007F6D2D">
      <w:pPr>
        <w:rPr>
          <w:rFonts w:ascii="Arial" w:hAnsi="Arial" w:cs="Arial"/>
        </w:rPr>
      </w:pPr>
      <w:r>
        <w:rPr>
          <w:rFonts w:ascii="Arial" w:hAnsi="Arial" w:cs="Arial"/>
        </w:rPr>
        <w:t>It can also be seen that for the cases of subsequent CG switches (where the MN remains the same), even when the UE save the config of each SN, the security context cannot be saved to be re-used. While some form of “derivation” of the SN security is needed at the UE</w:t>
      </w:r>
      <w:r w:rsidR="00786598">
        <w:rPr>
          <w:rFonts w:ascii="Arial" w:hAnsi="Arial" w:cs="Arial"/>
        </w:rPr>
        <w:t xml:space="preserve"> (it is assumed that RAN3 or RAN2 defines the inter-node needed for MN to configure the SN of the security, including re-using the existing interfaces), it is a prudent step in check with SA3 on the direction of derivation of the SN security based on </w:t>
      </w:r>
      <w:proofErr w:type="spellStart"/>
      <w:proofErr w:type="gramStart"/>
      <w:r w:rsidR="00786598">
        <w:rPr>
          <w:rFonts w:ascii="Arial" w:hAnsi="Arial" w:cs="Arial"/>
        </w:rPr>
        <w:t>a</w:t>
      </w:r>
      <w:proofErr w:type="spellEnd"/>
      <w:proofErr w:type="gramEnd"/>
      <w:r w:rsidR="00786598">
        <w:rPr>
          <w:rFonts w:ascii="Arial" w:hAnsi="Arial" w:cs="Arial"/>
        </w:rPr>
        <w:t xml:space="preserve"> earlier provided MN config.</w:t>
      </w:r>
    </w:p>
    <w:p w14:paraId="7214BABC" w14:textId="7695BD58" w:rsidR="005A440C" w:rsidRPr="00CE35ED" w:rsidRDefault="00835671" w:rsidP="007F6D2D">
      <w:pPr>
        <w:rPr>
          <w:rFonts w:ascii="Arial" w:hAnsi="Arial" w:cs="Arial"/>
          <w:b/>
          <w:bCs/>
        </w:rPr>
      </w:pPr>
      <w:r w:rsidRPr="00CE35ED">
        <w:rPr>
          <w:rFonts w:ascii="Arial" w:hAnsi="Arial" w:cs="Arial"/>
          <w:b/>
          <w:bCs/>
        </w:rPr>
        <w:t xml:space="preserve">Proposal </w:t>
      </w:r>
      <w:r w:rsidR="00786598" w:rsidRPr="00CE35ED">
        <w:rPr>
          <w:rFonts w:ascii="Arial" w:hAnsi="Arial" w:cs="Arial"/>
          <w:b/>
          <w:bCs/>
        </w:rPr>
        <w:t>4</w:t>
      </w:r>
      <w:r w:rsidRPr="00CE35ED">
        <w:rPr>
          <w:rFonts w:ascii="Arial" w:hAnsi="Arial" w:cs="Arial"/>
          <w:b/>
          <w:bCs/>
        </w:rPr>
        <w:t xml:space="preserve">: </w:t>
      </w:r>
      <w:r w:rsidR="00786598" w:rsidRPr="00CE35ED">
        <w:rPr>
          <w:rFonts w:ascii="Arial" w:hAnsi="Arial" w:cs="Arial"/>
          <w:b/>
          <w:bCs/>
        </w:rPr>
        <w:t>The saved security cannot be re-used as part of subsequent CG switch, and FFS on the procedure/method with which the UE derives the SN security based on a prior MN config (without RRC CPC config at the time of SN switch).</w:t>
      </w:r>
    </w:p>
    <w:p w14:paraId="698DE24F" w14:textId="41E2EDF7" w:rsidR="00786598" w:rsidRPr="00CE35ED" w:rsidRDefault="00786598" w:rsidP="007F6D2D">
      <w:pPr>
        <w:rPr>
          <w:rFonts w:ascii="Arial" w:hAnsi="Arial" w:cs="Arial"/>
          <w:b/>
          <w:bCs/>
        </w:rPr>
      </w:pPr>
      <w:r w:rsidRPr="00CE35ED">
        <w:rPr>
          <w:rFonts w:ascii="Arial" w:hAnsi="Arial" w:cs="Arial"/>
          <w:b/>
          <w:bCs/>
        </w:rPr>
        <w:t>Proposal 5: Check with SA3 if they are ok with the approach from proposal 4.</w:t>
      </w:r>
    </w:p>
    <w:p w14:paraId="7DFC2BEB" w14:textId="3C6D2433" w:rsidR="000C0AF6" w:rsidRPr="00495E19" w:rsidRDefault="000D75B7" w:rsidP="007F6D2D">
      <w:pPr>
        <w:rPr>
          <w:rFonts w:ascii="Arial" w:hAnsi="Arial" w:cs="Arial"/>
        </w:rPr>
      </w:pPr>
      <w:r>
        <w:rPr>
          <w:rFonts w:ascii="Arial" w:hAnsi="Arial" w:cs="Arial"/>
        </w:rPr>
        <w:tab/>
      </w:r>
    </w:p>
    <w:p w14:paraId="46BE1D4C" w14:textId="7936AEA3" w:rsidR="00041401" w:rsidRDefault="00041401" w:rsidP="005C0434">
      <w:pPr>
        <w:pStyle w:val="Heading1"/>
      </w:pPr>
      <w:r>
        <w:t>Conditional Activation Aspects</w:t>
      </w:r>
    </w:p>
    <w:p w14:paraId="7EFE0655" w14:textId="77777777" w:rsidR="00C00F06" w:rsidRDefault="00C00F06" w:rsidP="00041401">
      <w:pPr>
        <w:rPr>
          <w:rFonts w:ascii="Arial" w:hAnsi="Arial" w:cs="Arial"/>
        </w:rPr>
      </w:pPr>
      <w:r>
        <w:t xml:space="preserve"> </w:t>
      </w:r>
      <w:r>
        <w:rPr>
          <w:rFonts w:ascii="Arial" w:hAnsi="Arial" w:cs="Arial"/>
        </w:rPr>
        <w:t xml:space="preserve">With Rel-18, RAN2 plans to allow the UE to conditionally apply a DC config (a new MN and selection of SN from among a pool of SNs belonging to that MN). While there is a </w:t>
      </w:r>
      <w:proofErr w:type="gramStart"/>
      <w:r>
        <w:rPr>
          <w:rFonts w:ascii="Arial" w:hAnsi="Arial" w:cs="Arial"/>
        </w:rPr>
        <w:t>lot</w:t>
      </w:r>
      <w:proofErr w:type="gramEnd"/>
      <w:r>
        <w:rPr>
          <w:rFonts w:ascii="Arial" w:hAnsi="Arial" w:cs="Arial"/>
        </w:rPr>
        <w:t xml:space="preserve"> areas to discuss and conclude on, we think for this meeting, one of the most practical aspect that can shape the future discussions is on the case where the UE satisfies the trigger condition for MN and but not for SN (or any SNs that are conditionally evaluated along with this MN).</w:t>
      </w:r>
    </w:p>
    <w:p w14:paraId="41D69914" w14:textId="2228B11D" w:rsidR="00041401" w:rsidRDefault="00C00F06" w:rsidP="00041401">
      <w:pPr>
        <w:rPr>
          <w:rFonts w:ascii="Arial" w:hAnsi="Arial" w:cs="Arial"/>
        </w:rPr>
      </w:pPr>
      <w:r>
        <w:rPr>
          <w:rFonts w:ascii="Arial" w:hAnsi="Arial" w:cs="Arial"/>
        </w:rPr>
        <w:t xml:space="preserve">While we cannot allow the UE to apply an SN when its triggering condition is satisfied, but MN condition is not (we need MN to be anchored first, as SN cannot be independent of MN) we should be able to allow the UE to apply </w:t>
      </w:r>
      <w:r w:rsidR="008271B5">
        <w:rPr>
          <w:rFonts w:ascii="Arial" w:hAnsi="Arial" w:cs="Arial"/>
        </w:rPr>
        <w:t>MN config while still evaluating the SN config.</w:t>
      </w:r>
    </w:p>
    <w:p w14:paraId="0E1F7018" w14:textId="457F9A3B" w:rsidR="008271B5" w:rsidRDefault="008271B5" w:rsidP="00041401">
      <w:pPr>
        <w:rPr>
          <w:rFonts w:ascii="Arial" w:hAnsi="Arial" w:cs="Arial"/>
        </w:rPr>
      </w:pPr>
      <w:r>
        <w:rPr>
          <w:rFonts w:ascii="Arial" w:hAnsi="Arial" w:cs="Arial"/>
        </w:rPr>
        <w:t xml:space="preserve">The option to add SN in a deactivated </w:t>
      </w:r>
      <w:proofErr w:type="gramStart"/>
      <w:r>
        <w:rPr>
          <w:rFonts w:ascii="Arial" w:hAnsi="Arial" w:cs="Arial"/>
        </w:rPr>
        <w:t>state, or</w:t>
      </w:r>
      <w:proofErr w:type="gramEnd"/>
      <w:r>
        <w:rPr>
          <w:rFonts w:ascii="Arial" w:hAnsi="Arial" w:cs="Arial"/>
        </w:rPr>
        <w:t xml:space="preserve"> defer that SN addition while MN config is applied, should be allowed at the UE. We can discuss the specifics, but we think the option of having the NW control whether the UE can do this or not should also be agreed.</w:t>
      </w:r>
    </w:p>
    <w:p w14:paraId="4B4CB315" w14:textId="321ABD74" w:rsidR="008271B5" w:rsidRPr="00DA6871" w:rsidRDefault="008271B5" w:rsidP="00041401">
      <w:pPr>
        <w:rPr>
          <w:rFonts w:ascii="Arial" w:hAnsi="Arial" w:cs="Arial"/>
          <w:b/>
          <w:bCs/>
        </w:rPr>
      </w:pPr>
      <w:r w:rsidRPr="00DA6871">
        <w:rPr>
          <w:rFonts w:ascii="Arial" w:hAnsi="Arial" w:cs="Arial"/>
          <w:b/>
          <w:bCs/>
        </w:rPr>
        <w:t xml:space="preserve">Proposal 6: </w:t>
      </w:r>
      <w:r w:rsidR="004D28FA" w:rsidRPr="00DA6871">
        <w:rPr>
          <w:rFonts w:ascii="Arial" w:hAnsi="Arial" w:cs="Arial"/>
          <w:b/>
          <w:bCs/>
        </w:rPr>
        <w:t xml:space="preserve">Under the control of the NW, the UE should be able to only apply MN part of conditional config as part of conditional DC configuration. </w:t>
      </w:r>
      <w:r w:rsidRPr="00DA6871">
        <w:rPr>
          <w:rFonts w:ascii="Arial" w:hAnsi="Arial" w:cs="Arial"/>
          <w:b/>
          <w:bCs/>
        </w:rPr>
        <w:t xml:space="preserve"> </w:t>
      </w:r>
    </w:p>
    <w:p w14:paraId="46E2D41F" w14:textId="34FC5956" w:rsidR="004D28FA" w:rsidRPr="00DA6871" w:rsidRDefault="004D28FA" w:rsidP="00041401">
      <w:pPr>
        <w:rPr>
          <w:b/>
          <w:bCs/>
        </w:rPr>
      </w:pPr>
      <w:r w:rsidRPr="00DA6871">
        <w:rPr>
          <w:rFonts w:ascii="Arial" w:hAnsi="Arial" w:cs="Arial"/>
          <w:b/>
          <w:bCs/>
        </w:rPr>
        <w:t xml:space="preserve">Proposal 7: In case the UE is already in DC config (SN is configured </w:t>
      </w:r>
      <w:proofErr w:type="spellStart"/>
      <w:r w:rsidRPr="00DA6871">
        <w:rPr>
          <w:rFonts w:ascii="Arial" w:hAnsi="Arial" w:cs="Arial"/>
          <w:b/>
          <w:bCs/>
        </w:rPr>
        <w:t>atleast</w:t>
      </w:r>
      <w:proofErr w:type="spellEnd"/>
      <w:r w:rsidRPr="00DA6871">
        <w:rPr>
          <w:rFonts w:ascii="Arial" w:hAnsi="Arial" w:cs="Arial"/>
          <w:b/>
          <w:bCs/>
        </w:rPr>
        <w:t>) when the UE applies the conditional DC config, the UE can add the SN in deactivated state in case only the MN conditions are satisfied, while the SN conditions are not.</w:t>
      </w:r>
    </w:p>
    <w:p w14:paraId="07388B9C" w14:textId="33B1CACE" w:rsidR="005C0434" w:rsidRDefault="005C0434" w:rsidP="005C0434">
      <w:pPr>
        <w:pStyle w:val="Heading1"/>
      </w:pPr>
      <w:r>
        <w:t>Conclusions</w:t>
      </w:r>
    </w:p>
    <w:p w14:paraId="10CCF1A8" w14:textId="77777777" w:rsidR="007F7922" w:rsidRPr="000D75B7" w:rsidRDefault="007F7922" w:rsidP="007F7922">
      <w:pPr>
        <w:rPr>
          <w:rFonts w:ascii="Arial" w:hAnsi="Arial" w:cs="Arial"/>
          <w:b/>
          <w:bCs/>
        </w:rPr>
      </w:pPr>
      <w:r w:rsidRPr="000D75B7">
        <w:rPr>
          <w:rFonts w:ascii="Arial" w:hAnsi="Arial" w:cs="Arial"/>
          <w:b/>
          <w:bCs/>
        </w:rPr>
        <w:t>Observation 1: MN provides the security context for the SN, and a change in MN results in changing the security of the SN as well.</w:t>
      </w:r>
    </w:p>
    <w:p w14:paraId="215F6EDC" w14:textId="77777777" w:rsidR="007F7922" w:rsidRPr="000D75B7" w:rsidRDefault="007F7922" w:rsidP="007F7922">
      <w:pPr>
        <w:rPr>
          <w:rFonts w:ascii="Arial" w:hAnsi="Arial" w:cs="Arial"/>
          <w:b/>
          <w:bCs/>
        </w:rPr>
      </w:pPr>
      <w:r w:rsidRPr="000D75B7">
        <w:rPr>
          <w:rFonts w:ascii="Arial" w:hAnsi="Arial" w:cs="Arial"/>
          <w:b/>
          <w:bCs/>
        </w:rPr>
        <w:t>Observation 2: To avoid a change in security context (which is via RRC), for a SN switch to happen without explicit reconfiguration, the MN cannot be changed.</w:t>
      </w:r>
    </w:p>
    <w:p w14:paraId="652CA392" w14:textId="77777777" w:rsidR="007F7922" w:rsidRPr="000D75B7" w:rsidRDefault="007F7922" w:rsidP="007F7922">
      <w:pPr>
        <w:rPr>
          <w:rFonts w:ascii="Arial" w:hAnsi="Arial" w:cs="Arial"/>
          <w:b/>
          <w:bCs/>
        </w:rPr>
      </w:pPr>
      <w:r w:rsidRPr="000D75B7">
        <w:rPr>
          <w:rFonts w:ascii="Arial" w:hAnsi="Arial" w:cs="Arial"/>
          <w:b/>
          <w:bCs/>
        </w:rPr>
        <w:lastRenderedPageBreak/>
        <w:t xml:space="preserve">Observation 3: Even with MN not being changed, the SN that is being switched to, needs to be given the security context (cannot reuse the old one) and so is the case for the UE, so some form of security derivation is needed without any explicit </w:t>
      </w:r>
      <w:proofErr w:type="spellStart"/>
      <w:r w:rsidRPr="000D75B7">
        <w:rPr>
          <w:rFonts w:ascii="Arial" w:hAnsi="Arial" w:cs="Arial"/>
          <w:b/>
          <w:bCs/>
        </w:rPr>
        <w:t>reconfig</w:t>
      </w:r>
      <w:proofErr w:type="spellEnd"/>
      <w:r w:rsidRPr="000D75B7">
        <w:rPr>
          <w:rFonts w:ascii="Arial" w:hAnsi="Arial" w:cs="Arial"/>
          <w:b/>
          <w:bCs/>
        </w:rPr>
        <w:t>.</w:t>
      </w:r>
    </w:p>
    <w:p w14:paraId="40A56902" w14:textId="7E72F47A" w:rsidR="002141C4" w:rsidRDefault="002141C4" w:rsidP="002141C4"/>
    <w:p w14:paraId="4E346F99" w14:textId="77777777" w:rsidR="007F7922" w:rsidRPr="000D75B7" w:rsidRDefault="007F7922" w:rsidP="007F7922">
      <w:pPr>
        <w:rPr>
          <w:rFonts w:ascii="Arial" w:hAnsi="Arial" w:cs="Arial"/>
          <w:b/>
          <w:bCs/>
        </w:rPr>
      </w:pPr>
      <w:r w:rsidRPr="000D75B7">
        <w:rPr>
          <w:rFonts w:ascii="Arial" w:hAnsi="Arial" w:cs="Arial"/>
          <w:b/>
          <w:bCs/>
        </w:rPr>
        <w:t xml:space="preserve">Proposal 1: Subsequent CG change without </w:t>
      </w:r>
      <w:proofErr w:type="spellStart"/>
      <w:r w:rsidRPr="000D75B7">
        <w:rPr>
          <w:rFonts w:ascii="Arial" w:hAnsi="Arial" w:cs="Arial"/>
          <w:b/>
          <w:bCs/>
        </w:rPr>
        <w:t>reconfig</w:t>
      </w:r>
      <w:proofErr w:type="spellEnd"/>
      <w:r w:rsidRPr="000D75B7">
        <w:rPr>
          <w:rFonts w:ascii="Arial" w:hAnsi="Arial" w:cs="Arial"/>
          <w:b/>
          <w:bCs/>
        </w:rPr>
        <w:t xml:space="preserve">/re-initiation of CPA/CPC is limited to the case where the MN is not changed. </w:t>
      </w:r>
    </w:p>
    <w:p w14:paraId="4CAA2A3B" w14:textId="77777777" w:rsidR="007F7922" w:rsidRPr="000D75B7" w:rsidRDefault="007F7922" w:rsidP="007F7922">
      <w:pPr>
        <w:rPr>
          <w:rFonts w:ascii="Arial" w:hAnsi="Arial" w:cs="Arial"/>
          <w:b/>
          <w:bCs/>
        </w:rPr>
      </w:pPr>
      <w:r w:rsidRPr="000D75B7">
        <w:rPr>
          <w:rFonts w:ascii="Arial" w:hAnsi="Arial" w:cs="Arial"/>
          <w:b/>
          <w:bCs/>
        </w:rPr>
        <w:t xml:space="preserve">Proposal 2: If the MN is to be changed, then UE is expected to be given an RRC message </w:t>
      </w:r>
      <w:proofErr w:type="gramStart"/>
      <w:r w:rsidRPr="000D75B7">
        <w:rPr>
          <w:rFonts w:ascii="Arial" w:hAnsi="Arial" w:cs="Arial"/>
          <w:b/>
          <w:bCs/>
        </w:rPr>
        <w:t>( as</w:t>
      </w:r>
      <w:proofErr w:type="gramEnd"/>
      <w:r w:rsidRPr="000D75B7">
        <w:rPr>
          <w:rFonts w:ascii="Arial" w:hAnsi="Arial" w:cs="Arial"/>
          <w:b/>
          <w:bCs/>
        </w:rPr>
        <w:t xml:space="preserve"> in Legacy)</w:t>
      </w:r>
    </w:p>
    <w:p w14:paraId="53824E9A" w14:textId="77777777" w:rsidR="007F7922" w:rsidRPr="00CE35ED" w:rsidRDefault="007F7922" w:rsidP="007F7922">
      <w:pPr>
        <w:rPr>
          <w:rFonts w:ascii="Arial" w:hAnsi="Arial" w:cs="Arial"/>
          <w:b/>
          <w:bCs/>
        </w:rPr>
      </w:pPr>
      <w:r w:rsidRPr="00CE35ED">
        <w:rPr>
          <w:rFonts w:ascii="Arial" w:hAnsi="Arial" w:cs="Arial"/>
          <w:b/>
          <w:bCs/>
        </w:rPr>
        <w:t>Proposal 3: The UE can be configured to save the source SN configuration after a SN switch. In this way, which SNs are valid for the subsequent SN switch without RRC CPC, can be configurable to the UE by the NW.</w:t>
      </w:r>
      <w:r>
        <w:rPr>
          <w:rFonts w:ascii="Arial" w:hAnsi="Arial" w:cs="Arial"/>
          <w:b/>
          <w:bCs/>
        </w:rPr>
        <w:t xml:space="preserve"> FFS on the number of SN configs the UE can store.</w:t>
      </w:r>
    </w:p>
    <w:p w14:paraId="41E6D7BA" w14:textId="77777777" w:rsidR="007F7922" w:rsidRPr="00CE35ED" w:rsidRDefault="007F7922" w:rsidP="007F7922">
      <w:pPr>
        <w:rPr>
          <w:rFonts w:ascii="Arial" w:hAnsi="Arial" w:cs="Arial"/>
          <w:b/>
          <w:bCs/>
        </w:rPr>
      </w:pPr>
      <w:r w:rsidRPr="00CE35ED">
        <w:rPr>
          <w:rFonts w:ascii="Arial" w:hAnsi="Arial" w:cs="Arial"/>
          <w:b/>
          <w:bCs/>
        </w:rPr>
        <w:t>Proposal 4: The saved security cannot be re-used as part of subsequent CG switch, and FFS on the procedure/method with which the UE derives the SN security based on a prior MN config (without RRC CPC config at the time of SN switch).</w:t>
      </w:r>
    </w:p>
    <w:p w14:paraId="4FEEE03F" w14:textId="77777777" w:rsidR="007F7922" w:rsidRPr="00CE35ED" w:rsidRDefault="007F7922" w:rsidP="007F7922">
      <w:pPr>
        <w:rPr>
          <w:rFonts w:ascii="Arial" w:hAnsi="Arial" w:cs="Arial"/>
          <w:b/>
          <w:bCs/>
        </w:rPr>
      </w:pPr>
      <w:r w:rsidRPr="00CE35ED">
        <w:rPr>
          <w:rFonts w:ascii="Arial" w:hAnsi="Arial" w:cs="Arial"/>
          <w:b/>
          <w:bCs/>
        </w:rPr>
        <w:t>Proposal 5: Check with SA3 if they are ok with the approach from proposal 4.</w:t>
      </w:r>
    </w:p>
    <w:p w14:paraId="5E5DB5C6" w14:textId="77777777" w:rsidR="007F7922" w:rsidRPr="00DA6871" w:rsidRDefault="007F7922" w:rsidP="007F7922">
      <w:pPr>
        <w:rPr>
          <w:rFonts w:ascii="Arial" w:hAnsi="Arial" w:cs="Arial"/>
          <w:b/>
          <w:bCs/>
        </w:rPr>
      </w:pPr>
      <w:r w:rsidRPr="00DA6871">
        <w:rPr>
          <w:rFonts w:ascii="Arial" w:hAnsi="Arial" w:cs="Arial"/>
          <w:b/>
          <w:bCs/>
        </w:rPr>
        <w:t xml:space="preserve">Proposal 6: Under the control of the NW, the UE should be able to only apply MN part of conditional config as part of conditional DC configuration.  </w:t>
      </w:r>
    </w:p>
    <w:p w14:paraId="4C134605" w14:textId="77777777" w:rsidR="007F7922" w:rsidRPr="00DA6871" w:rsidRDefault="007F7922" w:rsidP="007F7922">
      <w:pPr>
        <w:rPr>
          <w:b/>
          <w:bCs/>
        </w:rPr>
      </w:pPr>
      <w:r w:rsidRPr="00DA6871">
        <w:rPr>
          <w:rFonts w:ascii="Arial" w:hAnsi="Arial" w:cs="Arial"/>
          <w:b/>
          <w:bCs/>
        </w:rPr>
        <w:t xml:space="preserve">Proposal 7: In case the UE is already in DC config (SN is configured </w:t>
      </w:r>
      <w:proofErr w:type="spellStart"/>
      <w:r w:rsidRPr="00DA6871">
        <w:rPr>
          <w:rFonts w:ascii="Arial" w:hAnsi="Arial" w:cs="Arial"/>
          <w:b/>
          <w:bCs/>
        </w:rPr>
        <w:t>atleast</w:t>
      </w:r>
      <w:proofErr w:type="spellEnd"/>
      <w:r w:rsidRPr="00DA6871">
        <w:rPr>
          <w:rFonts w:ascii="Arial" w:hAnsi="Arial" w:cs="Arial"/>
          <w:b/>
          <w:bCs/>
        </w:rPr>
        <w:t>) when the UE applies the conditional DC config, the UE can add the SN in deactivated state in case only the MN conditions are satisfied, while the SN conditions are not.</w:t>
      </w:r>
    </w:p>
    <w:p w14:paraId="1B19F764" w14:textId="77777777" w:rsidR="007F7922" w:rsidRPr="002141C4" w:rsidRDefault="007F7922" w:rsidP="002141C4"/>
    <w:p w14:paraId="0CF580AE" w14:textId="598B13FD" w:rsidR="00993914" w:rsidRDefault="00993914" w:rsidP="00993914">
      <w:pPr>
        <w:pStyle w:val="Heading1"/>
      </w:pPr>
      <w:r>
        <w:t>References</w:t>
      </w:r>
    </w:p>
    <w:p w14:paraId="1EF3E06D" w14:textId="7E4AA7CC" w:rsidR="00437304" w:rsidRPr="00D07AF6" w:rsidRDefault="00993914" w:rsidP="00437304">
      <w:r w:rsidRPr="0023168D">
        <w:rPr>
          <w:rFonts w:ascii="Arial" w:hAnsi="Arial" w:cs="Arial"/>
        </w:rPr>
        <w:t xml:space="preserve">[1] </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ECFD9" w14:textId="77777777" w:rsidR="003F58C9" w:rsidRDefault="003F58C9" w:rsidP="000E43D2">
      <w:pPr>
        <w:spacing w:after="0"/>
      </w:pPr>
      <w:r>
        <w:separator/>
      </w:r>
    </w:p>
  </w:endnote>
  <w:endnote w:type="continuationSeparator" w:id="0">
    <w:p w14:paraId="66463FED" w14:textId="77777777" w:rsidR="003F58C9" w:rsidRDefault="003F58C9"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B7EA" w14:textId="77777777" w:rsidR="003F58C9" w:rsidRDefault="003F58C9" w:rsidP="000E43D2">
      <w:pPr>
        <w:spacing w:after="0"/>
      </w:pPr>
      <w:r>
        <w:separator/>
      </w:r>
    </w:p>
  </w:footnote>
  <w:footnote w:type="continuationSeparator" w:id="0">
    <w:p w14:paraId="24E877AD" w14:textId="77777777" w:rsidR="003F58C9" w:rsidRDefault="003F58C9"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D0502"/>
    <w:multiLevelType w:val="hybridMultilevel"/>
    <w:tmpl w:val="59D8241A"/>
    <w:lvl w:ilvl="0" w:tplc="AAC49A7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50562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34894"/>
    <w:rsid w:val="00041401"/>
    <w:rsid w:val="00066CF1"/>
    <w:rsid w:val="000671A4"/>
    <w:rsid w:val="00080B6A"/>
    <w:rsid w:val="00083ECB"/>
    <w:rsid w:val="000948F8"/>
    <w:rsid w:val="000B15B6"/>
    <w:rsid w:val="000B53D9"/>
    <w:rsid w:val="000B54B1"/>
    <w:rsid w:val="000C0AF6"/>
    <w:rsid w:val="000C3111"/>
    <w:rsid w:val="000D59A4"/>
    <w:rsid w:val="000D75B7"/>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9163F"/>
    <w:rsid w:val="001A410C"/>
    <w:rsid w:val="001B01FD"/>
    <w:rsid w:val="001B4491"/>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249B"/>
    <w:rsid w:val="00266D9F"/>
    <w:rsid w:val="0027286D"/>
    <w:rsid w:val="00283661"/>
    <w:rsid w:val="0028575D"/>
    <w:rsid w:val="00285D58"/>
    <w:rsid w:val="002A2374"/>
    <w:rsid w:val="002B5369"/>
    <w:rsid w:val="002C4289"/>
    <w:rsid w:val="002D3B10"/>
    <w:rsid w:val="002E0CBA"/>
    <w:rsid w:val="002E2212"/>
    <w:rsid w:val="002E4823"/>
    <w:rsid w:val="002F2532"/>
    <w:rsid w:val="00301024"/>
    <w:rsid w:val="00303CC1"/>
    <w:rsid w:val="0031249A"/>
    <w:rsid w:val="00313E60"/>
    <w:rsid w:val="003161A9"/>
    <w:rsid w:val="00322937"/>
    <w:rsid w:val="0033267D"/>
    <w:rsid w:val="00334FFE"/>
    <w:rsid w:val="00335BCE"/>
    <w:rsid w:val="003369DA"/>
    <w:rsid w:val="003439D1"/>
    <w:rsid w:val="0036542B"/>
    <w:rsid w:val="00370BED"/>
    <w:rsid w:val="003739BF"/>
    <w:rsid w:val="0038715A"/>
    <w:rsid w:val="003B6738"/>
    <w:rsid w:val="003C41A7"/>
    <w:rsid w:val="003C681D"/>
    <w:rsid w:val="003D4F59"/>
    <w:rsid w:val="003D597C"/>
    <w:rsid w:val="003D6AA9"/>
    <w:rsid w:val="003D6F3F"/>
    <w:rsid w:val="003E0AA3"/>
    <w:rsid w:val="003E4741"/>
    <w:rsid w:val="003F1A0A"/>
    <w:rsid w:val="003F58C9"/>
    <w:rsid w:val="0040377C"/>
    <w:rsid w:val="00413864"/>
    <w:rsid w:val="00414C30"/>
    <w:rsid w:val="00421897"/>
    <w:rsid w:val="00434CB8"/>
    <w:rsid w:val="00437304"/>
    <w:rsid w:val="00437F18"/>
    <w:rsid w:val="00452387"/>
    <w:rsid w:val="00457703"/>
    <w:rsid w:val="00461122"/>
    <w:rsid w:val="00464CCE"/>
    <w:rsid w:val="004738AD"/>
    <w:rsid w:val="004765C4"/>
    <w:rsid w:val="00477A09"/>
    <w:rsid w:val="00495E19"/>
    <w:rsid w:val="00495E63"/>
    <w:rsid w:val="004967D6"/>
    <w:rsid w:val="004A40EC"/>
    <w:rsid w:val="004B2644"/>
    <w:rsid w:val="004D28FA"/>
    <w:rsid w:val="004D38A3"/>
    <w:rsid w:val="004E4636"/>
    <w:rsid w:val="004E4F93"/>
    <w:rsid w:val="004F275C"/>
    <w:rsid w:val="004F3398"/>
    <w:rsid w:val="004F353B"/>
    <w:rsid w:val="004F6631"/>
    <w:rsid w:val="004F6F22"/>
    <w:rsid w:val="00503D37"/>
    <w:rsid w:val="00505606"/>
    <w:rsid w:val="00510832"/>
    <w:rsid w:val="0052091B"/>
    <w:rsid w:val="00521E8A"/>
    <w:rsid w:val="00524266"/>
    <w:rsid w:val="0053242C"/>
    <w:rsid w:val="00534429"/>
    <w:rsid w:val="00572EAD"/>
    <w:rsid w:val="005818FC"/>
    <w:rsid w:val="0058588B"/>
    <w:rsid w:val="005939D1"/>
    <w:rsid w:val="00596DB2"/>
    <w:rsid w:val="005A13B4"/>
    <w:rsid w:val="005A440C"/>
    <w:rsid w:val="005B1CE9"/>
    <w:rsid w:val="005C0434"/>
    <w:rsid w:val="005E0F03"/>
    <w:rsid w:val="005F5334"/>
    <w:rsid w:val="00605982"/>
    <w:rsid w:val="00633BA4"/>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470B0"/>
    <w:rsid w:val="007501BB"/>
    <w:rsid w:val="00766693"/>
    <w:rsid w:val="00772626"/>
    <w:rsid w:val="007733A5"/>
    <w:rsid w:val="007827DD"/>
    <w:rsid w:val="00786598"/>
    <w:rsid w:val="007A0DBC"/>
    <w:rsid w:val="007A2F26"/>
    <w:rsid w:val="007A4847"/>
    <w:rsid w:val="007A6DF7"/>
    <w:rsid w:val="007A6F8D"/>
    <w:rsid w:val="007C422A"/>
    <w:rsid w:val="007C45E7"/>
    <w:rsid w:val="007D226E"/>
    <w:rsid w:val="007D2961"/>
    <w:rsid w:val="007E687E"/>
    <w:rsid w:val="007F056D"/>
    <w:rsid w:val="007F3862"/>
    <w:rsid w:val="007F6D2D"/>
    <w:rsid w:val="007F7922"/>
    <w:rsid w:val="00801615"/>
    <w:rsid w:val="00806753"/>
    <w:rsid w:val="008105F8"/>
    <w:rsid w:val="0081231F"/>
    <w:rsid w:val="0082459F"/>
    <w:rsid w:val="00826C75"/>
    <w:rsid w:val="008271B5"/>
    <w:rsid w:val="00835671"/>
    <w:rsid w:val="008378AF"/>
    <w:rsid w:val="00856B0F"/>
    <w:rsid w:val="00866992"/>
    <w:rsid w:val="0088227E"/>
    <w:rsid w:val="00887B70"/>
    <w:rsid w:val="008A0DF6"/>
    <w:rsid w:val="008A55D6"/>
    <w:rsid w:val="008B0BB5"/>
    <w:rsid w:val="008C5FED"/>
    <w:rsid w:val="008C6DC1"/>
    <w:rsid w:val="008D4FB6"/>
    <w:rsid w:val="008D6E93"/>
    <w:rsid w:val="008E0C48"/>
    <w:rsid w:val="008E1B52"/>
    <w:rsid w:val="008F5B07"/>
    <w:rsid w:val="008F7EEF"/>
    <w:rsid w:val="009062AD"/>
    <w:rsid w:val="00907F0D"/>
    <w:rsid w:val="00915CDF"/>
    <w:rsid w:val="00921135"/>
    <w:rsid w:val="009220BB"/>
    <w:rsid w:val="00937922"/>
    <w:rsid w:val="009538BD"/>
    <w:rsid w:val="00955F32"/>
    <w:rsid w:val="00957C54"/>
    <w:rsid w:val="0097271A"/>
    <w:rsid w:val="009850F8"/>
    <w:rsid w:val="009864F5"/>
    <w:rsid w:val="00993914"/>
    <w:rsid w:val="0099547F"/>
    <w:rsid w:val="009A1903"/>
    <w:rsid w:val="009A3B6E"/>
    <w:rsid w:val="009A75F4"/>
    <w:rsid w:val="009B0A36"/>
    <w:rsid w:val="009C6AA7"/>
    <w:rsid w:val="009F76FA"/>
    <w:rsid w:val="00A17CEA"/>
    <w:rsid w:val="00A26261"/>
    <w:rsid w:val="00A4589F"/>
    <w:rsid w:val="00A460F3"/>
    <w:rsid w:val="00A52BC0"/>
    <w:rsid w:val="00A5717B"/>
    <w:rsid w:val="00A64DDC"/>
    <w:rsid w:val="00A7101D"/>
    <w:rsid w:val="00A835DF"/>
    <w:rsid w:val="00A86D45"/>
    <w:rsid w:val="00A8792A"/>
    <w:rsid w:val="00AB5567"/>
    <w:rsid w:val="00AE1843"/>
    <w:rsid w:val="00AE3297"/>
    <w:rsid w:val="00AF2BE6"/>
    <w:rsid w:val="00B11EFB"/>
    <w:rsid w:val="00B138F9"/>
    <w:rsid w:val="00B27E57"/>
    <w:rsid w:val="00B30CB8"/>
    <w:rsid w:val="00B3196E"/>
    <w:rsid w:val="00B327EB"/>
    <w:rsid w:val="00B42AFE"/>
    <w:rsid w:val="00B676EA"/>
    <w:rsid w:val="00B67DCE"/>
    <w:rsid w:val="00B83C4F"/>
    <w:rsid w:val="00B84BD8"/>
    <w:rsid w:val="00B86D0C"/>
    <w:rsid w:val="00B9289F"/>
    <w:rsid w:val="00BC76AE"/>
    <w:rsid w:val="00BE68D2"/>
    <w:rsid w:val="00BF3815"/>
    <w:rsid w:val="00BF6754"/>
    <w:rsid w:val="00C00F06"/>
    <w:rsid w:val="00C10DD5"/>
    <w:rsid w:val="00C27711"/>
    <w:rsid w:val="00C369CE"/>
    <w:rsid w:val="00C46E44"/>
    <w:rsid w:val="00C509E3"/>
    <w:rsid w:val="00C65B6B"/>
    <w:rsid w:val="00C72CF1"/>
    <w:rsid w:val="00C75E91"/>
    <w:rsid w:val="00C81836"/>
    <w:rsid w:val="00C82B3E"/>
    <w:rsid w:val="00C906D3"/>
    <w:rsid w:val="00CA60C7"/>
    <w:rsid w:val="00CA630B"/>
    <w:rsid w:val="00CC6744"/>
    <w:rsid w:val="00CD027C"/>
    <w:rsid w:val="00CD444B"/>
    <w:rsid w:val="00CE18C2"/>
    <w:rsid w:val="00CE35ED"/>
    <w:rsid w:val="00CE6F0C"/>
    <w:rsid w:val="00CF0560"/>
    <w:rsid w:val="00CF602D"/>
    <w:rsid w:val="00D07AF6"/>
    <w:rsid w:val="00D14F96"/>
    <w:rsid w:val="00D15C2E"/>
    <w:rsid w:val="00D201C6"/>
    <w:rsid w:val="00D2164D"/>
    <w:rsid w:val="00D24C6A"/>
    <w:rsid w:val="00D25F36"/>
    <w:rsid w:val="00D454BB"/>
    <w:rsid w:val="00D51CC8"/>
    <w:rsid w:val="00D55188"/>
    <w:rsid w:val="00D7439A"/>
    <w:rsid w:val="00D80926"/>
    <w:rsid w:val="00D80F25"/>
    <w:rsid w:val="00D845BD"/>
    <w:rsid w:val="00DA6871"/>
    <w:rsid w:val="00DB1657"/>
    <w:rsid w:val="00DC290E"/>
    <w:rsid w:val="00DC4E8A"/>
    <w:rsid w:val="00DD4466"/>
    <w:rsid w:val="00DE16AF"/>
    <w:rsid w:val="00DE5A88"/>
    <w:rsid w:val="00DF6AF2"/>
    <w:rsid w:val="00E017AB"/>
    <w:rsid w:val="00E06A25"/>
    <w:rsid w:val="00E06C37"/>
    <w:rsid w:val="00E31181"/>
    <w:rsid w:val="00E31EC0"/>
    <w:rsid w:val="00E51B4A"/>
    <w:rsid w:val="00E666CD"/>
    <w:rsid w:val="00E82928"/>
    <w:rsid w:val="00E83E98"/>
    <w:rsid w:val="00E84A07"/>
    <w:rsid w:val="00E9612C"/>
    <w:rsid w:val="00EB1661"/>
    <w:rsid w:val="00EB2EC6"/>
    <w:rsid w:val="00EB6433"/>
    <w:rsid w:val="00EC26B0"/>
    <w:rsid w:val="00ED578C"/>
    <w:rsid w:val="00EE0157"/>
    <w:rsid w:val="00EE1EA6"/>
    <w:rsid w:val="00EE2E37"/>
    <w:rsid w:val="00EF00AF"/>
    <w:rsid w:val="00EF137A"/>
    <w:rsid w:val="00EF461C"/>
    <w:rsid w:val="00F12CD1"/>
    <w:rsid w:val="00F16E71"/>
    <w:rsid w:val="00F176D9"/>
    <w:rsid w:val="00F20C61"/>
    <w:rsid w:val="00F20E48"/>
    <w:rsid w:val="00F24F2D"/>
    <w:rsid w:val="00F33573"/>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778595050">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2022-08-09T22:15:00Z</dcterms:created>
  <dcterms:modified xsi:type="dcterms:W3CDTF">2022-08-09T22:15:00Z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