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FD3A2" w14:textId="72E2F3CB" w:rsidR="00FE2EB7" w:rsidRDefault="00FE2EB7" w:rsidP="00FE2EB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w:t>
      </w:r>
      <w:r w:rsidR="009350DE">
        <w:rPr>
          <w:b/>
          <w:noProof/>
          <w:sz w:val="24"/>
          <w:szCs w:val="24"/>
        </w:rPr>
        <w:t>207467</w:t>
      </w:r>
    </w:p>
    <w:p w14:paraId="2A46E0A5" w14:textId="77777777" w:rsidR="00FE2EB7" w:rsidRDefault="00FE2EB7" w:rsidP="00FE2EB7">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4AD4B8C5" w14:textId="77777777" w:rsidR="000E43D2" w:rsidRPr="00B266B0" w:rsidRDefault="000E43D2" w:rsidP="000E43D2">
      <w:pPr>
        <w:pStyle w:val="Header"/>
        <w:tabs>
          <w:tab w:val="right" w:pos="9639"/>
        </w:tabs>
        <w:rPr>
          <w:bCs/>
          <w:noProof w:val="0"/>
          <w:sz w:val="24"/>
        </w:rPr>
      </w:pPr>
    </w:p>
    <w:p w14:paraId="5DC13515" w14:textId="23AAFED0"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8.4.2.</w:t>
      </w:r>
      <w:r w:rsidR="002F2532">
        <w:rPr>
          <w:rFonts w:cs="Arial"/>
          <w:b/>
          <w:bCs/>
          <w:sz w:val="24"/>
        </w:rPr>
        <w:t>2</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59B6E2DA"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2F2532">
        <w:rPr>
          <w:rFonts w:ascii="Arial" w:hAnsi="Arial" w:cs="Arial"/>
          <w:b/>
          <w:bCs/>
          <w:szCs w:val="22"/>
          <w:lang w:val="en-US"/>
        </w:rPr>
        <w:t>Basic Agreements for Candidate Solutions</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3E362158" w14:textId="4077B90E" w:rsidR="0040377C" w:rsidRPr="00EE0157" w:rsidRDefault="0031249A" w:rsidP="0040377C">
      <w:pPr>
        <w:rPr>
          <w:rFonts w:ascii="Arial" w:hAnsi="Arial" w:cs="Arial"/>
          <w:szCs w:val="22"/>
        </w:rPr>
      </w:pPr>
      <w:r>
        <w:rPr>
          <w:rFonts w:ascii="Arial" w:hAnsi="Arial" w:cs="Arial"/>
          <w:szCs w:val="22"/>
        </w:rPr>
        <w:t>While our</w:t>
      </w:r>
      <w:r w:rsidR="002209DF">
        <w:rPr>
          <w:rFonts w:ascii="Arial" w:hAnsi="Arial" w:cs="Arial"/>
          <w:szCs w:val="22"/>
        </w:rPr>
        <w:t xml:space="preserve"> companion paper </w:t>
      </w:r>
      <w:proofErr w:type="gramStart"/>
      <w:r>
        <w:rPr>
          <w:rFonts w:ascii="Arial" w:hAnsi="Arial" w:cs="Arial"/>
          <w:szCs w:val="22"/>
        </w:rPr>
        <w:t>in</w:t>
      </w:r>
      <w:r w:rsidR="003369DA">
        <w:rPr>
          <w:rFonts w:ascii="Arial" w:hAnsi="Arial" w:cs="Arial"/>
          <w:szCs w:val="22"/>
        </w:rPr>
        <w:t xml:space="preserve"> </w:t>
      </w:r>
      <w:r w:rsidR="002209DF">
        <w:rPr>
          <w:rFonts w:ascii="Arial" w:hAnsi="Arial" w:cs="Arial"/>
          <w:szCs w:val="22"/>
        </w:rPr>
        <w:t xml:space="preserve"> [</w:t>
      </w:r>
      <w:proofErr w:type="gramEnd"/>
      <w:r w:rsidR="002209DF">
        <w:rPr>
          <w:rFonts w:ascii="Arial" w:hAnsi="Arial" w:cs="Arial"/>
          <w:szCs w:val="22"/>
        </w:rPr>
        <w:t xml:space="preserve">1] </w:t>
      </w:r>
      <w:r w:rsidR="003369DA">
        <w:rPr>
          <w:rFonts w:ascii="Arial" w:hAnsi="Arial" w:cs="Arial"/>
          <w:szCs w:val="22"/>
        </w:rPr>
        <w:t>discusses</w:t>
      </w:r>
      <w:r>
        <w:rPr>
          <w:rFonts w:ascii="Arial" w:hAnsi="Arial" w:cs="Arial"/>
          <w:szCs w:val="22"/>
        </w:rPr>
        <w:t xml:space="preserve"> several areas of optimizations that are applicable for latency reduction</w:t>
      </w:r>
      <w:r w:rsidR="003369DA">
        <w:rPr>
          <w:rFonts w:ascii="Arial" w:hAnsi="Arial" w:cs="Arial"/>
          <w:szCs w:val="22"/>
        </w:rPr>
        <w:t xml:space="preserve"> in L2/L1 mobility, in this paper we plan to propose some basic agreements on which the candidate solutions on L1/L2 mobility hinge on.</w:t>
      </w:r>
    </w:p>
    <w:p w14:paraId="3D689248" w14:textId="63AED9F9" w:rsidR="008F7EEF" w:rsidRDefault="008F7EEF" w:rsidP="008F5B07">
      <w:pPr>
        <w:pStyle w:val="Heading1"/>
        <w:rPr>
          <w:rStyle w:val="Heading2Char"/>
          <w:rFonts w:eastAsia="MS Mincho"/>
        </w:rPr>
      </w:pPr>
      <w:r>
        <w:rPr>
          <w:rStyle w:val="Heading2Char"/>
          <w:rFonts w:eastAsia="MS Mincho"/>
        </w:rPr>
        <w:t>Scoping basic agreements for candidate solutions</w:t>
      </w:r>
    </w:p>
    <w:p w14:paraId="6035D194" w14:textId="6D3C4D26" w:rsidR="008F5B07" w:rsidRPr="008F5B07" w:rsidRDefault="003369DA" w:rsidP="00A835DF">
      <w:pPr>
        <w:pStyle w:val="Heading2"/>
        <w:ind w:left="450"/>
        <w:rPr>
          <w:rFonts w:eastAsia="MS Mincho"/>
        </w:rPr>
      </w:pPr>
      <w:r>
        <w:rPr>
          <w:rStyle w:val="Heading2Char"/>
          <w:rFonts w:eastAsia="MS Mincho"/>
        </w:rPr>
        <w:t>Use-cases</w:t>
      </w:r>
      <w:r w:rsidR="002209DF">
        <w:rPr>
          <w:rStyle w:val="Heading2Char"/>
          <w:rFonts w:eastAsia="MS Mincho"/>
        </w:rPr>
        <w:t xml:space="preserve"> of a L2/L1 handover</w:t>
      </w:r>
    </w:p>
    <w:p w14:paraId="5CC87F5E" w14:textId="6779BF68" w:rsidR="00E84A07" w:rsidRDefault="009B0A36" w:rsidP="007F6D2D">
      <w:pPr>
        <w:rPr>
          <w:rFonts w:ascii="Arial" w:hAnsi="Arial" w:cs="Arial"/>
        </w:rPr>
      </w:pPr>
      <w:r>
        <w:rPr>
          <w:rFonts w:ascii="Arial" w:hAnsi="Arial" w:cs="Arial"/>
        </w:rPr>
        <w:t>It is our view that the</w:t>
      </w:r>
      <w:r w:rsidR="00C46E44">
        <w:rPr>
          <w:rFonts w:ascii="Arial" w:hAnsi="Arial" w:cs="Arial"/>
        </w:rPr>
        <w:t xml:space="preserve"> practical usage of L2/L1 mobility is in the case where a gNB-CU has several gNB-DUs, and each of these gNB-DUs driv</w:t>
      </w:r>
      <w:r>
        <w:rPr>
          <w:rFonts w:ascii="Arial" w:hAnsi="Arial" w:cs="Arial"/>
        </w:rPr>
        <w:t>e</w:t>
      </w:r>
      <w:r w:rsidR="00C46E44">
        <w:rPr>
          <w:rFonts w:ascii="Arial" w:hAnsi="Arial" w:cs="Arial"/>
        </w:rPr>
        <w:t xml:space="preserve"> several TRPs (with different PCIs </w:t>
      </w:r>
      <w:proofErr w:type="gramStart"/>
      <w:r w:rsidR="00C46E44">
        <w:rPr>
          <w:rFonts w:ascii="Arial" w:hAnsi="Arial" w:cs="Arial"/>
        </w:rPr>
        <w:t>-  as</w:t>
      </w:r>
      <w:proofErr w:type="gramEnd"/>
      <w:r w:rsidR="00C46E44">
        <w:rPr>
          <w:rFonts w:ascii="Arial" w:hAnsi="Arial" w:cs="Arial"/>
        </w:rPr>
        <w:t xml:space="preserve"> viewed from the UE) and that such L2/L1 mobility can co-exist with legacy mobility (in configuration and operation) as separate entities at the UE. </w:t>
      </w:r>
      <w:r w:rsidR="00F602EF">
        <w:rPr>
          <w:rFonts w:ascii="Arial" w:hAnsi="Arial" w:cs="Arial"/>
        </w:rPr>
        <w:t xml:space="preserve"> Figure 1 below </w:t>
      </w:r>
      <w:r w:rsidR="00083ECB">
        <w:rPr>
          <w:rFonts w:ascii="Arial" w:hAnsi="Arial" w:cs="Arial"/>
        </w:rPr>
        <w:t>shows a deployment where L2/L1 mobility can be applied between cells with PCI 0-5, while traditional mobility is possible to PCIs controlled by gNB-CU ‘y’</w:t>
      </w:r>
      <w:r w:rsidR="00F602EF">
        <w:rPr>
          <w:rFonts w:ascii="Arial" w:hAnsi="Arial" w:cs="Arial"/>
        </w:rPr>
        <w:t>.</w:t>
      </w:r>
    </w:p>
    <w:tbl>
      <w:tblPr>
        <w:tblStyle w:val="TableGrid"/>
        <w:tblW w:w="0" w:type="auto"/>
        <w:tblLook w:val="04A0" w:firstRow="1" w:lastRow="0" w:firstColumn="1" w:lastColumn="0" w:noHBand="0" w:noVBand="1"/>
      </w:tblPr>
      <w:tblGrid>
        <w:gridCol w:w="9016"/>
      </w:tblGrid>
      <w:tr w:rsidR="00F602EF" w14:paraId="693ADE80" w14:textId="77777777" w:rsidTr="00F602EF">
        <w:tc>
          <w:tcPr>
            <w:tcW w:w="9016" w:type="dxa"/>
          </w:tcPr>
          <w:p w14:paraId="7677B3D5" w14:textId="4FFA89E7" w:rsidR="00F602EF" w:rsidRDefault="0053242C" w:rsidP="007F6D2D">
            <w:pPr>
              <w:rPr>
                <w:rFonts w:ascii="Arial" w:hAnsi="Arial" w:cs="Arial"/>
              </w:rPr>
            </w:pPr>
            <w:r w:rsidRPr="0053242C">
              <w:rPr>
                <w:rFonts w:ascii="Arial" w:hAnsi="Arial" w:cs="Arial"/>
                <w:noProof/>
              </w:rPr>
              <w:lastRenderedPageBreak/>
              <w:drawing>
                <wp:inline distT="0" distB="0" distL="0" distR="0" wp14:anchorId="598933C4" wp14:editId="7F93BFAA">
                  <wp:extent cx="5731510" cy="59543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5954395"/>
                          </a:xfrm>
                          <a:prstGeom prst="rect">
                            <a:avLst/>
                          </a:prstGeom>
                        </pic:spPr>
                      </pic:pic>
                    </a:graphicData>
                  </a:graphic>
                </wp:inline>
              </w:drawing>
            </w:r>
          </w:p>
        </w:tc>
      </w:tr>
    </w:tbl>
    <w:p w14:paraId="4012C115" w14:textId="5A7D0409" w:rsidR="00F602EF" w:rsidRPr="00477A09" w:rsidRDefault="00477A09" w:rsidP="00477A09">
      <w:pPr>
        <w:jc w:val="center"/>
        <w:rPr>
          <w:rFonts w:ascii="Arial" w:hAnsi="Arial" w:cs="Arial"/>
          <w:b/>
          <w:bCs/>
          <w:sz w:val="16"/>
          <w:szCs w:val="16"/>
        </w:rPr>
      </w:pPr>
      <w:r w:rsidRPr="00477A09">
        <w:rPr>
          <w:rFonts w:ascii="Arial" w:hAnsi="Arial" w:cs="Arial"/>
          <w:b/>
          <w:bCs/>
          <w:sz w:val="16"/>
          <w:szCs w:val="16"/>
        </w:rPr>
        <w:t xml:space="preserve">Figure 1: </w:t>
      </w:r>
      <w:r w:rsidR="00B676EA">
        <w:rPr>
          <w:rFonts w:ascii="Arial" w:hAnsi="Arial" w:cs="Arial"/>
          <w:b/>
          <w:bCs/>
          <w:sz w:val="16"/>
          <w:szCs w:val="16"/>
        </w:rPr>
        <w:t>D</w:t>
      </w:r>
      <w:r w:rsidR="00B676EA" w:rsidRPr="00B676EA">
        <w:rPr>
          <w:rFonts w:ascii="Arial" w:hAnsi="Arial" w:cs="Arial"/>
          <w:b/>
          <w:bCs/>
          <w:sz w:val="16"/>
          <w:szCs w:val="16"/>
        </w:rPr>
        <w:t>eployment where L2/L1 mobility can be applied between cells with PCI 0-5, while traditional mobility is possible to PCIs controlled by gNB-CU ‘y’</w:t>
      </w:r>
    </w:p>
    <w:p w14:paraId="53355708" w14:textId="77777777" w:rsidR="00034894" w:rsidRPr="00962B3F" w:rsidRDefault="00034894" w:rsidP="00034894">
      <w:pPr>
        <w:pStyle w:val="PL"/>
      </w:pPr>
    </w:p>
    <w:p w14:paraId="5E46B616" w14:textId="504BEB27" w:rsidR="00B676EA" w:rsidRPr="00B676EA" w:rsidRDefault="00B676EA" w:rsidP="007F6D2D">
      <w:pPr>
        <w:rPr>
          <w:rFonts w:ascii="Arial" w:hAnsi="Arial" w:cs="Arial"/>
        </w:rPr>
      </w:pPr>
      <w:proofErr w:type="gramStart"/>
      <w:r>
        <w:rPr>
          <w:rFonts w:ascii="Arial" w:hAnsi="Arial" w:cs="Arial"/>
        </w:rPr>
        <w:t>So</w:t>
      </w:r>
      <w:proofErr w:type="gramEnd"/>
      <w:r>
        <w:rPr>
          <w:rFonts w:ascii="Arial" w:hAnsi="Arial" w:cs="Arial"/>
        </w:rPr>
        <w:t xml:space="preserve"> we would like to first have RAN2 agree about the operation where co-existance is possible. From this perspective, we think the below proposals need to be first agreed.</w:t>
      </w:r>
    </w:p>
    <w:p w14:paraId="6069EA5D" w14:textId="5C54236C" w:rsidR="00510832" w:rsidRDefault="00B676EA" w:rsidP="007F6D2D">
      <w:pPr>
        <w:rPr>
          <w:rFonts w:ascii="Arial" w:hAnsi="Arial" w:cs="Arial"/>
          <w:b/>
          <w:bCs/>
        </w:rPr>
      </w:pPr>
      <w:r>
        <w:rPr>
          <w:rFonts w:ascii="Arial" w:hAnsi="Arial" w:cs="Arial"/>
          <w:b/>
          <w:bCs/>
        </w:rPr>
        <w:t>Proposal 1: A UE can be configured with L2/L1 mobility as well as legacy mobility in a configuration.</w:t>
      </w:r>
      <w:r w:rsidR="00EE1EA6">
        <w:rPr>
          <w:rFonts w:ascii="Arial" w:hAnsi="Arial" w:cs="Arial"/>
          <w:b/>
          <w:bCs/>
        </w:rPr>
        <w:t xml:space="preserve"> The UE evaluates </w:t>
      </w:r>
      <w:proofErr w:type="gramStart"/>
      <w:r w:rsidR="00EE1EA6">
        <w:rPr>
          <w:rFonts w:ascii="Arial" w:hAnsi="Arial" w:cs="Arial"/>
          <w:b/>
          <w:bCs/>
        </w:rPr>
        <w:t>both mobility</w:t>
      </w:r>
      <w:proofErr w:type="gramEnd"/>
      <w:r w:rsidR="00EE1EA6">
        <w:rPr>
          <w:rFonts w:ascii="Arial" w:hAnsi="Arial" w:cs="Arial"/>
          <w:b/>
          <w:bCs/>
        </w:rPr>
        <w:t xml:space="preserve"> related procedures at the same time.</w:t>
      </w:r>
    </w:p>
    <w:p w14:paraId="144780AC" w14:textId="68A98C40" w:rsidR="000D59A4" w:rsidRDefault="000D59A4" w:rsidP="007F6D2D">
      <w:pPr>
        <w:rPr>
          <w:rFonts w:ascii="Arial" w:hAnsi="Arial" w:cs="Arial"/>
        </w:rPr>
      </w:pPr>
      <w:r>
        <w:rPr>
          <w:rFonts w:ascii="Arial" w:hAnsi="Arial" w:cs="Arial"/>
        </w:rPr>
        <w:t xml:space="preserve"> </w:t>
      </w:r>
    </w:p>
    <w:p w14:paraId="1C8495A8" w14:textId="0AAEB8DA" w:rsidR="0064205B" w:rsidRPr="008F7EEF" w:rsidRDefault="00A835DF" w:rsidP="00A835DF">
      <w:pPr>
        <w:pStyle w:val="Heading2"/>
        <w:ind w:left="540"/>
        <w:rPr>
          <w:rStyle w:val="Heading2Char"/>
          <w:rFonts w:eastAsia="MS Mincho"/>
        </w:rPr>
      </w:pPr>
      <w:r>
        <w:rPr>
          <w:rStyle w:val="Heading2Char"/>
          <w:rFonts w:eastAsia="MS Mincho"/>
        </w:rPr>
        <w:t xml:space="preserve">RRC </w:t>
      </w:r>
      <w:r w:rsidR="0064205B" w:rsidRPr="008F7EEF">
        <w:rPr>
          <w:rStyle w:val="Heading2Char"/>
          <w:rFonts w:eastAsia="MS Mincho"/>
        </w:rPr>
        <w:t>Pre-configuration</w:t>
      </w:r>
      <w:r>
        <w:rPr>
          <w:rStyle w:val="Heading2Char"/>
          <w:rFonts w:eastAsia="MS Mincho"/>
        </w:rPr>
        <w:t xml:space="preserve"> and limits of L2/L1 config</w:t>
      </w:r>
    </w:p>
    <w:p w14:paraId="710D23BA" w14:textId="7063D15A" w:rsidR="004765C4" w:rsidRDefault="004765C4" w:rsidP="0064205B">
      <w:pPr>
        <w:rPr>
          <w:rFonts w:ascii="Arial" w:hAnsi="Arial" w:cs="Arial"/>
        </w:rPr>
      </w:pPr>
      <w:r>
        <w:rPr>
          <w:rFonts w:ascii="Arial" w:hAnsi="Arial" w:cs="Arial"/>
        </w:rPr>
        <w:t>“Basic” L2/L1 mobility involves:</w:t>
      </w:r>
    </w:p>
    <w:p w14:paraId="0FF4B0BD" w14:textId="381D7EBA" w:rsidR="004765C4" w:rsidRDefault="004765C4" w:rsidP="004765C4">
      <w:pPr>
        <w:pStyle w:val="ListParagraph"/>
        <w:numPr>
          <w:ilvl w:val="0"/>
          <w:numId w:val="20"/>
        </w:numPr>
        <w:rPr>
          <w:rFonts w:ascii="Arial" w:hAnsi="Arial" w:cs="Arial"/>
        </w:rPr>
      </w:pPr>
      <w:r>
        <w:rPr>
          <w:rFonts w:ascii="Arial" w:hAnsi="Arial" w:cs="Arial"/>
        </w:rPr>
        <w:t>C</w:t>
      </w:r>
      <w:r w:rsidRPr="004765C4">
        <w:rPr>
          <w:rFonts w:ascii="Arial" w:hAnsi="Arial" w:cs="Arial"/>
        </w:rPr>
        <w:t>onfiguration of measurements and reporting</w:t>
      </w:r>
    </w:p>
    <w:p w14:paraId="5E9381E1" w14:textId="4DFD7F6C" w:rsidR="004765C4" w:rsidRDefault="004765C4" w:rsidP="004765C4">
      <w:pPr>
        <w:pStyle w:val="ListParagraph"/>
        <w:numPr>
          <w:ilvl w:val="0"/>
          <w:numId w:val="20"/>
        </w:numPr>
        <w:rPr>
          <w:rFonts w:ascii="Arial" w:hAnsi="Arial" w:cs="Arial"/>
        </w:rPr>
      </w:pPr>
      <w:r>
        <w:rPr>
          <w:rFonts w:ascii="Arial" w:hAnsi="Arial" w:cs="Arial"/>
        </w:rPr>
        <w:t>Configuration of the target cell</w:t>
      </w:r>
    </w:p>
    <w:p w14:paraId="110E38AA" w14:textId="4C4A73DD" w:rsidR="004765C4" w:rsidRDefault="004765C4" w:rsidP="004765C4">
      <w:pPr>
        <w:pStyle w:val="ListParagraph"/>
        <w:numPr>
          <w:ilvl w:val="0"/>
          <w:numId w:val="20"/>
        </w:numPr>
        <w:rPr>
          <w:rFonts w:ascii="Arial" w:hAnsi="Arial" w:cs="Arial"/>
        </w:rPr>
      </w:pPr>
      <w:r>
        <w:rPr>
          <w:rFonts w:ascii="Arial" w:hAnsi="Arial" w:cs="Arial"/>
        </w:rPr>
        <w:t>Actual handover configuration</w:t>
      </w:r>
    </w:p>
    <w:p w14:paraId="5F4BC830" w14:textId="45A4AF51" w:rsidR="004765C4" w:rsidRPr="004765C4" w:rsidRDefault="004765C4" w:rsidP="004765C4">
      <w:pPr>
        <w:pStyle w:val="ListParagraph"/>
        <w:numPr>
          <w:ilvl w:val="0"/>
          <w:numId w:val="20"/>
        </w:numPr>
        <w:rPr>
          <w:rFonts w:ascii="Arial" w:hAnsi="Arial" w:cs="Arial"/>
        </w:rPr>
      </w:pPr>
      <w:r>
        <w:rPr>
          <w:rFonts w:ascii="Arial" w:hAnsi="Arial" w:cs="Arial"/>
        </w:rPr>
        <w:lastRenderedPageBreak/>
        <w:t>And associated UE response</w:t>
      </w:r>
    </w:p>
    <w:p w14:paraId="210F2BB5" w14:textId="77777777" w:rsidR="00937922" w:rsidRDefault="00866992" w:rsidP="0064205B">
      <w:pPr>
        <w:rPr>
          <w:rFonts w:ascii="Arial" w:hAnsi="Arial" w:cs="Arial"/>
        </w:rPr>
      </w:pPr>
      <w:r>
        <w:rPr>
          <w:rFonts w:ascii="Arial" w:hAnsi="Arial" w:cs="Arial"/>
        </w:rPr>
        <w:t xml:space="preserve">It can </w:t>
      </w:r>
      <w:proofErr w:type="gramStart"/>
      <w:r>
        <w:rPr>
          <w:rFonts w:ascii="Arial" w:hAnsi="Arial" w:cs="Arial"/>
        </w:rPr>
        <w:t>argued</w:t>
      </w:r>
      <w:proofErr w:type="gramEnd"/>
      <w:r>
        <w:rPr>
          <w:rFonts w:ascii="Arial" w:hAnsi="Arial" w:cs="Arial"/>
        </w:rPr>
        <w:t xml:space="preserve"> that t</w:t>
      </w:r>
      <w:r w:rsidR="004765C4">
        <w:rPr>
          <w:rFonts w:ascii="Arial" w:hAnsi="Arial" w:cs="Arial"/>
        </w:rPr>
        <w:t>he</w:t>
      </w:r>
      <w:r w:rsidR="0064205B">
        <w:rPr>
          <w:rFonts w:ascii="Arial" w:hAnsi="Arial" w:cs="Arial"/>
        </w:rPr>
        <w:t xml:space="preserve"> configuration of the target cell as well as the configuration of any necessary measurements related to mobility (that can lead to the handover to the target cell), </w:t>
      </w:r>
      <w:r>
        <w:rPr>
          <w:rFonts w:ascii="Arial" w:hAnsi="Arial" w:cs="Arial"/>
        </w:rPr>
        <w:t>can also</w:t>
      </w:r>
      <w:r w:rsidR="0064205B">
        <w:rPr>
          <w:rFonts w:ascii="Arial" w:hAnsi="Arial" w:cs="Arial"/>
        </w:rPr>
        <w:t xml:space="preserve"> be using </w:t>
      </w:r>
      <w:r>
        <w:rPr>
          <w:rFonts w:ascii="Arial" w:hAnsi="Arial" w:cs="Arial"/>
        </w:rPr>
        <w:t>L2/L1</w:t>
      </w:r>
      <w:r w:rsidR="00937922">
        <w:rPr>
          <w:rFonts w:ascii="Arial" w:hAnsi="Arial" w:cs="Arial"/>
        </w:rPr>
        <w:t>, but doing so would have several drawbacks:</w:t>
      </w:r>
    </w:p>
    <w:p w14:paraId="45D38B56" w14:textId="763E382C" w:rsidR="00937922" w:rsidRDefault="00937922" w:rsidP="00937922">
      <w:pPr>
        <w:pStyle w:val="ListParagraph"/>
        <w:numPr>
          <w:ilvl w:val="0"/>
          <w:numId w:val="20"/>
        </w:numPr>
        <w:rPr>
          <w:rFonts w:ascii="Arial" w:hAnsi="Arial" w:cs="Arial"/>
        </w:rPr>
      </w:pPr>
      <w:r>
        <w:rPr>
          <w:rFonts w:ascii="Arial" w:hAnsi="Arial" w:cs="Arial"/>
        </w:rPr>
        <w:t>The L2/L1 specification would need to be changed to allow actual configuration and associated UE reporting</w:t>
      </w:r>
    </w:p>
    <w:p w14:paraId="4BFDF488" w14:textId="6490900C" w:rsidR="00937922" w:rsidRDefault="00937922" w:rsidP="00937922">
      <w:pPr>
        <w:pStyle w:val="ListParagraph"/>
        <w:numPr>
          <w:ilvl w:val="0"/>
          <w:numId w:val="20"/>
        </w:numPr>
        <w:rPr>
          <w:rFonts w:ascii="Arial" w:hAnsi="Arial" w:cs="Arial"/>
        </w:rPr>
      </w:pPr>
      <w:r>
        <w:rPr>
          <w:rFonts w:ascii="Arial" w:hAnsi="Arial" w:cs="Arial"/>
        </w:rPr>
        <w:t>The question of whether SA3 is ok with performing configuration/reporting using L2/L1 without any security, needs addressing.</w:t>
      </w:r>
    </w:p>
    <w:p w14:paraId="18F309AF" w14:textId="1D142D78" w:rsidR="00937922" w:rsidRDefault="00937922" w:rsidP="00937922">
      <w:pPr>
        <w:pStyle w:val="ListParagraph"/>
        <w:numPr>
          <w:ilvl w:val="0"/>
          <w:numId w:val="20"/>
        </w:numPr>
        <w:rPr>
          <w:rFonts w:ascii="Arial" w:hAnsi="Arial" w:cs="Arial"/>
        </w:rPr>
      </w:pPr>
      <w:r>
        <w:rPr>
          <w:rFonts w:ascii="Arial" w:hAnsi="Arial" w:cs="Arial"/>
        </w:rPr>
        <w:t>We do not want to develop another RRC protocol in L2/L1 (and bring to question the purpose of layering)</w:t>
      </w:r>
    </w:p>
    <w:p w14:paraId="2A21066C" w14:textId="352F07B5" w:rsidR="00937922" w:rsidRPr="00937922" w:rsidRDefault="00937922" w:rsidP="00937922">
      <w:pPr>
        <w:rPr>
          <w:rFonts w:ascii="Arial" w:hAnsi="Arial" w:cs="Arial"/>
        </w:rPr>
      </w:pPr>
      <w:r>
        <w:rPr>
          <w:rFonts w:ascii="Arial" w:hAnsi="Arial" w:cs="Arial"/>
        </w:rPr>
        <w:t xml:space="preserve">We think it is essential to come to an understanding in RAN2 on this basic operation. It is our view that (in following the R15/16/17 logic of L3 configuration and L2/L1 switching of the earlier provided configuration) </w:t>
      </w:r>
      <w:r w:rsidR="00E06C37">
        <w:rPr>
          <w:rFonts w:ascii="Arial" w:hAnsi="Arial" w:cs="Arial"/>
        </w:rPr>
        <w:t>RRC provides the pre-config and L2/L1 is only allowed to switch between configurations.</w:t>
      </w:r>
    </w:p>
    <w:p w14:paraId="49D63FFF" w14:textId="6BD99E82" w:rsidR="0064205B" w:rsidRDefault="0064205B" w:rsidP="0064205B">
      <w:pPr>
        <w:rPr>
          <w:rFonts w:ascii="Arial" w:hAnsi="Arial" w:cs="Arial"/>
          <w:b/>
          <w:bCs/>
        </w:rPr>
      </w:pPr>
      <w:r w:rsidRPr="00495E19">
        <w:rPr>
          <w:rFonts w:ascii="Arial" w:hAnsi="Arial" w:cs="Arial"/>
          <w:b/>
          <w:bCs/>
        </w:rPr>
        <w:t>Proposal</w:t>
      </w:r>
      <w:r>
        <w:rPr>
          <w:rFonts w:ascii="Arial" w:hAnsi="Arial" w:cs="Arial"/>
          <w:b/>
          <w:bCs/>
        </w:rPr>
        <w:t xml:space="preserve"> </w:t>
      </w:r>
      <w:r w:rsidR="00B3196E">
        <w:rPr>
          <w:rFonts w:ascii="Arial" w:hAnsi="Arial" w:cs="Arial"/>
          <w:b/>
          <w:bCs/>
        </w:rPr>
        <w:t>2</w:t>
      </w:r>
      <w:r w:rsidRPr="00495E19">
        <w:rPr>
          <w:rFonts w:ascii="Arial" w:hAnsi="Arial" w:cs="Arial"/>
          <w:b/>
          <w:bCs/>
        </w:rPr>
        <w:t xml:space="preserve">: </w:t>
      </w:r>
      <w:r>
        <w:rPr>
          <w:rFonts w:ascii="Arial" w:hAnsi="Arial" w:cs="Arial"/>
          <w:b/>
          <w:bCs/>
        </w:rPr>
        <w:t xml:space="preserve">RRC provides the configuration to be used by the UE for measurement and target cell config, and L2/L1 control messages </w:t>
      </w:r>
      <w:r w:rsidR="009850F8">
        <w:rPr>
          <w:rFonts w:ascii="Arial" w:hAnsi="Arial" w:cs="Arial"/>
          <w:b/>
          <w:bCs/>
        </w:rPr>
        <w:t xml:space="preserve">that </w:t>
      </w:r>
      <w:r>
        <w:rPr>
          <w:rFonts w:ascii="Arial" w:hAnsi="Arial" w:cs="Arial"/>
          <w:b/>
          <w:bCs/>
        </w:rPr>
        <w:t>trigger the application of this configuration. The configuration can only be changed via RRC.</w:t>
      </w:r>
    </w:p>
    <w:p w14:paraId="44249A3D" w14:textId="6682ED67" w:rsidR="00B3196E" w:rsidRDefault="00B3196E" w:rsidP="0064205B">
      <w:pPr>
        <w:rPr>
          <w:rFonts w:ascii="Arial" w:hAnsi="Arial" w:cs="Arial"/>
        </w:rPr>
      </w:pPr>
      <w:r>
        <w:rPr>
          <w:rFonts w:ascii="Arial" w:hAnsi="Arial" w:cs="Arial"/>
        </w:rPr>
        <w:t xml:space="preserve">In the same vein, we can see from figure 1 that the gNB-CU x might anticipate the possibility of the UE handing over to gNB-CU y, while also considering that UE might still be mobile within the L2/L1 framework with the cells within </w:t>
      </w:r>
      <w:proofErr w:type="gramStart"/>
      <w:r>
        <w:rPr>
          <w:rFonts w:ascii="Arial" w:hAnsi="Arial" w:cs="Arial"/>
        </w:rPr>
        <w:t>it’s</w:t>
      </w:r>
      <w:proofErr w:type="gramEnd"/>
      <w:r>
        <w:rPr>
          <w:rFonts w:ascii="Arial" w:hAnsi="Arial" w:cs="Arial"/>
        </w:rPr>
        <w:t xml:space="preserve"> control. In the case of L2/L1 mobility, since the CU does not change, we do not see the need for any changes to UPF (QoS related params, RB config), or even NAS configuration (as the N2 context remains the same).</w:t>
      </w:r>
    </w:p>
    <w:p w14:paraId="47DA7776" w14:textId="1D037592" w:rsidR="00B3196E" w:rsidRDefault="00B3196E" w:rsidP="0064205B">
      <w:pPr>
        <w:rPr>
          <w:rFonts w:ascii="Arial" w:hAnsi="Arial" w:cs="Arial"/>
        </w:rPr>
      </w:pPr>
      <w:proofErr w:type="gramStart"/>
      <w:r>
        <w:rPr>
          <w:rFonts w:ascii="Arial" w:hAnsi="Arial" w:cs="Arial"/>
        </w:rPr>
        <w:t>So</w:t>
      </w:r>
      <w:proofErr w:type="gramEnd"/>
      <w:r>
        <w:rPr>
          <w:rFonts w:ascii="Arial" w:hAnsi="Arial" w:cs="Arial"/>
        </w:rPr>
        <w:t xml:space="preserve"> it is useful in managing the work-item if RAN2 agrees that the L2/L1 mobility only switches the configuration </w:t>
      </w:r>
      <w:r w:rsidR="00F16E71">
        <w:rPr>
          <w:rFonts w:ascii="Arial" w:hAnsi="Arial" w:cs="Arial"/>
        </w:rPr>
        <w:t>(as part of L2/L1 mobility) that is relevant to the DU config, and the rest of the config to remain the same. This also helps with reducing processing and application delay, and only the relevant DU config needs to be changed.</w:t>
      </w:r>
    </w:p>
    <w:p w14:paraId="28C216F1" w14:textId="12EFCA67" w:rsidR="00F16E71" w:rsidRPr="008A55D6" w:rsidRDefault="00F16E71" w:rsidP="0064205B">
      <w:pPr>
        <w:rPr>
          <w:rFonts w:ascii="Arial" w:hAnsi="Arial" w:cs="Arial"/>
          <w:b/>
          <w:bCs/>
        </w:rPr>
      </w:pPr>
      <w:r w:rsidRPr="008A55D6">
        <w:rPr>
          <w:rFonts w:ascii="Arial" w:hAnsi="Arial" w:cs="Arial"/>
          <w:b/>
          <w:bCs/>
        </w:rPr>
        <w:t xml:space="preserve">Proposal 3: The RRC configuration related to L2/L1 mobility is limited to the PHY configuration (for </w:t>
      </w:r>
      <w:proofErr w:type="gramStart"/>
      <w:r w:rsidRPr="008A55D6">
        <w:rPr>
          <w:rFonts w:ascii="Arial" w:hAnsi="Arial" w:cs="Arial"/>
          <w:b/>
          <w:bCs/>
        </w:rPr>
        <w:t>eg</w:t>
      </w:r>
      <w:proofErr w:type="gramEnd"/>
      <w:r w:rsidRPr="008A55D6">
        <w:rPr>
          <w:rFonts w:ascii="Arial" w:hAnsi="Arial" w:cs="Arial"/>
          <w:b/>
          <w:bCs/>
        </w:rPr>
        <w:t xml:space="preserve"> ServingCellConfig) and rest of the configuration is not changed as part of L2/L1 handover. </w:t>
      </w:r>
    </w:p>
    <w:p w14:paraId="0A2553EB" w14:textId="77777777" w:rsidR="0064205B" w:rsidRPr="0064205B" w:rsidRDefault="0064205B" w:rsidP="0064205B"/>
    <w:p w14:paraId="6FA7DEDE" w14:textId="62598158" w:rsidR="00826C75" w:rsidRPr="00826C75" w:rsidRDefault="00080B6A" w:rsidP="00080B6A">
      <w:pPr>
        <w:pStyle w:val="Heading2"/>
        <w:ind w:left="450"/>
        <w:rPr>
          <w:rStyle w:val="Heading2Char"/>
          <w:rFonts w:eastAsia="MS Mincho"/>
          <w:szCs w:val="32"/>
          <w:lang w:eastAsia="en-US"/>
        </w:rPr>
      </w:pPr>
      <w:r>
        <w:rPr>
          <w:rStyle w:val="Heading2Char"/>
          <w:rFonts w:eastAsia="MS Mincho"/>
          <w:szCs w:val="32"/>
          <w:lang w:eastAsia="en-US"/>
        </w:rPr>
        <w:t>Security requirements for L2/L1</w:t>
      </w:r>
      <w:r w:rsidR="00826C75" w:rsidRPr="00826C75">
        <w:rPr>
          <w:rStyle w:val="Heading2Char"/>
          <w:rFonts w:eastAsia="MS Mincho"/>
          <w:szCs w:val="32"/>
          <w:lang w:eastAsia="en-US"/>
        </w:rPr>
        <w:t xml:space="preserve"> Handover</w:t>
      </w:r>
    </w:p>
    <w:p w14:paraId="5415373B" w14:textId="77777777" w:rsidR="00080B6A" w:rsidRDefault="00080B6A" w:rsidP="00826C75">
      <w:pPr>
        <w:rPr>
          <w:rFonts w:ascii="Arial" w:hAnsi="Arial" w:cs="Arial"/>
        </w:rPr>
      </w:pPr>
      <w:r>
        <w:rPr>
          <w:rFonts w:ascii="Arial" w:hAnsi="Arial" w:cs="Arial"/>
        </w:rPr>
        <w:t xml:space="preserve">We would like to conclude the basic topics by bringing in the aspect of security. So </w:t>
      </w:r>
      <w:proofErr w:type="gramStart"/>
      <w:r>
        <w:rPr>
          <w:rFonts w:ascii="Arial" w:hAnsi="Arial" w:cs="Arial"/>
        </w:rPr>
        <w:t>far</w:t>
      </w:r>
      <w:proofErr w:type="gramEnd"/>
      <w:r>
        <w:rPr>
          <w:rFonts w:ascii="Arial" w:hAnsi="Arial" w:cs="Arial"/>
        </w:rPr>
        <w:t xml:space="preserve"> the 3GPP framework has been that the UE configuration and reporting are done in a secure and tamper proof manner, and with L2/L1 mobility, we have to ensure that any departure from this (in terms of using L2/L1 communication) would satisfy SA3 requirements. </w:t>
      </w:r>
    </w:p>
    <w:p w14:paraId="6028DA9E" w14:textId="769FF180" w:rsidR="00080B6A" w:rsidRDefault="00080B6A" w:rsidP="00826C75">
      <w:pPr>
        <w:rPr>
          <w:rFonts w:ascii="Arial" w:hAnsi="Arial" w:cs="Arial"/>
        </w:rPr>
      </w:pPr>
      <w:r>
        <w:rPr>
          <w:rFonts w:ascii="Arial" w:hAnsi="Arial" w:cs="Arial"/>
        </w:rPr>
        <w:t>Since this Wi is RAN driven with no impact to SA, it would be a prudent step to check with SA3 on our scope and limits on L2/L1 communication from security perspective, and it would be better to get this guidance from them as soon as possible to avoid re-discussions in RAN2 based on their inputs.</w:t>
      </w:r>
    </w:p>
    <w:p w14:paraId="7100B688" w14:textId="09C78611" w:rsidR="00080B6A" w:rsidRPr="00F33573" w:rsidRDefault="00080B6A" w:rsidP="00826C75">
      <w:pPr>
        <w:rPr>
          <w:rFonts w:ascii="Arial" w:hAnsi="Arial" w:cs="Arial"/>
          <w:b/>
          <w:bCs/>
        </w:rPr>
      </w:pPr>
      <w:r w:rsidRPr="00F33573">
        <w:rPr>
          <w:rFonts w:ascii="Arial" w:hAnsi="Arial" w:cs="Arial"/>
          <w:b/>
          <w:bCs/>
        </w:rPr>
        <w:t xml:space="preserve">Proposal 4: Inform SA3 about the agreements we make and check with them on the aspect of UE configuration switching using L2/L1 and UE measurement reporting </w:t>
      </w:r>
      <w:r w:rsidR="00F33573" w:rsidRPr="00F33573">
        <w:rPr>
          <w:rFonts w:ascii="Arial" w:hAnsi="Arial" w:cs="Arial"/>
          <w:b/>
          <w:bCs/>
        </w:rPr>
        <w:t>as part of L2/L1, from security perspective.</w:t>
      </w:r>
    </w:p>
    <w:p w14:paraId="7DFC2BEB" w14:textId="77777777" w:rsidR="000C0AF6" w:rsidRPr="00495E19" w:rsidRDefault="000C0AF6" w:rsidP="007F6D2D">
      <w:pPr>
        <w:rPr>
          <w:rFonts w:ascii="Arial" w:hAnsi="Arial" w:cs="Arial"/>
        </w:rPr>
      </w:pPr>
    </w:p>
    <w:p w14:paraId="07388B9C" w14:textId="3BCCF37A" w:rsidR="005C0434" w:rsidRDefault="005C0434" w:rsidP="005C0434">
      <w:pPr>
        <w:pStyle w:val="Heading1"/>
      </w:pPr>
      <w:r>
        <w:lastRenderedPageBreak/>
        <w:t>Conclusions</w:t>
      </w:r>
    </w:p>
    <w:p w14:paraId="67622B4E" w14:textId="77777777" w:rsidR="000852D1" w:rsidRDefault="000852D1" w:rsidP="000852D1">
      <w:pPr>
        <w:rPr>
          <w:rFonts w:ascii="Arial" w:hAnsi="Arial" w:cs="Arial"/>
          <w:b/>
          <w:bCs/>
        </w:rPr>
      </w:pPr>
      <w:r>
        <w:rPr>
          <w:rFonts w:ascii="Arial" w:hAnsi="Arial" w:cs="Arial"/>
          <w:b/>
          <w:bCs/>
        </w:rPr>
        <w:t xml:space="preserve">Proposal 1: A UE can be configured with L2/L1 mobility as well as legacy mobility in a configuration. The UE evaluates </w:t>
      </w:r>
      <w:proofErr w:type="gramStart"/>
      <w:r>
        <w:rPr>
          <w:rFonts w:ascii="Arial" w:hAnsi="Arial" w:cs="Arial"/>
          <w:b/>
          <w:bCs/>
        </w:rPr>
        <w:t>both mobility</w:t>
      </w:r>
      <w:proofErr w:type="gramEnd"/>
      <w:r>
        <w:rPr>
          <w:rFonts w:ascii="Arial" w:hAnsi="Arial" w:cs="Arial"/>
          <w:b/>
          <w:bCs/>
        </w:rPr>
        <w:t xml:space="preserve"> related procedures at the same time.</w:t>
      </w:r>
    </w:p>
    <w:p w14:paraId="4AF5D1D4" w14:textId="77777777" w:rsidR="000852D1" w:rsidRDefault="000852D1" w:rsidP="000852D1">
      <w:pPr>
        <w:rPr>
          <w:rFonts w:ascii="Arial" w:hAnsi="Arial" w:cs="Arial"/>
          <w:b/>
          <w:bCs/>
        </w:rPr>
      </w:pPr>
      <w:r w:rsidRPr="00495E19">
        <w:rPr>
          <w:rFonts w:ascii="Arial" w:hAnsi="Arial" w:cs="Arial"/>
          <w:b/>
          <w:bCs/>
        </w:rPr>
        <w:t>Proposal</w:t>
      </w:r>
      <w:r>
        <w:rPr>
          <w:rFonts w:ascii="Arial" w:hAnsi="Arial" w:cs="Arial"/>
          <w:b/>
          <w:bCs/>
        </w:rPr>
        <w:t xml:space="preserve"> 2</w:t>
      </w:r>
      <w:r w:rsidRPr="00495E19">
        <w:rPr>
          <w:rFonts w:ascii="Arial" w:hAnsi="Arial" w:cs="Arial"/>
          <w:b/>
          <w:bCs/>
        </w:rPr>
        <w:t xml:space="preserve">: </w:t>
      </w:r>
      <w:r>
        <w:rPr>
          <w:rFonts w:ascii="Arial" w:hAnsi="Arial" w:cs="Arial"/>
          <w:b/>
          <w:bCs/>
        </w:rPr>
        <w:t>RRC provides the configuration to be used by the UE for measurement and target cell config, and L2/L1 control messages that trigger the application of this configuration. The configuration can only be changed via RRC.</w:t>
      </w:r>
    </w:p>
    <w:p w14:paraId="00EEBBA6" w14:textId="77777777" w:rsidR="000852D1" w:rsidRPr="008A55D6" w:rsidRDefault="000852D1" w:rsidP="000852D1">
      <w:pPr>
        <w:rPr>
          <w:rFonts w:ascii="Arial" w:hAnsi="Arial" w:cs="Arial"/>
          <w:b/>
          <w:bCs/>
        </w:rPr>
      </w:pPr>
      <w:r w:rsidRPr="008A55D6">
        <w:rPr>
          <w:rFonts w:ascii="Arial" w:hAnsi="Arial" w:cs="Arial"/>
          <w:b/>
          <w:bCs/>
        </w:rPr>
        <w:t xml:space="preserve">Proposal 3: The RRC configuration related to L2/L1 mobility is limited to the PHY configuration (for </w:t>
      </w:r>
      <w:proofErr w:type="gramStart"/>
      <w:r w:rsidRPr="008A55D6">
        <w:rPr>
          <w:rFonts w:ascii="Arial" w:hAnsi="Arial" w:cs="Arial"/>
          <w:b/>
          <w:bCs/>
        </w:rPr>
        <w:t>eg</w:t>
      </w:r>
      <w:proofErr w:type="gramEnd"/>
      <w:r w:rsidRPr="008A55D6">
        <w:rPr>
          <w:rFonts w:ascii="Arial" w:hAnsi="Arial" w:cs="Arial"/>
          <w:b/>
          <w:bCs/>
        </w:rPr>
        <w:t xml:space="preserve"> ServingCellConfig) and rest of the configuration is not changed as part of L2/L1 handover. </w:t>
      </w:r>
    </w:p>
    <w:p w14:paraId="0ACCF3B9" w14:textId="77777777" w:rsidR="000852D1" w:rsidRPr="00F33573" w:rsidRDefault="000852D1" w:rsidP="000852D1">
      <w:pPr>
        <w:rPr>
          <w:rFonts w:ascii="Arial" w:hAnsi="Arial" w:cs="Arial"/>
          <w:b/>
          <w:bCs/>
        </w:rPr>
      </w:pPr>
      <w:r w:rsidRPr="00F33573">
        <w:rPr>
          <w:rFonts w:ascii="Arial" w:hAnsi="Arial" w:cs="Arial"/>
          <w:b/>
          <w:bCs/>
        </w:rPr>
        <w:t>Proposal 4: Inform SA3 about the agreements we make and check with them on the aspect of UE configuration switching using L2/L1 and UE measurement reporting as part of L2/L1, from security perspective.</w:t>
      </w:r>
    </w:p>
    <w:p w14:paraId="40A56902" w14:textId="77777777" w:rsidR="002141C4" w:rsidRPr="002141C4" w:rsidRDefault="002141C4" w:rsidP="002141C4"/>
    <w:p w14:paraId="0CF580AE" w14:textId="598B13FD" w:rsidR="00993914" w:rsidRDefault="00993914" w:rsidP="00993914">
      <w:pPr>
        <w:pStyle w:val="Heading1"/>
      </w:pPr>
      <w:r>
        <w:t>References</w:t>
      </w:r>
    </w:p>
    <w:p w14:paraId="1EF3E06D" w14:textId="7E4AA7CC" w:rsidR="00437304" w:rsidRPr="00D07AF6" w:rsidRDefault="00993914" w:rsidP="00437304">
      <w:r w:rsidRPr="0023168D">
        <w:rPr>
          <w:rFonts w:ascii="Arial" w:hAnsi="Arial" w:cs="Arial"/>
        </w:rPr>
        <w:t xml:space="preserve">[1] </w:t>
      </w:r>
    </w:p>
    <w:p w14:paraId="6F79AA7D" w14:textId="3AFE3C6A"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148FC" w14:textId="77777777" w:rsidR="0012279C" w:rsidRDefault="0012279C" w:rsidP="000E43D2">
      <w:pPr>
        <w:spacing w:after="0"/>
      </w:pPr>
      <w:r>
        <w:separator/>
      </w:r>
    </w:p>
  </w:endnote>
  <w:endnote w:type="continuationSeparator" w:id="0">
    <w:p w14:paraId="28CF2F45" w14:textId="77777777" w:rsidR="0012279C" w:rsidRDefault="0012279C"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D118F" w14:textId="77777777" w:rsidR="0012279C" w:rsidRDefault="0012279C" w:rsidP="000E43D2">
      <w:pPr>
        <w:spacing w:after="0"/>
      </w:pPr>
      <w:r>
        <w:separator/>
      </w:r>
    </w:p>
  </w:footnote>
  <w:footnote w:type="continuationSeparator" w:id="0">
    <w:p w14:paraId="6A6FABFE" w14:textId="77777777" w:rsidR="0012279C" w:rsidRDefault="0012279C"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9D0502"/>
    <w:multiLevelType w:val="hybridMultilevel"/>
    <w:tmpl w:val="59D8241A"/>
    <w:lvl w:ilvl="0" w:tplc="AAC49A7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5"/>
  </w:num>
  <w:num w:numId="9" w16cid:durableId="302470555">
    <w:abstractNumId w:val="10"/>
  </w:num>
  <w:num w:numId="10" w16cid:durableId="55668815">
    <w:abstractNumId w:val="16"/>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9"/>
  </w:num>
  <w:num w:numId="16" w16cid:durableId="18037699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505620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1FB5"/>
    <w:rsid w:val="00015C2C"/>
    <w:rsid w:val="0001799E"/>
    <w:rsid w:val="0002147A"/>
    <w:rsid w:val="00032718"/>
    <w:rsid w:val="00034894"/>
    <w:rsid w:val="00066CF1"/>
    <w:rsid w:val="000671A4"/>
    <w:rsid w:val="00080B6A"/>
    <w:rsid w:val="00083ECB"/>
    <w:rsid w:val="000852D1"/>
    <w:rsid w:val="000948F8"/>
    <w:rsid w:val="000B15B6"/>
    <w:rsid w:val="000B53D9"/>
    <w:rsid w:val="000B54B1"/>
    <w:rsid w:val="000C0AF6"/>
    <w:rsid w:val="000C3111"/>
    <w:rsid w:val="000D59A4"/>
    <w:rsid w:val="000E43D2"/>
    <w:rsid w:val="00102339"/>
    <w:rsid w:val="00102701"/>
    <w:rsid w:val="00106917"/>
    <w:rsid w:val="0011345C"/>
    <w:rsid w:val="00114533"/>
    <w:rsid w:val="00115010"/>
    <w:rsid w:val="0012279C"/>
    <w:rsid w:val="00130151"/>
    <w:rsid w:val="00131DF0"/>
    <w:rsid w:val="001325C2"/>
    <w:rsid w:val="00135D53"/>
    <w:rsid w:val="00143A2A"/>
    <w:rsid w:val="00145881"/>
    <w:rsid w:val="00155758"/>
    <w:rsid w:val="0016652A"/>
    <w:rsid w:val="00175A3F"/>
    <w:rsid w:val="00177438"/>
    <w:rsid w:val="00181154"/>
    <w:rsid w:val="001817CD"/>
    <w:rsid w:val="0019163F"/>
    <w:rsid w:val="001A410C"/>
    <w:rsid w:val="001B01FD"/>
    <w:rsid w:val="001D1997"/>
    <w:rsid w:val="001E1868"/>
    <w:rsid w:val="001F0BF8"/>
    <w:rsid w:val="00200B6F"/>
    <w:rsid w:val="00201AD1"/>
    <w:rsid w:val="00210B2D"/>
    <w:rsid w:val="002141C4"/>
    <w:rsid w:val="00215350"/>
    <w:rsid w:val="00216B1A"/>
    <w:rsid w:val="002209DF"/>
    <w:rsid w:val="00221950"/>
    <w:rsid w:val="0023168D"/>
    <w:rsid w:val="0023754E"/>
    <w:rsid w:val="002474E7"/>
    <w:rsid w:val="0026249B"/>
    <w:rsid w:val="00266D9F"/>
    <w:rsid w:val="0027286D"/>
    <w:rsid w:val="00283661"/>
    <w:rsid w:val="0028575D"/>
    <w:rsid w:val="00285D58"/>
    <w:rsid w:val="002A2374"/>
    <w:rsid w:val="002B5369"/>
    <w:rsid w:val="002C4289"/>
    <w:rsid w:val="002D3B10"/>
    <w:rsid w:val="002E0CBA"/>
    <w:rsid w:val="002E2212"/>
    <w:rsid w:val="002E4823"/>
    <w:rsid w:val="002F2532"/>
    <w:rsid w:val="00301024"/>
    <w:rsid w:val="00303CC1"/>
    <w:rsid w:val="0031249A"/>
    <w:rsid w:val="00313E60"/>
    <w:rsid w:val="003161A9"/>
    <w:rsid w:val="00322937"/>
    <w:rsid w:val="0033267D"/>
    <w:rsid w:val="00334FFE"/>
    <w:rsid w:val="00335BCE"/>
    <w:rsid w:val="003369DA"/>
    <w:rsid w:val="003439D1"/>
    <w:rsid w:val="0036542B"/>
    <w:rsid w:val="00370BED"/>
    <w:rsid w:val="003739BF"/>
    <w:rsid w:val="0038715A"/>
    <w:rsid w:val="003B6738"/>
    <w:rsid w:val="003C41A7"/>
    <w:rsid w:val="003C681D"/>
    <w:rsid w:val="003D4F59"/>
    <w:rsid w:val="003D597C"/>
    <w:rsid w:val="003D6AA9"/>
    <w:rsid w:val="003D6F3F"/>
    <w:rsid w:val="003E0AA3"/>
    <w:rsid w:val="003E4741"/>
    <w:rsid w:val="003F1A0A"/>
    <w:rsid w:val="0040377C"/>
    <w:rsid w:val="00413864"/>
    <w:rsid w:val="00414C30"/>
    <w:rsid w:val="00421897"/>
    <w:rsid w:val="00434CB8"/>
    <w:rsid w:val="00437304"/>
    <w:rsid w:val="00437F18"/>
    <w:rsid w:val="00457703"/>
    <w:rsid w:val="00461122"/>
    <w:rsid w:val="00464CCE"/>
    <w:rsid w:val="004738AD"/>
    <w:rsid w:val="004765C4"/>
    <w:rsid w:val="00477A09"/>
    <w:rsid w:val="00495E19"/>
    <w:rsid w:val="00495E63"/>
    <w:rsid w:val="004967D6"/>
    <w:rsid w:val="004A40EC"/>
    <w:rsid w:val="004D38A3"/>
    <w:rsid w:val="004E4636"/>
    <w:rsid w:val="004E4F93"/>
    <w:rsid w:val="004F275C"/>
    <w:rsid w:val="004F3398"/>
    <w:rsid w:val="004F353B"/>
    <w:rsid w:val="004F6631"/>
    <w:rsid w:val="004F6F22"/>
    <w:rsid w:val="00503D37"/>
    <w:rsid w:val="00505606"/>
    <w:rsid w:val="00510832"/>
    <w:rsid w:val="0052091B"/>
    <w:rsid w:val="00521E8A"/>
    <w:rsid w:val="00524266"/>
    <w:rsid w:val="0053242C"/>
    <w:rsid w:val="00572EAD"/>
    <w:rsid w:val="0058588B"/>
    <w:rsid w:val="005939D1"/>
    <w:rsid w:val="00596DB2"/>
    <w:rsid w:val="005A13B4"/>
    <w:rsid w:val="005B1CE9"/>
    <w:rsid w:val="005C0434"/>
    <w:rsid w:val="005E0F03"/>
    <w:rsid w:val="005F5334"/>
    <w:rsid w:val="00605982"/>
    <w:rsid w:val="00610305"/>
    <w:rsid w:val="00633BA4"/>
    <w:rsid w:val="00637910"/>
    <w:rsid w:val="0064205B"/>
    <w:rsid w:val="00643F9A"/>
    <w:rsid w:val="00647C88"/>
    <w:rsid w:val="00655941"/>
    <w:rsid w:val="00672266"/>
    <w:rsid w:val="006A2D08"/>
    <w:rsid w:val="006C2518"/>
    <w:rsid w:val="006D0E83"/>
    <w:rsid w:val="006D2A6D"/>
    <w:rsid w:val="006E4962"/>
    <w:rsid w:val="006F3A06"/>
    <w:rsid w:val="00707116"/>
    <w:rsid w:val="007129CD"/>
    <w:rsid w:val="00723AC7"/>
    <w:rsid w:val="00724CE7"/>
    <w:rsid w:val="00727592"/>
    <w:rsid w:val="00732B80"/>
    <w:rsid w:val="007501BB"/>
    <w:rsid w:val="00766693"/>
    <w:rsid w:val="00772626"/>
    <w:rsid w:val="007733A5"/>
    <w:rsid w:val="007827DD"/>
    <w:rsid w:val="007A0DBC"/>
    <w:rsid w:val="007A2F26"/>
    <w:rsid w:val="007A4847"/>
    <w:rsid w:val="007A6DF7"/>
    <w:rsid w:val="007A6F8D"/>
    <w:rsid w:val="007C422A"/>
    <w:rsid w:val="007C45E7"/>
    <w:rsid w:val="007D226E"/>
    <w:rsid w:val="007D2961"/>
    <w:rsid w:val="007E687E"/>
    <w:rsid w:val="007F056D"/>
    <w:rsid w:val="007F3862"/>
    <w:rsid w:val="007F6D2D"/>
    <w:rsid w:val="00801615"/>
    <w:rsid w:val="00806753"/>
    <w:rsid w:val="008105F8"/>
    <w:rsid w:val="0081231F"/>
    <w:rsid w:val="0082459F"/>
    <w:rsid w:val="00826C75"/>
    <w:rsid w:val="008378AF"/>
    <w:rsid w:val="00856B0F"/>
    <w:rsid w:val="00866992"/>
    <w:rsid w:val="0088227E"/>
    <w:rsid w:val="00887B70"/>
    <w:rsid w:val="008A0DF6"/>
    <w:rsid w:val="008A55D6"/>
    <w:rsid w:val="008B0BB5"/>
    <w:rsid w:val="008C5FED"/>
    <w:rsid w:val="008C6DC1"/>
    <w:rsid w:val="008D4FB6"/>
    <w:rsid w:val="008D6E93"/>
    <w:rsid w:val="008E0C48"/>
    <w:rsid w:val="008E1B52"/>
    <w:rsid w:val="008F5B07"/>
    <w:rsid w:val="008F7EEF"/>
    <w:rsid w:val="009062AD"/>
    <w:rsid w:val="00907F0D"/>
    <w:rsid w:val="00915CDF"/>
    <w:rsid w:val="00921135"/>
    <w:rsid w:val="009220BB"/>
    <w:rsid w:val="009350DE"/>
    <w:rsid w:val="00937922"/>
    <w:rsid w:val="009538BD"/>
    <w:rsid w:val="00955F32"/>
    <w:rsid w:val="00957C54"/>
    <w:rsid w:val="0097271A"/>
    <w:rsid w:val="009850F8"/>
    <w:rsid w:val="009864F5"/>
    <w:rsid w:val="00993914"/>
    <w:rsid w:val="0099547F"/>
    <w:rsid w:val="009A1903"/>
    <w:rsid w:val="009A3B6E"/>
    <w:rsid w:val="009A75F4"/>
    <w:rsid w:val="009B0A36"/>
    <w:rsid w:val="009C6AA7"/>
    <w:rsid w:val="009F76FA"/>
    <w:rsid w:val="00A17CEA"/>
    <w:rsid w:val="00A26261"/>
    <w:rsid w:val="00A4589F"/>
    <w:rsid w:val="00A460F3"/>
    <w:rsid w:val="00A52BC0"/>
    <w:rsid w:val="00A5717B"/>
    <w:rsid w:val="00A64DDC"/>
    <w:rsid w:val="00A7101D"/>
    <w:rsid w:val="00A835DF"/>
    <w:rsid w:val="00A86D45"/>
    <w:rsid w:val="00AB5567"/>
    <w:rsid w:val="00AE1843"/>
    <w:rsid w:val="00AE3297"/>
    <w:rsid w:val="00AF2BE6"/>
    <w:rsid w:val="00B11EFB"/>
    <w:rsid w:val="00B138F9"/>
    <w:rsid w:val="00B27E57"/>
    <w:rsid w:val="00B30CB8"/>
    <w:rsid w:val="00B3196E"/>
    <w:rsid w:val="00B327EB"/>
    <w:rsid w:val="00B42AFE"/>
    <w:rsid w:val="00B676EA"/>
    <w:rsid w:val="00B67DCE"/>
    <w:rsid w:val="00B83C4F"/>
    <w:rsid w:val="00B84BD8"/>
    <w:rsid w:val="00B86D0C"/>
    <w:rsid w:val="00B9289F"/>
    <w:rsid w:val="00BC76AE"/>
    <w:rsid w:val="00BE68D2"/>
    <w:rsid w:val="00BF3815"/>
    <w:rsid w:val="00BF6754"/>
    <w:rsid w:val="00C10DD5"/>
    <w:rsid w:val="00C27711"/>
    <w:rsid w:val="00C369CE"/>
    <w:rsid w:val="00C46E44"/>
    <w:rsid w:val="00C509E3"/>
    <w:rsid w:val="00C65B6B"/>
    <w:rsid w:val="00C72CF1"/>
    <w:rsid w:val="00C75E91"/>
    <w:rsid w:val="00C81836"/>
    <w:rsid w:val="00C82B3E"/>
    <w:rsid w:val="00C906D3"/>
    <w:rsid w:val="00CA60C7"/>
    <w:rsid w:val="00CA630B"/>
    <w:rsid w:val="00CC6744"/>
    <w:rsid w:val="00CD027C"/>
    <w:rsid w:val="00CD444B"/>
    <w:rsid w:val="00CE18C2"/>
    <w:rsid w:val="00CE6F0C"/>
    <w:rsid w:val="00CF0560"/>
    <w:rsid w:val="00CF602D"/>
    <w:rsid w:val="00D07AF6"/>
    <w:rsid w:val="00D14F96"/>
    <w:rsid w:val="00D15C2E"/>
    <w:rsid w:val="00D201C6"/>
    <w:rsid w:val="00D24C6A"/>
    <w:rsid w:val="00D25F36"/>
    <w:rsid w:val="00D454BB"/>
    <w:rsid w:val="00D51CC8"/>
    <w:rsid w:val="00D55188"/>
    <w:rsid w:val="00D7439A"/>
    <w:rsid w:val="00D80926"/>
    <w:rsid w:val="00D80F25"/>
    <w:rsid w:val="00D845BD"/>
    <w:rsid w:val="00DB1657"/>
    <w:rsid w:val="00DC290E"/>
    <w:rsid w:val="00DC4E8A"/>
    <w:rsid w:val="00DD4466"/>
    <w:rsid w:val="00DE16AF"/>
    <w:rsid w:val="00DE5A88"/>
    <w:rsid w:val="00DF6AF2"/>
    <w:rsid w:val="00E017AB"/>
    <w:rsid w:val="00E06A25"/>
    <w:rsid w:val="00E06C37"/>
    <w:rsid w:val="00E31181"/>
    <w:rsid w:val="00E31EC0"/>
    <w:rsid w:val="00E51B4A"/>
    <w:rsid w:val="00E666CD"/>
    <w:rsid w:val="00E82928"/>
    <w:rsid w:val="00E83E98"/>
    <w:rsid w:val="00E84A07"/>
    <w:rsid w:val="00E9612C"/>
    <w:rsid w:val="00EB1661"/>
    <w:rsid w:val="00EB2EC6"/>
    <w:rsid w:val="00EB6433"/>
    <w:rsid w:val="00EC26B0"/>
    <w:rsid w:val="00ED578C"/>
    <w:rsid w:val="00EE0157"/>
    <w:rsid w:val="00EE1EA6"/>
    <w:rsid w:val="00EE2E37"/>
    <w:rsid w:val="00EF00AF"/>
    <w:rsid w:val="00EF137A"/>
    <w:rsid w:val="00EF461C"/>
    <w:rsid w:val="00F12CD1"/>
    <w:rsid w:val="00F16E71"/>
    <w:rsid w:val="00F176D9"/>
    <w:rsid w:val="00F20C61"/>
    <w:rsid w:val="00F20E48"/>
    <w:rsid w:val="00F24F2D"/>
    <w:rsid w:val="00F33573"/>
    <w:rsid w:val="00F4118B"/>
    <w:rsid w:val="00F41430"/>
    <w:rsid w:val="00F45CD0"/>
    <w:rsid w:val="00F51A58"/>
    <w:rsid w:val="00F5744E"/>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1</TotalTime>
  <Pages>4</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4</cp:revision>
  <cp:lastPrinted>2020-07-28T11:49:00Z</cp:lastPrinted>
  <dcterms:created xsi:type="dcterms:W3CDTF">2022-08-09T22:16:00Z</dcterms:created>
  <dcterms:modified xsi:type="dcterms:W3CDTF">2022-08-09T22:17:00Z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