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733C61" w14:textId="6DA1D0B0" w:rsidR="00750BF6" w:rsidRDefault="00332F77">
      <w:pPr>
        <w:pStyle w:val="af3"/>
        <w:tabs>
          <w:tab w:val="right" w:pos="9645"/>
        </w:tabs>
        <w:spacing w:before="0" w:beforeAutospacing="0" w:after="0" w:afterAutospacing="0"/>
        <w:jc w:val="both"/>
        <w:rPr>
          <w:b/>
          <w:szCs w:val="22"/>
          <w:lang w:val="en-US" w:eastAsia="zh-CN"/>
        </w:rPr>
      </w:pPr>
      <w:r>
        <w:rPr>
          <w:rFonts w:eastAsia="宋体"/>
          <w:b/>
          <w:szCs w:val="22"/>
          <w:lang w:val="en-US" w:eastAsia="zh-CN" w:bidi="ar"/>
        </w:rPr>
        <w:t>3GPP TSG-RAN2 Meeting #11</w:t>
      </w:r>
      <w:r>
        <w:rPr>
          <w:rFonts w:eastAsia="宋体" w:hint="eastAsia"/>
          <w:b/>
          <w:szCs w:val="22"/>
          <w:lang w:val="en-US" w:eastAsia="zh-CN" w:bidi="ar"/>
        </w:rPr>
        <w:t>9</w:t>
      </w:r>
      <w:r>
        <w:rPr>
          <w:rFonts w:eastAsia="宋体"/>
          <w:b/>
          <w:szCs w:val="22"/>
          <w:lang w:val="en-US" w:eastAsia="zh-CN" w:bidi="ar"/>
        </w:rPr>
        <w:t xml:space="preserve"> electronic</w:t>
      </w:r>
      <w:r>
        <w:rPr>
          <w:rFonts w:eastAsia="宋体"/>
          <w:b/>
          <w:szCs w:val="22"/>
          <w:lang w:val="en-US" w:eastAsia="zh-CN" w:bidi="ar"/>
        </w:rPr>
        <w:tab/>
      </w:r>
      <w:bookmarkStart w:id="0" w:name="_GoBack"/>
      <w:r>
        <w:rPr>
          <w:rFonts w:eastAsia="宋体"/>
          <w:b/>
          <w:szCs w:val="22"/>
          <w:lang w:val="en-US" w:eastAsia="zh-CN" w:bidi="ar"/>
        </w:rPr>
        <w:t>R2-220</w:t>
      </w:r>
      <w:r w:rsidR="002B677D">
        <w:rPr>
          <w:rFonts w:eastAsia="宋体"/>
          <w:b/>
          <w:szCs w:val="22"/>
          <w:lang w:val="en-US" w:eastAsia="zh-CN" w:bidi="ar"/>
        </w:rPr>
        <w:t>7162</w:t>
      </w:r>
    </w:p>
    <w:bookmarkEnd w:id="0"/>
    <w:p w14:paraId="24E017A0" w14:textId="77777777" w:rsidR="00750BF6" w:rsidRDefault="00332F77">
      <w:pPr>
        <w:pStyle w:val="af3"/>
        <w:tabs>
          <w:tab w:val="right" w:pos="9645"/>
        </w:tabs>
        <w:spacing w:before="0" w:beforeAutospacing="0" w:after="0" w:afterAutospacing="0"/>
        <w:jc w:val="both"/>
        <w:rPr>
          <w:b/>
          <w:szCs w:val="22"/>
          <w:lang w:val="en-US" w:eastAsia="zh-CN"/>
        </w:rPr>
      </w:pPr>
      <w:r>
        <w:rPr>
          <w:rFonts w:eastAsia="宋体"/>
          <w:b/>
          <w:szCs w:val="22"/>
          <w:lang w:val="de" w:eastAsia="zh-CN" w:bidi="ar"/>
        </w:rPr>
        <w:t>Online,</w:t>
      </w:r>
      <w:r>
        <w:rPr>
          <w:rFonts w:eastAsia="宋体"/>
          <w:b/>
          <w:szCs w:val="22"/>
          <w:lang w:val="en-US" w:eastAsia="zh-CN" w:bidi="ar"/>
        </w:rPr>
        <w:t xml:space="preserve"> </w:t>
      </w:r>
      <w:r>
        <w:rPr>
          <w:rFonts w:eastAsia="宋体" w:hint="eastAsia"/>
          <w:b/>
          <w:szCs w:val="22"/>
          <w:lang w:val="en-US" w:eastAsia="zh-CN" w:bidi="ar"/>
        </w:rPr>
        <w:t>Aug</w:t>
      </w:r>
      <w:r>
        <w:rPr>
          <w:rFonts w:eastAsia="宋体"/>
          <w:b/>
          <w:szCs w:val="22"/>
          <w:lang w:val="en-US" w:eastAsia="zh-CN" w:bidi="ar"/>
        </w:rPr>
        <w:t xml:space="preserve"> </w:t>
      </w:r>
      <w:r>
        <w:rPr>
          <w:rFonts w:eastAsia="宋体" w:hint="eastAsia"/>
          <w:b/>
          <w:szCs w:val="22"/>
          <w:lang w:val="en-US" w:eastAsia="zh-CN" w:bidi="ar"/>
        </w:rPr>
        <w:t>17</w:t>
      </w:r>
      <w:r>
        <w:rPr>
          <w:rFonts w:eastAsia="宋体"/>
          <w:b/>
          <w:szCs w:val="22"/>
          <w:lang w:val="de" w:eastAsia="zh-CN" w:bidi="ar"/>
        </w:rPr>
        <w:t xml:space="preserve">th – </w:t>
      </w:r>
      <w:r>
        <w:rPr>
          <w:rFonts w:eastAsia="宋体"/>
          <w:b/>
          <w:szCs w:val="22"/>
          <w:lang w:val="en-US" w:eastAsia="zh-CN" w:bidi="ar"/>
        </w:rPr>
        <w:t>2</w:t>
      </w:r>
      <w:r>
        <w:rPr>
          <w:rFonts w:eastAsia="宋体" w:hint="eastAsia"/>
          <w:b/>
          <w:szCs w:val="22"/>
          <w:lang w:val="en-US" w:eastAsia="zh-CN" w:bidi="ar"/>
        </w:rPr>
        <w:t>6</w:t>
      </w:r>
      <w:r>
        <w:rPr>
          <w:rFonts w:eastAsia="宋体"/>
          <w:b/>
          <w:szCs w:val="22"/>
          <w:lang w:val="en-US" w:eastAsia="zh-CN" w:bidi="ar"/>
        </w:rPr>
        <w:t>th</w:t>
      </w:r>
      <w:r>
        <w:rPr>
          <w:rFonts w:eastAsia="宋体"/>
          <w:b/>
          <w:szCs w:val="22"/>
          <w:lang w:val="de" w:eastAsia="zh-CN" w:bidi="ar"/>
        </w:rPr>
        <w:t>, 202</w:t>
      </w:r>
      <w:r>
        <w:rPr>
          <w:rFonts w:eastAsia="宋体"/>
          <w:b/>
          <w:szCs w:val="22"/>
          <w:lang w:val="en-US" w:eastAsia="zh-CN" w:bidi="ar"/>
        </w:rPr>
        <w:t>2</w:t>
      </w:r>
    </w:p>
    <w:p w14:paraId="43F72C6B" w14:textId="77777777" w:rsidR="00750BF6" w:rsidRDefault="00750BF6">
      <w:pPr>
        <w:overflowPunct w:val="0"/>
        <w:autoSpaceDE w:val="0"/>
        <w:autoSpaceDN w:val="0"/>
        <w:adjustRightInd w:val="0"/>
        <w:snapToGrid w:val="0"/>
        <w:spacing w:beforeLines="50" w:before="156" w:line="240" w:lineRule="auto"/>
        <w:textAlignment w:val="baseline"/>
        <w:rPr>
          <w:rFonts w:ascii="Arial" w:hAnsi="Arial" w:cs="Arial"/>
          <w:b/>
          <w:bCs/>
          <w:kern w:val="0"/>
          <w:sz w:val="24"/>
        </w:rPr>
      </w:pPr>
    </w:p>
    <w:p w14:paraId="7C6FCFCC" w14:textId="77777777" w:rsidR="00750BF6" w:rsidRDefault="00332F77">
      <w:pPr>
        <w:overflowPunct w:val="0"/>
        <w:autoSpaceDE w:val="0"/>
        <w:autoSpaceDN w:val="0"/>
        <w:adjustRightInd w:val="0"/>
        <w:snapToGrid w:val="0"/>
        <w:spacing w:beforeLines="50" w:before="156" w:line="240" w:lineRule="auto"/>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 Corporation</w:t>
      </w:r>
      <w:r>
        <w:rPr>
          <w:rFonts w:ascii="Arial" w:hAnsi="Arial" w:cs="Arial" w:hint="eastAsia"/>
          <w:b/>
          <w:bCs/>
          <w:snapToGrid w:val="0"/>
          <w:kern w:val="0"/>
          <w:sz w:val="24"/>
        </w:rPr>
        <w:t xml:space="preserve">, </w:t>
      </w:r>
      <w:proofErr w:type="spellStart"/>
      <w:r>
        <w:rPr>
          <w:rFonts w:ascii="Arial" w:hAnsi="Arial" w:cs="Arial" w:hint="eastAsia"/>
          <w:b/>
          <w:bCs/>
          <w:snapToGrid w:val="0"/>
          <w:kern w:val="0"/>
          <w:sz w:val="24"/>
        </w:rPr>
        <w:t>Sanechips</w:t>
      </w:r>
      <w:proofErr w:type="spellEnd"/>
    </w:p>
    <w:p w14:paraId="6883B786" w14:textId="77777777" w:rsidR="00750BF6" w:rsidRDefault="00332F77">
      <w:pPr>
        <w:overflowPunct w:val="0"/>
        <w:autoSpaceDE w:val="0"/>
        <w:autoSpaceDN w:val="0"/>
        <w:adjustRightInd w:val="0"/>
        <w:snapToGrid w:val="0"/>
        <w:spacing w:beforeLines="50" w:before="156" w:line="240" w:lineRule="auto"/>
        <w:ind w:left="2100" w:hanging="2100"/>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ascii="Arial" w:hAnsi="Arial" w:cs="Arial" w:hint="eastAsia"/>
          <w:b/>
          <w:bCs/>
          <w:snapToGrid w:val="0"/>
          <w:kern w:val="0"/>
          <w:sz w:val="24"/>
        </w:rPr>
        <w:t>Consideration on the FDM enhancement</w:t>
      </w:r>
    </w:p>
    <w:p w14:paraId="2024779C" w14:textId="77777777" w:rsidR="00750BF6" w:rsidRDefault="00332F77">
      <w:pPr>
        <w:overflowPunct w:val="0"/>
        <w:autoSpaceDE w:val="0"/>
        <w:autoSpaceDN w:val="0"/>
        <w:adjustRightInd w:val="0"/>
        <w:snapToGrid w:val="0"/>
        <w:spacing w:beforeLines="50" w:before="156" w:line="240" w:lineRule="auto"/>
        <w:ind w:left="2100" w:hanging="2100"/>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1" w:name="Source"/>
      <w:bookmarkEnd w:id="1"/>
      <w:r>
        <w:rPr>
          <w:rFonts w:ascii="Arial" w:hAnsi="Arial" w:cs="Arial" w:hint="eastAsia"/>
          <w:b/>
          <w:bCs/>
          <w:snapToGrid w:val="0"/>
          <w:kern w:val="0"/>
          <w:sz w:val="24"/>
        </w:rPr>
        <w:t>8.10.2</w:t>
      </w:r>
    </w:p>
    <w:p w14:paraId="320D4CAD" w14:textId="77777777" w:rsidR="00750BF6" w:rsidRDefault="00332F77">
      <w:pPr>
        <w:overflowPunct w:val="0"/>
        <w:autoSpaceDE w:val="0"/>
        <w:autoSpaceDN w:val="0"/>
        <w:adjustRightInd w:val="0"/>
        <w:snapToGrid w:val="0"/>
        <w:spacing w:beforeLines="50" w:before="156" w:line="240" w:lineRule="auto"/>
        <w:textAlignment w:val="baseline"/>
        <w:rPr>
          <w:rFonts w:ascii="Arial" w:hAnsi="Arial" w:cs="Arial"/>
          <w:b/>
          <w:bCs/>
          <w:snapToGrid w:val="0"/>
          <w:kern w:val="0"/>
          <w:sz w:val="24"/>
        </w:rPr>
      </w:pPr>
      <w:r>
        <w:rPr>
          <w:rFonts w:ascii="Arial" w:hAnsi="Arial" w:cs="Arial"/>
          <w:b/>
          <w:bCs/>
          <w:snapToGrid w:val="0"/>
          <w:kern w:val="0"/>
          <w:sz w:val="24"/>
        </w:rPr>
        <w:t>Document for:</w:t>
      </w:r>
      <w:bookmarkStart w:id="2" w:name="DocumentFor"/>
      <w:bookmarkEnd w:id="2"/>
      <w:r>
        <w:rPr>
          <w:rFonts w:ascii="Arial" w:hAnsi="Arial" w:cs="Arial" w:hint="eastAsia"/>
          <w:b/>
          <w:bCs/>
          <w:snapToGrid w:val="0"/>
          <w:kern w:val="0"/>
          <w:sz w:val="24"/>
        </w:rPr>
        <w:t xml:space="preserve"> </w:t>
      </w:r>
      <w:r>
        <w:rPr>
          <w:rFonts w:ascii="Arial" w:hAnsi="Arial" w:cs="Arial"/>
          <w:b/>
          <w:bCs/>
          <w:snapToGrid w:val="0"/>
          <w:kern w:val="0"/>
          <w:sz w:val="24"/>
        </w:rPr>
        <w:tab/>
        <w:t>Discussion</w:t>
      </w:r>
      <w:r>
        <w:rPr>
          <w:rFonts w:ascii="Arial" w:hAnsi="Arial" w:cs="Arial" w:hint="eastAsia"/>
          <w:b/>
          <w:bCs/>
          <w:snapToGrid w:val="0"/>
          <w:kern w:val="0"/>
          <w:sz w:val="24"/>
        </w:rPr>
        <w:t xml:space="preserve"> and Decision</w:t>
      </w:r>
    </w:p>
    <w:p w14:paraId="43435ABF" w14:textId="77777777" w:rsidR="00750BF6" w:rsidRDefault="00332F77">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textAlignment w:val="baseline"/>
        <w:rPr>
          <w:rFonts w:ascii="Arial" w:hAnsi="Arial" w:cs="Arial"/>
          <w:b w:val="0"/>
          <w:bCs w:val="0"/>
          <w:kern w:val="0"/>
          <w:sz w:val="32"/>
          <w:szCs w:val="36"/>
        </w:rPr>
      </w:pPr>
      <w:r>
        <w:rPr>
          <w:rFonts w:ascii="Arial" w:hAnsi="Arial" w:cs="Arial"/>
          <w:b w:val="0"/>
          <w:bCs w:val="0"/>
          <w:kern w:val="0"/>
          <w:sz w:val="32"/>
          <w:szCs w:val="36"/>
        </w:rPr>
        <w:t>Introduction</w:t>
      </w:r>
    </w:p>
    <w:p w14:paraId="09FD1952" w14:textId="28018D99" w:rsidR="00750BF6" w:rsidRDefault="00332F77">
      <w:r>
        <w:rPr>
          <w:rFonts w:hint="eastAsia"/>
        </w:rPr>
        <w:t xml:space="preserve">As described in the R18 </w:t>
      </w:r>
      <w:r w:rsidR="003A279C">
        <w:t>IDC</w:t>
      </w:r>
      <w:r>
        <w:rPr>
          <w:rFonts w:hint="eastAsia"/>
        </w:rPr>
        <w:t xml:space="preserve"> WID [1], one objective is to do FDM enhancement with more granular indication.</w:t>
      </w:r>
    </w:p>
    <w:tbl>
      <w:tblPr>
        <w:tblStyle w:val="af5"/>
        <w:tblW w:w="0" w:type="auto"/>
        <w:tblLook w:val="04A0" w:firstRow="1" w:lastRow="0" w:firstColumn="1" w:lastColumn="0" w:noHBand="0" w:noVBand="1"/>
      </w:tblPr>
      <w:tblGrid>
        <w:gridCol w:w="9771"/>
      </w:tblGrid>
      <w:tr w:rsidR="00750BF6" w14:paraId="050E738C" w14:textId="77777777">
        <w:tc>
          <w:tcPr>
            <w:tcW w:w="9997" w:type="dxa"/>
          </w:tcPr>
          <w:p w14:paraId="4DC120A7" w14:textId="77777777" w:rsidR="00750BF6" w:rsidRDefault="00332F77" w:rsidP="007771F0">
            <w:pPr>
              <w:pStyle w:val="afe"/>
              <w:numPr>
                <w:ilvl w:val="0"/>
                <w:numId w:val="8"/>
              </w:numPr>
              <w:ind w:firstLineChars="0"/>
            </w:pPr>
            <w:r>
              <w:t>Enhancements to FDM solution, to allow more granular indication of affected frequencies (e.g. granularity of BWP or PRB level). (RAN2)</w:t>
            </w:r>
          </w:p>
        </w:tc>
      </w:tr>
    </w:tbl>
    <w:p w14:paraId="16738346" w14:textId="77777777" w:rsidR="00750BF6" w:rsidRDefault="00332F77">
      <w:r>
        <w:rPr>
          <w:rFonts w:hint="eastAsia"/>
        </w:rPr>
        <w:t>In this paper, we share our preliminary views on the FDM enhancement.</w:t>
      </w:r>
    </w:p>
    <w:p w14:paraId="687FDDDB" w14:textId="77777777" w:rsidR="00750BF6" w:rsidRDefault="00332F77">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textAlignment w:val="baseline"/>
        <w:rPr>
          <w:rFonts w:ascii="Arial" w:hAnsi="Arial" w:cs="Arial"/>
          <w:b w:val="0"/>
          <w:bCs w:val="0"/>
          <w:kern w:val="0"/>
          <w:sz w:val="32"/>
          <w:szCs w:val="36"/>
        </w:rPr>
      </w:pPr>
      <w:r>
        <w:rPr>
          <w:rFonts w:ascii="Arial" w:hAnsi="Arial" w:cs="Arial"/>
          <w:b w:val="0"/>
          <w:bCs w:val="0"/>
          <w:kern w:val="0"/>
          <w:sz w:val="32"/>
          <w:szCs w:val="36"/>
        </w:rPr>
        <w:t>Discussion</w:t>
      </w:r>
    </w:p>
    <w:p w14:paraId="0C6F1B10" w14:textId="63DDD4D5" w:rsidR="00750BF6" w:rsidRDefault="00332F77">
      <w:r>
        <w:rPr>
          <w:rFonts w:hint="eastAsia"/>
        </w:rPr>
        <w:t>In this chapter, we</w:t>
      </w:r>
      <w:r>
        <w:t>’</w:t>
      </w:r>
      <w:r>
        <w:rPr>
          <w:rFonts w:hint="eastAsia"/>
        </w:rPr>
        <w:t>ll give a short description on the legacy scheme</w:t>
      </w:r>
      <w:r w:rsidR="003A279C">
        <w:t xml:space="preserve"> first</w:t>
      </w:r>
      <w:r>
        <w:rPr>
          <w:rFonts w:hint="eastAsia"/>
        </w:rPr>
        <w:t>, then analy</w:t>
      </w:r>
      <w:r w:rsidR="003A279C">
        <w:t>ze</w:t>
      </w:r>
      <w:r>
        <w:rPr>
          <w:rFonts w:hint="eastAsia"/>
        </w:rPr>
        <w:t xml:space="preserve"> the </w:t>
      </w:r>
      <w:r w:rsidR="003A279C">
        <w:t xml:space="preserve">FDM enhancement for the serving frequency and non-serving frequency </w:t>
      </w:r>
      <w:r w:rsidR="003A279C">
        <w:rPr>
          <w:rFonts w:hint="eastAsia"/>
        </w:rPr>
        <w:t>respectively</w:t>
      </w:r>
      <w:r w:rsidR="003A279C">
        <w:t>, at last we discuss whether interference sensitivity level is needed with more granular indication.</w:t>
      </w:r>
    </w:p>
    <w:p w14:paraId="1D6DFBFF" w14:textId="77777777" w:rsidR="00750BF6" w:rsidRDefault="00332F77">
      <w:pPr>
        <w:pStyle w:val="2"/>
        <w:ind w:left="576" w:hanging="576"/>
        <w:rPr>
          <w:rFonts w:eastAsia="宋体" w:cs="Arial"/>
          <w:b w:val="0"/>
          <w:bCs w:val="0"/>
          <w:color w:val="000000"/>
          <w:szCs w:val="22"/>
          <w:lang w:val="en-US"/>
        </w:rPr>
      </w:pPr>
      <w:r>
        <w:rPr>
          <w:rFonts w:eastAsia="宋体" w:cs="Arial" w:hint="eastAsia"/>
          <w:b w:val="0"/>
          <w:bCs w:val="0"/>
          <w:color w:val="000000"/>
          <w:szCs w:val="22"/>
          <w:lang w:val="en-US"/>
        </w:rPr>
        <w:t>2.1 Legacy FDM scheme</w:t>
      </w:r>
    </w:p>
    <w:p w14:paraId="1F692E8B" w14:textId="77777777" w:rsidR="00750BF6" w:rsidRDefault="00332F77">
      <w:r>
        <w:rPr>
          <w:rFonts w:hint="eastAsia"/>
        </w:rPr>
        <w:t xml:space="preserve">In the legacy scheme, for the IDC reporting, the network would indicate a list of </w:t>
      </w:r>
      <w:r>
        <w:t>“</w:t>
      </w:r>
      <w:r>
        <w:rPr>
          <w:rFonts w:hint="eastAsia"/>
        </w:rPr>
        <w:t>center frequency</w:t>
      </w:r>
      <w:r>
        <w:t>”</w:t>
      </w:r>
      <w:r>
        <w:rPr>
          <w:rFonts w:hint="eastAsia"/>
        </w:rPr>
        <w:t>, e.g.</w:t>
      </w:r>
    </w:p>
    <w:p w14:paraId="212B5A39" w14:textId="77777777" w:rsidR="00750BF6" w:rsidRDefault="00332F77">
      <w:r>
        <w:rPr>
          <w:rFonts w:hint="eastAsia"/>
        </w:rPr>
        <w:t xml:space="preserve">For NR, the network would indicate a </w:t>
      </w:r>
      <w:proofErr w:type="spellStart"/>
      <w:r>
        <w:rPr>
          <w:rFonts w:hint="eastAsia"/>
        </w:rPr>
        <w:t>candidateServingFreqList</w:t>
      </w:r>
      <w:proofErr w:type="spellEnd"/>
      <w:r>
        <w:rPr>
          <w:rFonts w:hint="eastAsia"/>
        </w:rPr>
        <w:t xml:space="preserve"> with ARFCN value.</w:t>
      </w:r>
    </w:p>
    <w:tbl>
      <w:tblPr>
        <w:tblStyle w:val="af5"/>
        <w:tblW w:w="0" w:type="auto"/>
        <w:tblLook w:val="04A0" w:firstRow="1" w:lastRow="0" w:firstColumn="1" w:lastColumn="0" w:noHBand="0" w:noVBand="1"/>
      </w:tblPr>
      <w:tblGrid>
        <w:gridCol w:w="9771"/>
      </w:tblGrid>
      <w:tr w:rsidR="00750BF6" w14:paraId="710E4017" w14:textId="77777777">
        <w:tc>
          <w:tcPr>
            <w:tcW w:w="9997" w:type="dxa"/>
          </w:tcPr>
          <w:p w14:paraId="1730FA60" w14:textId="77777777" w:rsidR="00750BF6" w:rsidRDefault="00332F77">
            <w:pPr>
              <w:rPr>
                <w:sz w:val="18"/>
                <w:szCs w:val="18"/>
              </w:rPr>
            </w:pPr>
            <w:r>
              <w:rPr>
                <w:sz w:val="18"/>
                <w:szCs w:val="18"/>
              </w:rPr>
              <w:t>IDC-AssistanceConfig-r16 ::=           SEQUENCE {</w:t>
            </w:r>
          </w:p>
          <w:p w14:paraId="4D01FB28" w14:textId="77777777" w:rsidR="00750BF6" w:rsidRDefault="00332F77">
            <w:pPr>
              <w:rPr>
                <w:sz w:val="18"/>
                <w:szCs w:val="18"/>
              </w:rPr>
            </w:pPr>
            <w:r>
              <w:rPr>
                <w:sz w:val="18"/>
                <w:szCs w:val="18"/>
              </w:rPr>
              <w:tab/>
              <w:t>candidateServingFreqListNR-r16</w:t>
            </w:r>
            <w:r>
              <w:rPr>
                <w:sz w:val="18"/>
                <w:szCs w:val="18"/>
              </w:rPr>
              <w:tab/>
              <w:t xml:space="preserve">     </w:t>
            </w:r>
            <w:proofErr w:type="spellStart"/>
            <w:r>
              <w:rPr>
                <w:sz w:val="18"/>
                <w:szCs w:val="18"/>
              </w:rPr>
              <w:t>CandidateServingFreqListNR-r16</w:t>
            </w:r>
            <w:proofErr w:type="spellEnd"/>
            <w:r>
              <w:rPr>
                <w:sz w:val="18"/>
                <w:szCs w:val="18"/>
              </w:rPr>
              <w:t xml:space="preserve">  OPTIONAL, -- Need M    ...}</w:t>
            </w:r>
          </w:p>
          <w:p w14:paraId="600D15E8" w14:textId="77777777" w:rsidR="00750BF6" w:rsidRDefault="00332F77">
            <w:pPr>
              <w:rPr>
                <w:rFonts w:ascii="Arial" w:hAnsi="Arial" w:cs="Arial"/>
                <w:kern w:val="0"/>
                <w:sz w:val="32"/>
                <w:szCs w:val="36"/>
              </w:rPr>
            </w:pPr>
            <w:r>
              <w:rPr>
                <w:sz w:val="18"/>
                <w:szCs w:val="18"/>
              </w:rPr>
              <w:t>CandidateServingFreqListNR-r16 ::= SEQUENCE (SIZE (1..maxFreqIDC-r16)) OF ARFCN-</w:t>
            </w:r>
            <w:proofErr w:type="spellStart"/>
            <w:r>
              <w:rPr>
                <w:sz w:val="18"/>
                <w:szCs w:val="18"/>
              </w:rPr>
              <w:t>ValueNR</w:t>
            </w:r>
            <w:proofErr w:type="spellEnd"/>
          </w:p>
        </w:tc>
      </w:tr>
    </w:tbl>
    <w:p w14:paraId="4ABDB841" w14:textId="74FEAD2D" w:rsidR="00750BF6" w:rsidRDefault="00332F77">
      <w:r>
        <w:rPr>
          <w:rFonts w:hint="eastAsia"/>
        </w:rPr>
        <w:t xml:space="preserve">While for </w:t>
      </w:r>
      <w:r w:rsidR="003B04F9">
        <w:rPr>
          <w:rFonts w:hint="eastAsia"/>
        </w:rPr>
        <w:t>EUTRA</w:t>
      </w:r>
      <w:r>
        <w:rPr>
          <w:rFonts w:hint="eastAsia"/>
        </w:rPr>
        <w:t xml:space="preserve">, the UE would take the </w:t>
      </w:r>
      <w:r>
        <w:t>frequencies for which a measurement object is configured</w:t>
      </w:r>
      <w:r>
        <w:rPr>
          <w:rFonts w:hint="eastAsia"/>
        </w:rPr>
        <w:t xml:space="preserve"> into consideration.</w:t>
      </w:r>
    </w:p>
    <w:p w14:paraId="6B525FDD" w14:textId="77777777" w:rsidR="00750BF6" w:rsidRDefault="00332F77">
      <w:pPr>
        <w:rPr>
          <w:b/>
          <w:bCs/>
        </w:rPr>
      </w:pPr>
      <w:r>
        <w:rPr>
          <w:rFonts w:hint="eastAsia"/>
          <w:b/>
          <w:bCs/>
        </w:rPr>
        <w:t>Observation 1: In the legacy scheme, the IDC interference would be reported for both the serving frequency and non-serving frequency.</w:t>
      </w:r>
    </w:p>
    <w:p w14:paraId="5234A1B6" w14:textId="69468E69" w:rsidR="00750BF6" w:rsidRDefault="00332F77">
      <w:r>
        <w:rPr>
          <w:rFonts w:hint="eastAsia"/>
        </w:rPr>
        <w:t xml:space="preserve">Then the UE would report the affected frequencies to the network with 2 different </w:t>
      </w:r>
      <w:r w:rsidR="003B04F9">
        <w:t xml:space="preserve">types of </w:t>
      </w:r>
      <w:r>
        <w:rPr>
          <w:rFonts w:hint="eastAsia"/>
        </w:rPr>
        <w:t>IDC interference:</w:t>
      </w:r>
    </w:p>
    <w:p w14:paraId="482CA9D8" w14:textId="77777777" w:rsidR="00750BF6" w:rsidRDefault="00332F77">
      <w:pPr>
        <w:numPr>
          <w:ilvl w:val="0"/>
          <w:numId w:val="6"/>
        </w:numPr>
      </w:pPr>
      <w:r>
        <w:rPr>
          <w:rFonts w:hint="eastAsia"/>
        </w:rPr>
        <w:t>IDC interference from or to 3GPP single carrier (together with interference direction);</w:t>
      </w:r>
    </w:p>
    <w:p w14:paraId="747C9E6E" w14:textId="77777777" w:rsidR="00750BF6" w:rsidRDefault="00332F77">
      <w:pPr>
        <w:numPr>
          <w:ilvl w:val="0"/>
          <w:numId w:val="6"/>
        </w:numPr>
      </w:pPr>
      <w:r>
        <w:rPr>
          <w:rFonts w:hint="eastAsia"/>
        </w:rPr>
        <w:lastRenderedPageBreak/>
        <w:t>IDC interference caused by 3GPP UL CA or DC to the ISM/GNSS (together with victim type).</w:t>
      </w:r>
    </w:p>
    <w:p w14:paraId="6BD6CF6E" w14:textId="5324DF63" w:rsidR="00750BF6" w:rsidRDefault="00332F77">
      <w:r>
        <w:rPr>
          <w:rFonts w:hint="eastAsia"/>
          <w:b/>
          <w:bCs/>
        </w:rPr>
        <w:t xml:space="preserve">Observation 2: In the legacy scheme, there </w:t>
      </w:r>
      <w:r w:rsidR="00D20D12">
        <w:rPr>
          <w:b/>
          <w:bCs/>
        </w:rPr>
        <w:t>are</w:t>
      </w:r>
      <w:r>
        <w:rPr>
          <w:rFonts w:hint="eastAsia"/>
          <w:b/>
          <w:bCs/>
        </w:rPr>
        <w:t xml:space="preserve"> 2 different </w:t>
      </w:r>
      <w:r w:rsidR="003B04F9">
        <w:rPr>
          <w:b/>
          <w:bCs/>
        </w:rPr>
        <w:t xml:space="preserve">types of </w:t>
      </w:r>
      <w:r>
        <w:rPr>
          <w:rFonts w:hint="eastAsia"/>
          <w:b/>
          <w:bCs/>
        </w:rPr>
        <w:t>IDC interference:</w:t>
      </w:r>
    </w:p>
    <w:p w14:paraId="2AE09756" w14:textId="77777777" w:rsidR="00750BF6" w:rsidRDefault="00332F77">
      <w:pPr>
        <w:numPr>
          <w:ilvl w:val="0"/>
          <w:numId w:val="6"/>
        </w:numPr>
        <w:rPr>
          <w:b/>
          <w:bCs/>
        </w:rPr>
      </w:pPr>
      <w:r>
        <w:rPr>
          <w:rFonts w:hint="eastAsia"/>
          <w:b/>
          <w:bCs/>
        </w:rPr>
        <w:t>IDC interference from or to 3GPP single carrier (together with interference direction);</w:t>
      </w:r>
    </w:p>
    <w:p w14:paraId="051A9922" w14:textId="77777777" w:rsidR="00750BF6" w:rsidRDefault="00332F77">
      <w:pPr>
        <w:numPr>
          <w:ilvl w:val="0"/>
          <w:numId w:val="6"/>
        </w:numPr>
        <w:rPr>
          <w:b/>
          <w:bCs/>
        </w:rPr>
      </w:pPr>
      <w:r>
        <w:rPr>
          <w:rFonts w:hint="eastAsia"/>
          <w:b/>
          <w:bCs/>
        </w:rPr>
        <w:t>IDC interference caused by 3GPP UL CA or DC to the ISM/GNSS (together with victim type).</w:t>
      </w:r>
    </w:p>
    <w:p w14:paraId="68716D7D" w14:textId="7B968BE2" w:rsidR="00750BF6" w:rsidRDefault="00332F77">
      <w:r>
        <w:rPr>
          <w:rFonts w:hint="eastAsia"/>
        </w:rPr>
        <w:t>At network side, the network would determine how to move the 3GPP signal away from the ISM/GNSS band based on the UE reported center frequencies together with the interference direction or the victim type. The network may p</w:t>
      </w:r>
      <w:r w:rsidR="003A279C">
        <w:rPr>
          <w:rFonts w:hint="eastAsia"/>
        </w:rPr>
        <w:t>erform inter-frequency handover</w:t>
      </w:r>
      <w:r>
        <w:rPr>
          <w:rFonts w:hint="eastAsia"/>
        </w:rPr>
        <w:t xml:space="preserve">, removing </w:t>
      </w:r>
      <w:proofErr w:type="spellStart"/>
      <w:r>
        <w:rPr>
          <w:rFonts w:hint="eastAsia"/>
        </w:rPr>
        <w:t>SCells</w:t>
      </w:r>
      <w:proofErr w:type="spellEnd"/>
      <w:r>
        <w:rPr>
          <w:rFonts w:hint="eastAsia"/>
        </w:rPr>
        <w:t xml:space="preserve"> from the set of serving cells or de-activation of affected </w:t>
      </w:r>
      <w:proofErr w:type="spellStart"/>
      <w:r>
        <w:rPr>
          <w:rFonts w:hint="eastAsia"/>
        </w:rPr>
        <w:t>SCells</w:t>
      </w:r>
      <w:proofErr w:type="spellEnd"/>
      <w:r>
        <w:rPr>
          <w:rFonts w:hint="eastAsia"/>
        </w:rPr>
        <w:t>, or in case of uplink CA operations, allocate uplink PRB resources on CC(s) whose inter-modulation distortion and harmonics does not fall into the frequency range of the victim system receiver.</w:t>
      </w:r>
    </w:p>
    <w:p w14:paraId="628240D4" w14:textId="489AB055" w:rsidR="00750BF6" w:rsidRDefault="00332F77">
      <w:pPr>
        <w:rPr>
          <w:b/>
          <w:bCs/>
        </w:rPr>
      </w:pPr>
      <w:r>
        <w:rPr>
          <w:rFonts w:hint="eastAsia"/>
          <w:b/>
          <w:bCs/>
        </w:rPr>
        <w:t xml:space="preserve">Observation 3: As legacy FDM solution, when a frequency was affected by IDC interference, normally the network would </w:t>
      </w:r>
      <w:proofErr w:type="spellStart"/>
      <w:r>
        <w:rPr>
          <w:rFonts w:hint="eastAsia"/>
          <w:b/>
          <w:bCs/>
        </w:rPr>
        <w:t>handover</w:t>
      </w:r>
      <w:proofErr w:type="spellEnd"/>
      <w:r>
        <w:rPr>
          <w:rFonts w:hint="eastAsia"/>
          <w:b/>
          <w:bCs/>
        </w:rPr>
        <w:t xml:space="preserve"> the UE </w:t>
      </w:r>
      <w:r w:rsidR="00CB1AEB">
        <w:rPr>
          <w:b/>
          <w:bCs/>
        </w:rPr>
        <w:t>to</w:t>
      </w:r>
      <w:r w:rsidR="00CB1AEB">
        <w:rPr>
          <w:rFonts w:hint="eastAsia"/>
          <w:b/>
          <w:bCs/>
        </w:rPr>
        <w:t xml:space="preserve"> </w:t>
      </w:r>
      <w:r>
        <w:rPr>
          <w:rFonts w:hint="eastAsia"/>
          <w:b/>
          <w:bCs/>
        </w:rPr>
        <w:t>the other cell especially for the single carrier case.</w:t>
      </w:r>
    </w:p>
    <w:p w14:paraId="39FDFEDA" w14:textId="77777777" w:rsidR="00750BF6" w:rsidRDefault="00332F77">
      <w:pPr>
        <w:pStyle w:val="2"/>
        <w:ind w:left="576" w:hanging="576"/>
        <w:rPr>
          <w:rFonts w:eastAsia="宋体" w:cs="Arial"/>
          <w:b w:val="0"/>
          <w:bCs w:val="0"/>
          <w:color w:val="000000"/>
          <w:szCs w:val="22"/>
          <w:lang w:val="en-US"/>
        </w:rPr>
      </w:pPr>
      <w:r>
        <w:rPr>
          <w:rFonts w:eastAsia="宋体" w:cs="Arial" w:hint="eastAsia"/>
          <w:b w:val="0"/>
          <w:bCs w:val="0"/>
          <w:color w:val="000000"/>
          <w:szCs w:val="22"/>
          <w:lang w:val="en-US"/>
        </w:rPr>
        <w:t>2.2 FDM Enhancement</w:t>
      </w:r>
    </w:p>
    <w:p w14:paraId="6026B202" w14:textId="77777777" w:rsidR="00750BF6" w:rsidRDefault="00332F77">
      <w:r>
        <w:rPr>
          <w:rFonts w:hint="eastAsia"/>
        </w:rPr>
        <w:t>Based on these 3 observations, we</w:t>
      </w:r>
      <w:r>
        <w:t>’</w:t>
      </w:r>
      <w:r>
        <w:rPr>
          <w:rFonts w:hint="eastAsia"/>
        </w:rPr>
        <w:t>ll discuss the BWP/PRB based FDM enhancement in the next sub-chapters. For that the BWP is only configured for the Serving cell, we would like to discuss this issue from the serving frequency and non-serving frequency aspect.</w:t>
      </w:r>
    </w:p>
    <w:p w14:paraId="3BFE7D40" w14:textId="6C2D6486" w:rsidR="00C4247E" w:rsidRDefault="00332F77">
      <w:pPr>
        <w:rPr>
          <w:b/>
          <w:bCs/>
        </w:rPr>
      </w:pPr>
      <w:r>
        <w:rPr>
          <w:rFonts w:hint="eastAsia"/>
          <w:b/>
          <w:bCs/>
        </w:rPr>
        <w:t xml:space="preserve">Proposal </w:t>
      </w:r>
      <w:r w:rsidR="00CB1AEB">
        <w:rPr>
          <w:b/>
          <w:bCs/>
        </w:rPr>
        <w:t>1</w:t>
      </w:r>
      <w:r>
        <w:rPr>
          <w:rFonts w:hint="eastAsia"/>
          <w:b/>
          <w:bCs/>
        </w:rPr>
        <w:t>:</w:t>
      </w:r>
      <w:r w:rsidR="003B04F9">
        <w:rPr>
          <w:b/>
          <w:bCs/>
        </w:rPr>
        <w:t xml:space="preserve"> Considering</w:t>
      </w:r>
      <w:r>
        <w:rPr>
          <w:rFonts w:hint="eastAsia"/>
          <w:b/>
          <w:bCs/>
        </w:rPr>
        <w:t xml:space="preserve"> the BWP is only configured for </w:t>
      </w:r>
      <w:r w:rsidR="003B04F9">
        <w:rPr>
          <w:b/>
          <w:bCs/>
        </w:rPr>
        <w:t>s</w:t>
      </w:r>
      <w:r w:rsidR="003B04F9">
        <w:rPr>
          <w:rFonts w:hint="eastAsia"/>
          <w:b/>
          <w:bCs/>
        </w:rPr>
        <w:t xml:space="preserve">erving </w:t>
      </w:r>
      <w:r>
        <w:rPr>
          <w:rFonts w:hint="eastAsia"/>
          <w:b/>
          <w:bCs/>
        </w:rPr>
        <w:t>cell</w:t>
      </w:r>
      <w:r w:rsidR="003B04F9">
        <w:rPr>
          <w:b/>
          <w:bCs/>
        </w:rPr>
        <w:t>s</w:t>
      </w:r>
      <w:r>
        <w:rPr>
          <w:rFonts w:hint="eastAsia"/>
          <w:b/>
          <w:bCs/>
        </w:rPr>
        <w:t xml:space="preserve">, the FDM enhancement can be discussed for the serving frequency and non-serving frequency </w:t>
      </w:r>
      <w:r w:rsidR="00C4247E">
        <w:rPr>
          <w:b/>
          <w:bCs/>
        </w:rPr>
        <w:t>separately</w:t>
      </w:r>
      <w:r>
        <w:rPr>
          <w:rFonts w:hint="eastAsia"/>
          <w:b/>
          <w:bCs/>
        </w:rPr>
        <w:t>.</w:t>
      </w:r>
    </w:p>
    <w:p w14:paraId="41087476" w14:textId="77777777" w:rsidR="00750BF6" w:rsidRDefault="00332F77">
      <w:pPr>
        <w:pStyle w:val="3"/>
        <w:numPr>
          <w:ilvl w:val="2"/>
          <w:numId w:val="0"/>
        </w:numPr>
        <w:rPr>
          <w:b w:val="0"/>
          <w:bCs w:val="0"/>
          <w:lang w:val="en-US"/>
        </w:rPr>
      </w:pPr>
      <w:r>
        <w:rPr>
          <w:rFonts w:hint="eastAsia"/>
          <w:b w:val="0"/>
          <w:bCs w:val="0"/>
          <w:lang w:val="en-US"/>
        </w:rPr>
        <w:t>2.2.1 FDM Enhancement for the NR serving frequency</w:t>
      </w:r>
    </w:p>
    <w:p w14:paraId="5377B2CD" w14:textId="3C8F27B6" w:rsidR="00750BF6" w:rsidRDefault="00332F77" w:rsidP="00416F2C">
      <w:pPr>
        <w:rPr>
          <w:rFonts w:eastAsia="宋体" w:cs="Arial"/>
          <w:color w:val="000000"/>
          <w:kern w:val="0"/>
          <w:szCs w:val="22"/>
        </w:rPr>
      </w:pPr>
      <w:r>
        <w:rPr>
          <w:rFonts w:eastAsia="宋体" w:cs="Arial" w:hint="eastAsia"/>
          <w:color w:val="000000"/>
          <w:kern w:val="0"/>
          <w:szCs w:val="22"/>
        </w:rPr>
        <w:t xml:space="preserve">For the </w:t>
      </w:r>
      <w:r w:rsidR="007771F0">
        <w:rPr>
          <w:rFonts w:eastAsia="宋体" w:cs="Arial" w:hint="eastAsia"/>
          <w:color w:val="000000"/>
          <w:kern w:val="0"/>
          <w:szCs w:val="22"/>
        </w:rPr>
        <w:t>BWP-based reporting</w:t>
      </w:r>
      <w:r>
        <w:rPr>
          <w:rFonts w:eastAsia="宋体" w:cs="Arial" w:hint="eastAsia"/>
          <w:color w:val="000000"/>
          <w:kern w:val="0"/>
          <w:szCs w:val="22"/>
        </w:rPr>
        <w:t xml:space="preserve">, the UE would report which BWPs are affected (or not affected) by the IDC interference. Then the network can further determine how to solve the IDC issues, e.g. switch the UE to another BWP or handover the UE to another cell and so on. </w:t>
      </w:r>
    </w:p>
    <w:p w14:paraId="32133DA9" w14:textId="719B3A7C" w:rsidR="00750BF6" w:rsidRDefault="00332F77">
      <w:pPr>
        <w:rPr>
          <w:rFonts w:eastAsia="宋体" w:cs="Arial"/>
          <w:color w:val="000000"/>
          <w:kern w:val="0"/>
          <w:szCs w:val="22"/>
        </w:rPr>
      </w:pPr>
      <w:r>
        <w:rPr>
          <w:rFonts w:eastAsia="宋体" w:cs="Arial" w:hint="eastAsia"/>
          <w:color w:val="000000"/>
          <w:kern w:val="0"/>
          <w:szCs w:val="22"/>
        </w:rPr>
        <w:t xml:space="preserve">For the </w:t>
      </w:r>
      <w:r w:rsidR="007771F0">
        <w:rPr>
          <w:rFonts w:eastAsia="宋体" w:cs="Arial" w:hint="eastAsia"/>
          <w:color w:val="000000"/>
          <w:kern w:val="0"/>
          <w:szCs w:val="22"/>
        </w:rPr>
        <w:t>PRB-based reporting</w:t>
      </w:r>
      <w:r>
        <w:rPr>
          <w:rFonts w:eastAsia="宋体" w:cs="Arial" w:hint="eastAsia"/>
          <w:color w:val="000000"/>
          <w:kern w:val="0"/>
          <w:szCs w:val="22"/>
        </w:rPr>
        <w:t>, the UE would report which PRBs are affected (or not affected) by the IDC interference, then the network would determine the next action based on these information.</w:t>
      </w:r>
    </w:p>
    <w:p w14:paraId="27315869" w14:textId="04F93020" w:rsidR="00750BF6" w:rsidRDefault="00332F77">
      <w:pPr>
        <w:rPr>
          <w:rFonts w:eastAsia="宋体" w:cs="Arial"/>
          <w:color w:val="000000"/>
          <w:kern w:val="0"/>
          <w:szCs w:val="22"/>
        </w:rPr>
      </w:pPr>
      <w:r>
        <w:rPr>
          <w:rFonts w:eastAsia="宋体" w:cs="Arial" w:hint="eastAsia"/>
          <w:color w:val="000000"/>
          <w:kern w:val="0"/>
          <w:szCs w:val="22"/>
        </w:rPr>
        <w:t>Obviously, the PRB-based reporting can provide more IDC interference information then the BWP-based at the cost of a little more signaling overhead. So RAN2 shall discuss whether there is a need to report PRBs for the serving frequency.</w:t>
      </w:r>
    </w:p>
    <w:p w14:paraId="2B1969B8" w14:textId="66B7FEFC" w:rsidR="00750BF6" w:rsidRDefault="00332F77">
      <w:pPr>
        <w:rPr>
          <w:rFonts w:eastAsia="宋体" w:cs="Arial"/>
          <w:b/>
          <w:bCs/>
          <w:color w:val="000000"/>
          <w:kern w:val="0"/>
          <w:szCs w:val="22"/>
        </w:rPr>
      </w:pPr>
      <w:r>
        <w:rPr>
          <w:rFonts w:hint="eastAsia"/>
          <w:b/>
          <w:bCs/>
        </w:rPr>
        <w:t>Observation 4:</w:t>
      </w:r>
      <w:r>
        <w:rPr>
          <w:rFonts w:eastAsia="宋体" w:cs="Arial" w:hint="eastAsia"/>
          <w:b/>
          <w:bCs/>
          <w:color w:val="000000"/>
          <w:kern w:val="0"/>
          <w:szCs w:val="22"/>
        </w:rPr>
        <w:t xml:space="preserve"> PRB-based reporting can provide more IDC interference information th</w:t>
      </w:r>
      <w:r w:rsidR="005C21D4">
        <w:rPr>
          <w:rFonts w:eastAsia="宋体" w:cs="Arial"/>
          <w:b/>
          <w:bCs/>
          <w:color w:val="000000"/>
          <w:kern w:val="0"/>
          <w:szCs w:val="22"/>
        </w:rPr>
        <w:t>an</w:t>
      </w:r>
      <w:r>
        <w:rPr>
          <w:rFonts w:eastAsia="宋体" w:cs="Arial" w:hint="eastAsia"/>
          <w:b/>
          <w:bCs/>
          <w:color w:val="000000"/>
          <w:kern w:val="0"/>
          <w:szCs w:val="22"/>
        </w:rPr>
        <w:t xml:space="preserve"> the BWP-based, but it may need more signaling bits. </w:t>
      </w:r>
    </w:p>
    <w:p w14:paraId="689BE0A6" w14:textId="77777777" w:rsidR="00750BF6" w:rsidRDefault="00332F77">
      <w:pPr>
        <w:rPr>
          <w:rFonts w:eastAsia="宋体" w:cs="Arial"/>
          <w:color w:val="000000"/>
          <w:kern w:val="0"/>
          <w:szCs w:val="22"/>
        </w:rPr>
      </w:pPr>
      <w:r>
        <w:rPr>
          <w:rFonts w:eastAsia="宋体" w:cs="Arial" w:hint="eastAsia"/>
          <w:color w:val="000000"/>
          <w:kern w:val="0"/>
          <w:szCs w:val="22"/>
        </w:rPr>
        <w:t>For discussion convenience, we start from the single carrier case, then discuss the CA/DC scenario. For the single carrier case, it can be further divided into 2 scenarios:</w:t>
      </w:r>
    </w:p>
    <w:p w14:paraId="3F063F62" w14:textId="2B4B67A7" w:rsidR="00750BF6" w:rsidRDefault="00332F77">
      <w:pPr>
        <w:numPr>
          <w:ilvl w:val="0"/>
          <w:numId w:val="6"/>
        </w:numPr>
        <w:rPr>
          <w:rFonts w:eastAsia="宋体" w:cs="Arial"/>
          <w:color w:val="000000"/>
          <w:kern w:val="0"/>
          <w:szCs w:val="22"/>
        </w:rPr>
      </w:pPr>
      <w:r>
        <w:rPr>
          <w:rFonts w:eastAsia="宋体" w:cs="Arial" w:hint="eastAsia"/>
          <w:color w:val="000000"/>
          <w:kern w:val="0"/>
          <w:szCs w:val="22"/>
        </w:rPr>
        <w:t xml:space="preserve">Scenario 1: Only part </w:t>
      </w:r>
      <w:r w:rsidR="007A5C94">
        <w:rPr>
          <w:rFonts w:eastAsia="宋体" w:cs="Arial" w:hint="eastAsia"/>
          <w:color w:val="000000"/>
          <w:kern w:val="0"/>
          <w:szCs w:val="22"/>
        </w:rPr>
        <w:t>of configured BWPs are affected</w:t>
      </w:r>
      <w:r w:rsidR="007A5C94">
        <w:rPr>
          <w:rFonts w:eastAsia="宋体" w:cs="Arial"/>
          <w:color w:val="000000"/>
          <w:kern w:val="0"/>
          <w:szCs w:val="22"/>
        </w:rPr>
        <w:t>;</w:t>
      </w:r>
    </w:p>
    <w:p w14:paraId="6DBA6ED6" w14:textId="06D4357B" w:rsidR="00750BF6" w:rsidRDefault="00332F77">
      <w:pPr>
        <w:numPr>
          <w:ilvl w:val="0"/>
          <w:numId w:val="6"/>
        </w:numPr>
        <w:rPr>
          <w:rFonts w:eastAsia="宋体" w:cs="Arial"/>
          <w:color w:val="000000"/>
          <w:kern w:val="0"/>
          <w:szCs w:val="22"/>
        </w:rPr>
      </w:pPr>
      <w:r>
        <w:rPr>
          <w:rFonts w:eastAsia="宋体" w:cs="Arial" w:hint="eastAsia"/>
          <w:color w:val="000000"/>
          <w:kern w:val="0"/>
          <w:szCs w:val="22"/>
        </w:rPr>
        <w:lastRenderedPageBreak/>
        <w:t>Scenario 2: All of the configured BWPs are affected</w:t>
      </w:r>
      <w:r w:rsidR="007A5C94">
        <w:rPr>
          <w:rFonts w:eastAsia="宋体" w:cs="Arial"/>
          <w:color w:val="000000"/>
          <w:kern w:val="0"/>
          <w:szCs w:val="22"/>
        </w:rPr>
        <w:t>.</w:t>
      </w:r>
    </w:p>
    <w:p w14:paraId="243AF896" w14:textId="77777777" w:rsidR="00750BF6" w:rsidRDefault="00332F77">
      <w:r>
        <w:rPr>
          <w:rFonts w:eastAsia="宋体" w:cs="Arial" w:hint="eastAsia"/>
          <w:color w:val="000000"/>
          <w:kern w:val="0"/>
          <w:szCs w:val="22"/>
        </w:rPr>
        <w:t>For the scenario 1, take the below Fig.1 as an example, we assume that the</w:t>
      </w:r>
      <w:r>
        <w:rPr>
          <w:rFonts w:hint="eastAsia"/>
        </w:rPr>
        <w:t xml:space="preserve"> dedicated BWP1 was affected by the IDC interference.</w:t>
      </w:r>
    </w:p>
    <w:p w14:paraId="055F5B40" w14:textId="77777777" w:rsidR="00750BF6" w:rsidRDefault="00332F77">
      <w:pPr>
        <w:jc w:val="center"/>
      </w:pPr>
      <w:r>
        <w:rPr>
          <w:rFonts w:hint="eastAsia"/>
        </w:rPr>
        <w:object w:dxaOrig="8847" w:dyaOrig="2528" w14:anchorId="1E8D6B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4pt;height:126.7pt" o:ole="">
            <v:imagedata r:id="rId9" o:title=""/>
            <o:lock v:ext="edit" aspectratio="f"/>
          </v:shape>
          <o:OLEObject Type="Embed" ProgID="Visio.Drawing.15" ShapeID="_x0000_i1025" DrawAspect="Content" ObjectID="_1721647894" r:id="rId10"/>
        </w:object>
      </w:r>
    </w:p>
    <w:p w14:paraId="363C680A" w14:textId="77777777" w:rsidR="00750BF6" w:rsidRDefault="00332F77">
      <w:pPr>
        <w:jc w:val="center"/>
        <w:rPr>
          <w:b/>
          <w:bCs/>
        </w:rPr>
      </w:pPr>
      <w:r>
        <w:rPr>
          <w:rFonts w:hint="eastAsia"/>
          <w:b/>
          <w:bCs/>
        </w:rPr>
        <w:t>Fig 1: IDC Interference for the Scenario 1</w:t>
      </w:r>
    </w:p>
    <w:p w14:paraId="46700D8A" w14:textId="44137938" w:rsidR="00750BF6" w:rsidRDefault="00332F77">
      <w:r>
        <w:rPr>
          <w:rFonts w:hint="eastAsia"/>
        </w:rPr>
        <w:t xml:space="preserve">With the </w:t>
      </w:r>
      <w:r w:rsidR="007771F0">
        <w:rPr>
          <w:rFonts w:hint="eastAsia"/>
        </w:rPr>
        <w:t>BWP-based reporting</w:t>
      </w:r>
      <w:r>
        <w:rPr>
          <w:rFonts w:hint="eastAsia"/>
        </w:rPr>
        <w:t>, the UE can indicate the affected BWP1 (or the BWP2 that is not affected) to the network, then the network can switch the UE from the BWP1 to the BWP2.</w:t>
      </w:r>
    </w:p>
    <w:p w14:paraId="53C45307" w14:textId="33BA098A" w:rsidR="00750BF6" w:rsidRDefault="00332F77">
      <w:r>
        <w:rPr>
          <w:rFonts w:hint="eastAsia"/>
        </w:rPr>
        <w:t xml:space="preserve">With the </w:t>
      </w:r>
      <w:r w:rsidR="007771F0">
        <w:rPr>
          <w:rFonts w:hint="eastAsia"/>
        </w:rPr>
        <w:t>PRB-based reporting</w:t>
      </w:r>
      <w:r>
        <w:rPr>
          <w:rFonts w:hint="eastAsia"/>
        </w:rPr>
        <w:t>, the network would need to determine which BWP is still available based on the PRB info, which would also increase the network implementation complexity.</w:t>
      </w:r>
    </w:p>
    <w:p w14:paraId="2DB222F6" w14:textId="6BBD32E1" w:rsidR="00750BF6" w:rsidRDefault="00332F77">
      <w:pPr>
        <w:rPr>
          <w:b/>
          <w:bCs/>
        </w:rPr>
      </w:pPr>
      <w:r>
        <w:rPr>
          <w:rFonts w:hint="eastAsia"/>
          <w:b/>
          <w:bCs/>
        </w:rPr>
        <w:t>Observation 5: For the scenario 1</w:t>
      </w:r>
      <w:r w:rsidR="007A5C94" w:rsidRPr="007A5C94">
        <w:rPr>
          <w:b/>
          <w:bCs/>
        </w:rPr>
        <w:t xml:space="preserve"> (</w:t>
      </w:r>
      <w:r w:rsidR="007A5C94" w:rsidRPr="007A5C94">
        <w:rPr>
          <w:rFonts w:eastAsia="宋体" w:cs="Arial" w:hint="eastAsia"/>
          <w:b/>
          <w:color w:val="000000"/>
          <w:kern w:val="0"/>
          <w:szCs w:val="22"/>
        </w:rPr>
        <w:t>Only part of configured BWPs are affected</w:t>
      </w:r>
      <w:r w:rsidR="007A5C94" w:rsidRPr="007A5C94">
        <w:rPr>
          <w:rFonts w:eastAsia="宋体" w:cs="Arial"/>
          <w:b/>
          <w:color w:val="000000"/>
          <w:kern w:val="0"/>
          <w:szCs w:val="22"/>
        </w:rPr>
        <w:t>)</w:t>
      </w:r>
      <w:r>
        <w:rPr>
          <w:rFonts w:hint="eastAsia"/>
          <w:b/>
          <w:bCs/>
        </w:rPr>
        <w:t>, the BWP based reporting is simple from both signaling and network process</w:t>
      </w:r>
      <w:r w:rsidR="00831329">
        <w:rPr>
          <w:b/>
          <w:bCs/>
        </w:rPr>
        <w:t>ing</w:t>
      </w:r>
      <w:r>
        <w:rPr>
          <w:rFonts w:hint="eastAsia"/>
          <w:b/>
          <w:bCs/>
        </w:rPr>
        <w:t xml:space="preserve"> perspective.</w:t>
      </w:r>
    </w:p>
    <w:p w14:paraId="25F41508" w14:textId="77777777" w:rsidR="00750BF6" w:rsidRDefault="00332F77">
      <w:r>
        <w:rPr>
          <w:rFonts w:hint="eastAsia"/>
        </w:rPr>
        <w:t xml:space="preserve">For the scenario 2, we can take the below Fig 2 as an example: we assume that both dedicated BWP1 and BWP2 are affected by the IDC interference. </w:t>
      </w:r>
    </w:p>
    <w:p w14:paraId="1FD78955" w14:textId="77777777" w:rsidR="00750BF6" w:rsidRDefault="00332F77">
      <w:pPr>
        <w:jc w:val="center"/>
        <w:rPr>
          <w:b/>
          <w:bCs/>
        </w:rPr>
      </w:pPr>
      <w:r>
        <w:rPr>
          <w:rFonts w:hint="eastAsia"/>
        </w:rPr>
        <w:object w:dxaOrig="8301" w:dyaOrig="2147" w14:anchorId="325A45BC">
          <v:shape id="_x0000_i1026" type="#_x0000_t75" style="width:414pt;height:107.3pt" o:ole="">
            <v:imagedata r:id="rId11" o:title=""/>
            <o:lock v:ext="edit" aspectratio="f"/>
          </v:shape>
          <o:OLEObject Type="Embed" ProgID="Visio.Drawing.15" ShapeID="_x0000_i1026" DrawAspect="Content" ObjectID="_1721647895" r:id="rId12"/>
        </w:object>
      </w:r>
    </w:p>
    <w:p w14:paraId="2ABC48EA" w14:textId="77777777" w:rsidR="00750BF6" w:rsidRDefault="00332F77">
      <w:pPr>
        <w:jc w:val="center"/>
        <w:rPr>
          <w:b/>
          <w:bCs/>
        </w:rPr>
      </w:pPr>
      <w:r>
        <w:rPr>
          <w:rFonts w:hint="eastAsia"/>
          <w:b/>
          <w:bCs/>
        </w:rPr>
        <w:t>Fig 2: IDC Interference for the Scenario 2</w:t>
      </w:r>
    </w:p>
    <w:p w14:paraId="1445F3FB" w14:textId="30AA65C3" w:rsidR="00750BF6" w:rsidRDefault="00332F77">
      <w:r>
        <w:rPr>
          <w:rFonts w:hint="eastAsia"/>
        </w:rPr>
        <w:t xml:space="preserve">With the </w:t>
      </w:r>
      <w:r w:rsidR="007771F0">
        <w:rPr>
          <w:rFonts w:hint="eastAsia"/>
        </w:rPr>
        <w:t>BWP-based reporting</w:t>
      </w:r>
      <w:r>
        <w:rPr>
          <w:rFonts w:hint="eastAsia"/>
        </w:rPr>
        <w:t>, the UE would indicate both 2 dedicated BWPs, then the network would have to handover the UE to other cell with FDM solution.</w:t>
      </w:r>
    </w:p>
    <w:p w14:paraId="5AAD95C9" w14:textId="1B1515AB" w:rsidR="00750BF6" w:rsidRDefault="00332F77">
      <w:r>
        <w:rPr>
          <w:rFonts w:hint="eastAsia"/>
        </w:rPr>
        <w:t xml:space="preserve">With the </w:t>
      </w:r>
      <w:r w:rsidR="007771F0">
        <w:rPr>
          <w:rFonts w:hint="eastAsia"/>
        </w:rPr>
        <w:t>PRB-based reporting</w:t>
      </w:r>
      <w:r>
        <w:rPr>
          <w:rFonts w:hint="eastAsia"/>
        </w:rPr>
        <w:t>, the UE would report the dedicated affected PRBs, then the network can solve the IDC issue by either BWP reconfiguration or handover. However, for the BWP reconfiguration method, the bandwidth</w:t>
      </w:r>
      <w:r w:rsidR="00D20D12">
        <w:t xml:space="preserve"> of the </w:t>
      </w:r>
      <w:r w:rsidR="00D0637E">
        <w:t>reconfigu</w:t>
      </w:r>
      <w:r w:rsidR="00D20D12">
        <w:t>red BWP would be restricted by the IDC interference, which means that it’s not easy for the network to reconfigure the BWPs.</w:t>
      </w:r>
    </w:p>
    <w:p w14:paraId="5058234D" w14:textId="628FEB58" w:rsidR="00750BF6" w:rsidRPr="00D20D12" w:rsidRDefault="00332F77">
      <w:pPr>
        <w:rPr>
          <w:b/>
          <w:bCs/>
        </w:rPr>
      </w:pPr>
      <w:r w:rsidRPr="00D20D12">
        <w:rPr>
          <w:rFonts w:hint="eastAsia"/>
          <w:b/>
          <w:bCs/>
        </w:rPr>
        <w:t>Observation 6: For the scenario 2</w:t>
      </w:r>
      <w:r w:rsidR="007A5C94" w:rsidRPr="007A5C94">
        <w:rPr>
          <w:rFonts w:eastAsia="宋体" w:cs="Arial" w:hint="eastAsia"/>
          <w:b/>
          <w:color w:val="000000"/>
          <w:kern w:val="0"/>
          <w:szCs w:val="22"/>
        </w:rPr>
        <w:t xml:space="preserve"> </w:t>
      </w:r>
      <w:r w:rsidR="007A5C94" w:rsidRPr="007A5C94">
        <w:rPr>
          <w:rFonts w:eastAsia="宋体" w:cs="Arial"/>
          <w:b/>
          <w:color w:val="000000"/>
          <w:kern w:val="0"/>
          <w:szCs w:val="22"/>
        </w:rPr>
        <w:t>(</w:t>
      </w:r>
      <w:r w:rsidR="007A5C94" w:rsidRPr="007A5C94">
        <w:rPr>
          <w:rFonts w:eastAsia="宋体" w:cs="Arial" w:hint="eastAsia"/>
          <w:b/>
          <w:color w:val="000000"/>
          <w:kern w:val="0"/>
          <w:szCs w:val="22"/>
        </w:rPr>
        <w:t>All of the configured BWPs are affected</w:t>
      </w:r>
      <w:r w:rsidR="007A5C94" w:rsidRPr="007A5C94">
        <w:rPr>
          <w:rFonts w:eastAsia="宋体" w:cs="Arial"/>
          <w:b/>
          <w:color w:val="000000"/>
          <w:kern w:val="0"/>
          <w:szCs w:val="22"/>
        </w:rPr>
        <w:t>)</w:t>
      </w:r>
      <w:r w:rsidRPr="007A5C94">
        <w:rPr>
          <w:rFonts w:hint="eastAsia"/>
          <w:b/>
          <w:bCs/>
        </w:rPr>
        <w:t xml:space="preserve">, </w:t>
      </w:r>
      <w:r w:rsidR="00D20D12" w:rsidRPr="007A5C94">
        <w:rPr>
          <w:b/>
          <w:bCs/>
        </w:rPr>
        <w:t>eve</w:t>
      </w:r>
      <w:r w:rsidR="00D20D12" w:rsidRPr="00D20D12">
        <w:rPr>
          <w:b/>
          <w:bCs/>
        </w:rPr>
        <w:t xml:space="preserve">n </w:t>
      </w:r>
      <w:r w:rsidRPr="00D20D12">
        <w:rPr>
          <w:rFonts w:hint="eastAsia"/>
          <w:b/>
          <w:bCs/>
        </w:rPr>
        <w:t>with dedicated PRBs reporting,</w:t>
      </w:r>
      <w:r w:rsidR="00D20D12" w:rsidRPr="00D20D12">
        <w:rPr>
          <w:b/>
        </w:rPr>
        <w:t xml:space="preserve"> it may be not easy for the network to reconfigure the BWPs</w:t>
      </w:r>
      <w:r w:rsidRPr="00D20D12">
        <w:rPr>
          <w:rFonts w:hint="eastAsia"/>
          <w:b/>
          <w:bCs/>
        </w:rPr>
        <w:t>.</w:t>
      </w:r>
    </w:p>
    <w:p w14:paraId="604F0E4C" w14:textId="6D639723" w:rsidR="00750BF6" w:rsidRDefault="00332F77">
      <w:r>
        <w:rPr>
          <w:rFonts w:hint="eastAsia"/>
        </w:rPr>
        <w:lastRenderedPageBreak/>
        <w:t xml:space="preserve">The above </w:t>
      </w:r>
      <w:r w:rsidR="00D0637E">
        <w:t xml:space="preserve">discussion </w:t>
      </w:r>
      <w:r w:rsidR="00D0637E">
        <w:rPr>
          <w:rFonts w:hint="eastAsia"/>
        </w:rPr>
        <w:t xml:space="preserve">is </w:t>
      </w:r>
      <w:r w:rsidR="00D0637E">
        <w:t>for</w:t>
      </w:r>
      <w:r>
        <w:rPr>
          <w:rFonts w:hint="eastAsia"/>
        </w:rPr>
        <w:t xml:space="preserve"> the single CC case, for the CA/DC case, it would be more complex. Here we take the CA as an example. We assume that there are 2 CCs, for each CC there are 2 BWPs</w:t>
      </w:r>
      <w:r w:rsidR="00D0637E">
        <w:t xml:space="preserve">. We further assume that the IDC interference cased by UL CA are </w:t>
      </w:r>
      <w:r>
        <w:rPr>
          <w:rFonts w:hint="eastAsia"/>
        </w:rPr>
        <w:t>as below:</w:t>
      </w:r>
    </w:p>
    <w:p w14:paraId="53E464D5" w14:textId="591B9EEF" w:rsidR="00750BF6" w:rsidRDefault="00332F77">
      <w:pPr>
        <w:numPr>
          <w:ilvl w:val="0"/>
          <w:numId w:val="7"/>
        </w:numPr>
      </w:pPr>
      <w:r>
        <w:rPr>
          <w:rFonts w:hint="eastAsia"/>
        </w:rPr>
        <w:t>Cell 1: UL BWP 1  + Cell 2: UL BWP 1</w:t>
      </w:r>
      <w:r w:rsidR="00D0637E">
        <w:t>---No IDC interference to non-3gpp RAT</w:t>
      </w:r>
    </w:p>
    <w:p w14:paraId="7BFD1671" w14:textId="77777777" w:rsidR="00750BF6" w:rsidRDefault="00332F77">
      <w:pPr>
        <w:numPr>
          <w:ilvl w:val="0"/>
          <w:numId w:val="7"/>
        </w:numPr>
        <w:rPr>
          <w:color w:val="FF0000"/>
        </w:rPr>
      </w:pPr>
      <w:r>
        <w:rPr>
          <w:rFonts w:hint="eastAsia"/>
          <w:color w:val="FF0000"/>
        </w:rPr>
        <w:t>Cell 1: UL BWP 1  + Cell 2: UL BWP2----Have IDC interference to non-3gpp RAT</w:t>
      </w:r>
    </w:p>
    <w:p w14:paraId="3752EFCD" w14:textId="77777777" w:rsidR="00750BF6" w:rsidRDefault="00332F77">
      <w:pPr>
        <w:numPr>
          <w:ilvl w:val="0"/>
          <w:numId w:val="7"/>
        </w:numPr>
        <w:rPr>
          <w:color w:val="FF0000"/>
        </w:rPr>
      </w:pPr>
      <w:r>
        <w:rPr>
          <w:rFonts w:hint="eastAsia"/>
          <w:color w:val="FF0000"/>
        </w:rPr>
        <w:t>Cell 1: UL BWP2  + Cell 2: UL BWP 1 ---Have IDC interference to non-3gpp RAT</w:t>
      </w:r>
    </w:p>
    <w:p w14:paraId="03C663F8" w14:textId="5E1144DC" w:rsidR="00750BF6" w:rsidRDefault="00332F77">
      <w:pPr>
        <w:numPr>
          <w:ilvl w:val="0"/>
          <w:numId w:val="7"/>
        </w:numPr>
      </w:pPr>
      <w:r>
        <w:rPr>
          <w:rFonts w:hint="eastAsia"/>
        </w:rPr>
        <w:t>Cell 1: UL BWP2  + Cell 2: UL BWP2</w:t>
      </w:r>
      <w:r w:rsidR="00D0637E">
        <w:t xml:space="preserve"> ---No IDC interference to non-3gpp RAT</w:t>
      </w:r>
    </w:p>
    <w:p w14:paraId="6CF5C20F" w14:textId="11178E32" w:rsidR="00750BF6" w:rsidRDefault="00332F77">
      <w:r>
        <w:rPr>
          <w:rFonts w:hint="eastAsia"/>
        </w:rPr>
        <w:t xml:space="preserve">With the </w:t>
      </w:r>
      <w:r w:rsidR="007771F0">
        <w:rPr>
          <w:rFonts w:hint="eastAsia"/>
        </w:rPr>
        <w:t>BWP-based reporting</w:t>
      </w:r>
      <w:r>
        <w:rPr>
          <w:rFonts w:hint="eastAsia"/>
        </w:rPr>
        <w:t>, the UE can indicate the affected BWP combination (or the BWP combinations that are not affected) to the network, then the network can switch the UE to the available BWP combination</w:t>
      </w:r>
      <w:r w:rsidR="00D0637E">
        <w:t>.</w:t>
      </w:r>
    </w:p>
    <w:p w14:paraId="2B22B6A8" w14:textId="2A89D691" w:rsidR="00750BF6" w:rsidRDefault="00332F77">
      <w:r>
        <w:rPr>
          <w:rFonts w:hint="eastAsia"/>
        </w:rPr>
        <w:t xml:space="preserve">With the </w:t>
      </w:r>
      <w:r w:rsidR="007771F0">
        <w:rPr>
          <w:rFonts w:hint="eastAsia"/>
        </w:rPr>
        <w:t>PRB-based reporting</w:t>
      </w:r>
      <w:r>
        <w:rPr>
          <w:rFonts w:hint="eastAsia"/>
        </w:rPr>
        <w:t>, it may need to indicate different PRB ranges combination, then at the network side, it would need to determine which BWP combination are not affected by th</w:t>
      </w:r>
      <w:r w:rsidR="00D0637E">
        <w:rPr>
          <w:rFonts w:hint="eastAsia"/>
        </w:rPr>
        <w:t>e reported PRB</w:t>
      </w:r>
      <w:r w:rsidR="00D0637E">
        <w:t>-</w:t>
      </w:r>
      <w:r>
        <w:rPr>
          <w:rFonts w:hint="eastAsia"/>
        </w:rPr>
        <w:t>based IDC interference information.</w:t>
      </w:r>
    </w:p>
    <w:p w14:paraId="6DC61296" w14:textId="6CF9E7E9" w:rsidR="00750BF6" w:rsidRDefault="00332F77">
      <w:pPr>
        <w:rPr>
          <w:b/>
          <w:bCs/>
        </w:rPr>
      </w:pPr>
      <w:r>
        <w:rPr>
          <w:rFonts w:hint="eastAsia"/>
          <w:b/>
          <w:bCs/>
        </w:rPr>
        <w:t xml:space="preserve">Observation </w:t>
      </w:r>
      <w:r w:rsidR="00D20D12">
        <w:rPr>
          <w:b/>
          <w:bCs/>
        </w:rPr>
        <w:t>7</w:t>
      </w:r>
      <w:r>
        <w:rPr>
          <w:rFonts w:hint="eastAsia"/>
          <w:b/>
          <w:bCs/>
        </w:rPr>
        <w:t>: For the CA/DC case, it</w:t>
      </w:r>
      <w:r>
        <w:rPr>
          <w:b/>
          <w:bCs/>
        </w:rPr>
        <w:t>’</w:t>
      </w:r>
      <w:r>
        <w:rPr>
          <w:rFonts w:hint="eastAsia"/>
          <w:b/>
          <w:bCs/>
        </w:rPr>
        <w:t>s much complex to report PRB ranges combination from UE side. From the network side, it</w:t>
      </w:r>
      <w:r>
        <w:rPr>
          <w:b/>
          <w:bCs/>
        </w:rPr>
        <w:t>’</w:t>
      </w:r>
      <w:r>
        <w:rPr>
          <w:rFonts w:hint="eastAsia"/>
          <w:b/>
          <w:bCs/>
        </w:rPr>
        <w:t>s also much complex to derive the available BWP combinations based on the reported PRB information.</w:t>
      </w:r>
    </w:p>
    <w:p w14:paraId="62C3F03D" w14:textId="09021286" w:rsidR="00750BF6" w:rsidRDefault="007A5C94">
      <w:r>
        <w:t>A</w:t>
      </w:r>
      <w:r w:rsidR="00831329">
        <w:t>n</w:t>
      </w:r>
      <w:r w:rsidR="00332F77">
        <w:rPr>
          <w:rFonts w:hint="eastAsia"/>
        </w:rPr>
        <w:t>other difference</w:t>
      </w:r>
      <w:r>
        <w:t xml:space="preserve"> between the two </w:t>
      </w:r>
      <w:r>
        <w:rPr>
          <w:rFonts w:hint="eastAsia"/>
        </w:rPr>
        <w:t>scheme</w:t>
      </w:r>
      <w:r>
        <w:t>s</w:t>
      </w:r>
      <w:r w:rsidR="00332F77">
        <w:rPr>
          <w:rFonts w:hint="eastAsia"/>
        </w:rPr>
        <w:t xml:space="preserve"> is that when the BWP configuration change</w:t>
      </w:r>
      <w:r w:rsidR="00831329">
        <w:t>s</w:t>
      </w:r>
      <w:r w:rsidR="00332F77">
        <w:rPr>
          <w:rFonts w:hint="eastAsia"/>
        </w:rPr>
        <w:t>, the UE may need to report the BWP-level IDC interference</w:t>
      </w:r>
      <w:r>
        <w:t xml:space="preserve"> again</w:t>
      </w:r>
      <w:r w:rsidR="00332F77">
        <w:rPr>
          <w:rFonts w:hint="eastAsia"/>
        </w:rPr>
        <w:t>. However, such case can be seen as a corner case</w:t>
      </w:r>
      <w:r w:rsidR="00831329">
        <w:t>, because</w:t>
      </w:r>
      <w:r w:rsidR="00332F77">
        <w:rPr>
          <w:rFonts w:hint="eastAsia"/>
        </w:rPr>
        <w:t xml:space="preserve"> </w:t>
      </w:r>
      <w:r>
        <w:t>when</w:t>
      </w:r>
      <w:r w:rsidR="00332F77">
        <w:rPr>
          <w:rFonts w:hint="eastAsia"/>
        </w:rPr>
        <w:t xml:space="preserve"> the network reconfig</w:t>
      </w:r>
      <w:r w:rsidR="00831329">
        <w:t>ures</w:t>
      </w:r>
      <w:r w:rsidR="00332F77">
        <w:rPr>
          <w:rFonts w:hint="eastAsia"/>
        </w:rPr>
        <w:t xml:space="preserve"> the BWP, the previous report</w:t>
      </w:r>
      <w:r w:rsidR="00831329">
        <w:t>ed</w:t>
      </w:r>
      <w:r w:rsidR="00332F77">
        <w:rPr>
          <w:rFonts w:hint="eastAsia"/>
        </w:rPr>
        <w:t xml:space="preserve"> IDC info</w:t>
      </w:r>
      <w:r w:rsidR="00831329">
        <w:t>rmation</w:t>
      </w:r>
      <w:r w:rsidR="00332F77">
        <w:rPr>
          <w:rFonts w:hint="eastAsia"/>
        </w:rPr>
        <w:t xml:space="preserve"> </w:t>
      </w:r>
      <w:r>
        <w:t>would also</w:t>
      </w:r>
      <w:r w:rsidR="00332F77">
        <w:rPr>
          <w:rFonts w:hint="eastAsia"/>
        </w:rPr>
        <w:t xml:space="preserve"> be taken into consideration to avoid the on-going or potential IDC interference. </w:t>
      </w:r>
      <w:r>
        <w:t xml:space="preserve">Thus, for the NR serving frequency, the BWP-based </w:t>
      </w:r>
      <w:r w:rsidR="007771F0">
        <w:t>reporting</w:t>
      </w:r>
      <w:r>
        <w:t xml:space="preserve"> seems more appropriate.</w:t>
      </w:r>
    </w:p>
    <w:p w14:paraId="533728A0" w14:textId="5749915A" w:rsidR="00416F2C" w:rsidRDefault="00332F77" w:rsidP="00416F2C">
      <w:pPr>
        <w:rPr>
          <w:rFonts w:eastAsia="宋体" w:cs="Arial"/>
          <w:b/>
          <w:bCs/>
          <w:color w:val="000000"/>
          <w:kern w:val="0"/>
          <w:szCs w:val="22"/>
        </w:rPr>
      </w:pPr>
      <w:r>
        <w:rPr>
          <w:rFonts w:hint="eastAsia"/>
          <w:b/>
          <w:bCs/>
        </w:rPr>
        <w:t xml:space="preserve">Proposal </w:t>
      </w:r>
      <w:r w:rsidR="00416F2C">
        <w:rPr>
          <w:b/>
          <w:bCs/>
        </w:rPr>
        <w:t>2</w:t>
      </w:r>
      <w:r>
        <w:rPr>
          <w:rFonts w:hint="eastAsia"/>
          <w:b/>
          <w:bCs/>
        </w:rPr>
        <w:t xml:space="preserve">: For IDC interference that affect the NR serving frequency, take the BWP-based </w:t>
      </w:r>
      <w:r w:rsidR="00416F2C">
        <w:rPr>
          <w:b/>
          <w:bCs/>
        </w:rPr>
        <w:t>reporting</w:t>
      </w:r>
      <w:r>
        <w:rPr>
          <w:rFonts w:hint="eastAsia"/>
          <w:b/>
          <w:bCs/>
        </w:rPr>
        <w:t xml:space="preserve"> as baseline</w:t>
      </w:r>
      <w:r w:rsidR="00416F2C">
        <w:rPr>
          <w:b/>
          <w:bCs/>
        </w:rPr>
        <w:t xml:space="preserve">, </w:t>
      </w:r>
      <w:r w:rsidR="00416F2C">
        <w:rPr>
          <w:rFonts w:eastAsia="宋体" w:cs="Arial"/>
          <w:b/>
          <w:bCs/>
          <w:color w:val="000000"/>
          <w:kern w:val="0"/>
          <w:szCs w:val="22"/>
        </w:rPr>
        <w:t>FFS on the PRB-based reporting</w:t>
      </w:r>
      <w:r w:rsidR="00416F2C">
        <w:rPr>
          <w:rFonts w:eastAsia="宋体" w:cs="Arial" w:hint="eastAsia"/>
          <w:b/>
          <w:bCs/>
          <w:color w:val="000000"/>
          <w:kern w:val="0"/>
          <w:szCs w:val="22"/>
        </w:rPr>
        <w:t>.</w:t>
      </w:r>
    </w:p>
    <w:p w14:paraId="7AF07A38" w14:textId="5B0168B9" w:rsidR="00750BF6" w:rsidRDefault="00332F77">
      <w:r>
        <w:rPr>
          <w:rFonts w:hint="eastAsia"/>
        </w:rPr>
        <w:t xml:space="preserve">As described before, if </w:t>
      </w:r>
      <w:r w:rsidR="007771F0">
        <w:rPr>
          <w:rFonts w:hint="eastAsia"/>
        </w:rPr>
        <w:t>BWP-based</w:t>
      </w:r>
      <w:r>
        <w:rPr>
          <w:rFonts w:hint="eastAsia"/>
        </w:rPr>
        <w:t xml:space="preserve"> IDC reporting </w:t>
      </w:r>
      <w:r w:rsidR="00A64994">
        <w:t>is</w:t>
      </w:r>
      <w:r w:rsidR="00A64994">
        <w:rPr>
          <w:rFonts w:hint="eastAsia"/>
        </w:rPr>
        <w:t xml:space="preserve"> </w:t>
      </w:r>
      <w:r>
        <w:rPr>
          <w:rFonts w:hint="eastAsia"/>
        </w:rPr>
        <w:t>supported, the network may perform BWP switching/modification to solve the IDC interference</w:t>
      </w:r>
      <w:r w:rsidR="00A64994">
        <w:t xml:space="preserve"> problem</w:t>
      </w:r>
      <w:r>
        <w:rPr>
          <w:rFonts w:hint="eastAsia"/>
        </w:rPr>
        <w:t xml:space="preserve">, the general procedure can be </w:t>
      </w:r>
      <w:r w:rsidR="00A64994">
        <w:t xml:space="preserve">seen </w:t>
      </w:r>
      <w:r>
        <w:rPr>
          <w:rFonts w:hint="eastAsia"/>
        </w:rPr>
        <w:t>as below:</w:t>
      </w:r>
    </w:p>
    <w:p w14:paraId="768DAF80" w14:textId="77777777" w:rsidR="00750BF6" w:rsidRDefault="00C635C5">
      <w:pPr>
        <w:jc w:val="center"/>
      </w:pPr>
      <w:r>
        <w:rPr>
          <w:rFonts w:hint="eastAsia"/>
        </w:rPr>
        <w:object w:dxaOrig="4665" w:dyaOrig="3285" w14:anchorId="4C321231">
          <v:shape id="_x0000_i1027" type="#_x0000_t75" style="width:233.3pt;height:164.1pt" o:ole="">
            <v:imagedata r:id="rId13" o:title=""/>
            <o:lock v:ext="edit" aspectratio="f"/>
          </v:shape>
          <o:OLEObject Type="Embed" ProgID="Visio.Drawing.15" ShapeID="_x0000_i1027" DrawAspect="Content" ObjectID="_1721647896" r:id="rId14"/>
        </w:object>
      </w:r>
    </w:p>
    <w:p w14:paraId="19D4EC97" w14:textId="53402394" w:rsidR="00EA0047" w:rsidRPr="00EA0047" w:rsidRDefault="00EA0047">
      <w:pPr>
        <w:jc w:val="center"/>
      </w:pPr>
      <w:r>
        <w:rPr>
          <w:rFonts w:hint="eastAsia"/>
          <w:b/>
          <w:bCs/>
        </w:rPr>
        <w:t xml:space="preserve">Fig </w:t>
      </w:r>
      <w:r>
        <w:rPr>
          <w:b/>
          <w:bCs/>
        </w:rPr>
        <w:t>3</w:t>
      </w:r>
      <w:r>
        <w:rPr>
          <w:rFonts w:hint="eastAsia"/>
          <w:b/>
          <w:bCs/>
        </w:rPr>
        <w:t xml:space="preserve">: </w:t>
      </w:r>
      <w:r>
        <w:rPr>
          <w:b/>
          <w:bCs/>
        </w:rPr>
        <w:t xml:space="preserve">IDC interference with BWP </w:t>
      </w:r>
    </w:p>
    <w:p w14:paraId="3492B6C4" w14:textId="125F6241" w:rsidR="00750BF6" w:rsidRDefault="00E71D35">
      <w:pPr>
        <w:rPr>
          <w:b/>
          <w:bCs/>
        </w:rPr>
      </w:pPr>
      <w:r>
        <w:rPr>
          <w:b/>
          <w:bCs/>
        </w:rPr>
        <w:lastRenderedPageBreak/>
        <w:t>Proposal</w:t>
      </w:r>
      <w:r>
        <w:rPr>
          <w:rFonts w:hint="eastAsia"/>
          <w:b/>
          <w:bCs/>
        </w:rPr>
        <w:t xml:space="preserve"> </w:t>
      </w:r>
      <w:r w:rsidR="00416F2C">
        <w:rPr>
          <w:b/>
          <w:bCs/>
        </w:rPr>
        <w:t>3</w:t>
      </w:r>
      <w:r w:rsidR="00332F77">
        <w:rPr>
          <w:rFonts w:hint="eastAsia"/>
          <w:b/>
          <w:bCs/>
        </w:rPr>
        <w:t xml:space="preserve">: </w:t>
      </w:r>
      <w:r>
        <w:rPr>
          <w:b/>
          <w:bCs/>
        </w:rPr>
        <w:t>For the BWP-based reporting</w:t>
      </w:r>
      <w:r w:rsidR="00332F77">
        <w:rPr>
          <w:rFonts w:hint="eastAsia"/>
          <w:b/>
          <w:bCs/>
        </w:rPr>
        <w:t xml:space="preserve">, the network </w:t>
      </w:r>
      <w:r w:rsidR="007A5C94">
        <w:rPr>
          <w:b/>
          <w:bCs/>
        </w:rPr>
        <w:t>can</w:t>
      </w:r>
      <w:r w:rsidR="00332F77">
        <w:rPr>
          <w:rFonts w:hint="eastAsia"/>
          <w:b/>
          <w:bCs/>
        </w:rPr>
        <w:t xml:space="preserve"> perform BWP switching/modification to solve the IDC interference</w:t>
      </w:r>
      <w:r w:rsidR="007A5C94">
        <w:rPr>
          <w:b/>
          <w:bCs/>
        </w:rPr>
        <w:t xml:space="preserve"> for some cases.</w:t>
      </w:r>
    </w:p>
    <w:p w14:paraId="60F5972A" w14:textId="4B8E44D0" w:rsidR="00416F2C" w:rsidRDefault="00416F2C" w:rsidP="00416F2C">
      <w:pPr>
        <w:rPr>
          <w:rFonts w:eastAsia="宋体" w:cs="Arial"/>
          <w:color w:val="000000"/>
          <w:kern w:val="0"/>
          <w:szCs w:val="22"/>
        </w:rPr>
      </w:pPr>
      <w:r>
        <w:t>A</w:t>
      </w:r>
      <w:r>
        <w:rPr>
          <w:rFonts w:eastAsia="宋体" w:cs="Arial" w:hint="eastAsia"/>
          <w:color w:val="000000"/>
          <w:kern w:val="0"/>
          <w:szCs w:val="22"/>
        </w:rPr>
        <w:t>ccording to the legacy rule, both the on-going and the expected IDC interference shall be reported, so for the BWP based reporting, a configured BWP shall be considered.</w:t>
      </w:r>
    </w:p>
    <w:p w14:paraId="48B50BC9" w14:textId="3CD3C7AF" w:rsidR="00416F2C" w:rsidRDefault="00416F2C" w:rsidP="00416F2C">
      <w:pPr>
        <w:rPr>
          <w:rFonts w:eastAsia="宋体" w:cs="Arial"/>
          <w:color w:val="000000"/>
          <w:kern w:val="0"/>
          <w:szCs w:val="22"/>
        </w:rPr>
      </w:pPr>
      <w:r>
        <w:rPr>
          <w:rFonts w:hint="eastAsia"/>
          <w:b/>
          <w:bCs/>
        </w:rPr>
        <w:t xml:space="preserve">Proposal </w:t>
      </w:r>
      <w:r>
        <w:rPr>
          <w:b/>
          <w:bCs/>
        </w:rPr>
        <w:t>4</w:t>
      </w:r>
      <w:r>
        <w:rPr>
          <w:rFonts w:hint="eastAsia"/>
          <w:b/>
          <w:bCs/>
        </w:rPr>
        <w:t xml:space="preserve">: For </w:t>
      </w:r>
      <w:r>
        <w:rPr>
          <w:b/>
          <w:bCs/>
        </w:rPr>
        <w:t xml:space="preserve">the </w:t>
      </w:r>
      <w:r>
        <w:rPr>
          <w:rFonts w:hint="eastAsia"/>
          <w:b/>
          <w:bCs/>
        </w:rPr>
        <w:t>BW</w:t>
      </w:r>
      <w:r>
        <w:rPr>
          <w:b/>
          <w:bCs/>
        </w:rPr>
        <w:t xml:space="preserve">P-based </w:t>
      </w:r>
      <w:r>
        <w:rPr>
          <w:rFonts w:hint="eastAsia"/>
          <w:b/>
          <w:bCs/>
        </w:rPr>
        <w:t>reporting, all of the configured BWPs (instead of the active BWP) shall be considered.</w:t>
      </w:r>
    </w:p>
    <w:p w14:paraId="7B7A3B04" w14:textId="25CCF6A4" w:rsidR="00750BF6" w:rsidRDefault="00416F2C">
      <w:r>
        <w:rPr>
          <w:b/>
          <w:bCs/>
        </w:rPr>
        <w:t xml:space="preserve">Furthermore, </w:t>
      </w:r>
      <w:r>
        <w:rPr>
          <w:rFonts w:hint="eastAsia"/>
        </w:rPr>
        <w:t>there are two options</w:t>
      </w:r>
      <w:r>
        <w:t xml:space="preserve"> f</w:t>
      </w:r>
      <w:r>
        <w:rPr>
          <w:rFonts w:hint="eastAsia"/>
        </w:rPr>
        <w:t>or the BWP</w:t>
      </w:r>
      <w:r>
        <w:t xml:space="preserve">-based </w:t>
      </w:r>
      <w:r>
        <w:rPr>
          <w:rFonts w:hint="eastAsia"/>
        </w:rPr>
        <w:t>IDC reporting,</w:t>
      </w:r>
    </w:p>
    <w:p w14:paraId="1B37030A" w14:textId="2BA30ABC" w:rsidR="00750BF6" w:rsidRDefault="00332F77">
      <w:pPr>
        <w:numPr>
          <w:ilvl w:val="0"/>
          <w:numId w:val="6"/>
        </w:numPr>
      </w:pPr>
      <w:r>
        <w:rPr>
          <w:rFonts w:hint="eastAsia"/>
        </w:rPr>
        <w:t>Option 1: The configured BWP that affected by the IDC interference</w:t>
      </w:r>
    </w:p>
    <w:p w14:paraId="287C5067" w14:textId="77777777" w:rsidR="00750BF6" w:rsidRDefault="00332F77">
      <w:pPr>
        <w:numPr>
          <w:ilvl w:val="0"/>
          <w:numId w:val="6"/>
        </w:numPr>
      </w:pPr>
      <w:r>
        <w:rPr>
          <w:rFonts w:hint="eastAsia"/>
        </w:rPr>
        <w:t>Option 2: The configured BWP that not affected by the IDC interference.</w:t>
      </w:r>
    </w:p>
    <w:p w14:paraId="44255AFB" w14:textId="77777777" w:rsidR="00750BF6" w:rsidRDefault="00332F77">
      <w:r>
        <w:rPr>
          <w:rFonts w:hint="eastAsia"/>
        </w:rPr>
        <w:t>For the Option 1, the network has to determine the available BWP based on the reported information, while for the option 2, the network only need to select available BWP from the UE reported.</w:t>
      </w:r>
    </w:p>
    <w:p w14:paraId="682027AC" w14:textId="14F9679A" w:rsidR="00750BF6" w:rsidRDefault="00332F77">
      <w:pPr>
        <w:rPr>
          <w:b/>
          <w:bCs/>
        </w:rPr>
      </w:pPr>
      <w:r>
        <w:rPr>
          <w:rFonts w:hint="eastAsia"/>
          <w:b/>
          <w:bCs/>
        </w:rPr>
        <w:t xml:space="preserve">Proposal </w:t>
      </w:r>
      <w:r w:rsidR="007771F0">
        <w:rPr>
          <w:b/>
          <w:bCs/>
        </w:rPr>
        <w:t>5</w:t>
      </w:r>
      <w:r>
        <w:rPr>
          <w:rFonts w:hint="eastAsia"/>
          <w:b/>
          <w:bCs/>
        </w:rPr>
        <w:t xml:space="preserve">: If </w:t>
      </w:r>
      <w:r w:rsidR="007771F0">
        <w:rPr>
          <w:rFonts w:hint="eastAsia"/>
          <w:b/>
          <w:bCs/>
        </w:rPr>
        <w:t>BWP-based</w:t>
      </w:r>
      <w:r>
        <w:rPr>
          <w:rFonts w:hint="eastAsia"/>
          <w:b/>
          <w:bCs/>
        </w:rPr>
        <w:t xml:space="preserve"> IDC reporting was supported, </w:t>
      </w:r>
      <w:r w:rsidR="00A64994">
        <w:rPr>
          <w:b/>
          <w:bCs/>
        </w:rPr>
        <w:t>RAN2</w:t>
      </w:r>
      <w:r w:rsidR="00A64994">
        <w:rPr>
          <w:rFonts w:hint="eastAsia"/>
          <w:b/>
          <w:bCs/>
        </w:rPr>
        <w:t xml:space="preserve"> </w:t>
      </w:r>
      <w:r>
        <w:rPr>
          <w:rFonts w:hint="eastAsia"/>
          <w:b/>
          <w:bCs/>
        </w:rPr>
        <w:t xml:space="preserve">to discuss which option </w:t>
      </w:r>
      <w:r w:rsidR="00E71D35">
        <w:rPr>
          <w:rFonts w:hint="eastAsia"/>
          <w:b/>
          <w:bCs/>
        </w:rPr>
        <w:t>is preferred</w:t>
      </w:r>
      <w:r w:rsidR="00E71D35">
        <w:rPr>
          <w:b/>
          <w:bCs/>
        </w:rPr>
        <w:t>:</w:t>
      </w:r>
    </w:p>
    <w:p w14:paraId="0E5146A8" w14:textId="77777777" w:rsidR="00E71D35" w:rsidRPr="00E71D35" w:rsidRDefault="00E71D35" w:rsidP="00E71D35">
      <w:pPr>
        <w:numPr>
          <w:ilvl w:val="0"/>
          <w:numId w:val="6"/>
        </w:numPr>
        <w:rPr>
          <w:b/>
        </w:rPr>
      </w:pPr>
      <w:r w:rsidRPr="00E71D35">
        <w:rPr>
          <w:rFonts w:hint="eastAsia"/>
          <w:b/>
        </w:rPr>
        <w:t>Option 1: The configured BWP that affected by the IDC interference</w:t>
      </w:r>
    </w:p>
    <w:p w14:paraId="5F10637C" w14:textId="77777777" w:rsidR="00E71D35" w:rsidRPr="00E71D35" w:rsidRDefault="00E71D35" w:rsidP="00E71D35">
      <w:pPr>
        <w:numPr>
          <w:ilvl w:val="0"/>
          <w:numId w:val="6"/>
        </w:numPr>
        <w:rPr>
          <w:b/>
        </w:rPr>
      </w:pPr>
      <w:r w:rsidRPr="00E71D35">
        <w:rPr>
          <w:rFonts w:hint="eastAsia"/>
          <w:b/>
        </w:rPr>
        <w:t>Option 2: The configured BWP that not affected by the IDC interference.</w:t>
      </w:r>
    </w:p>
    <w:p w14:paraId="349EDF2E" w14:textId="77777777" w:rsidR="00750BF6" w:rsidRDefault="00332F77">
      <w:pPr>
        <w:pStyle w:val="3"/>
        <w:numPr>
          <w:ilvl w:val="2"/>
          <w:numId w:val="0"/>
        </w:numPr>
        <w:rPr>
          <w:b w:val="0"/>
          <w:bCs w:val="0"/>
          <w:lang w:val="en-US"/>
        </w:rPr>
      </w:pPr>
      <w:r>
        <w:rPr>
          <w:rFonts w:hint="eastAsia"/>
          <w:b w:val="0"/>
          <w:bCs w:val="0"/>
          <w:lang w:val="en-US"/>
        </w:rPr>
        <w:t>2.2.2 FDM Enhancement for the other frequency</w:t>
      </w:r>
    </w:p>
    <w:p w14:paraId="4DE4BE8D" w14:textId="1D4A8C99" w:rsidR="00750BF6" w:rsidRDefault="00332F77">
      <w:r>
        <w:rPr>
          <w:rFonts w:hint="eastAsia"/>
        </w:rPr>
        <w:t xml:space="preserve">Besides NR serving frequency, the UE can also report the </w:t>
      </w:r>
      <w:r w:rsidR="00EA0047">
        <w:t xml:space="preserve">IDC interference with </w:t>
      </w:r>
      <w:r w:rsidR="003B04F9">
        <w:rPr>
          <w:rFonts w:hint="eastAsia"/>
        </w:rPr>
        <w:t>EUTRA</w:t>
      </w:r>
      <w:r>
        <w:rPr>
          <w:rFonts w:hint="eastAsia"/>
        </w:rPr>
        <w:t xml:space="preserve"> frequency and the NR non serving frequency. For these frequencies, no BWP are configured. So the FDM solution can </w:t>
      </w:r>
      <w:r w:rsidR="00EA0047">
        <w:t xml:space="preserve">only </w:t>
      </w:r>
      <w:r>
        <w:rPr>
          <w:rFonts w:hint="eastAsia"/>
        </w:rPr>
        <w:t xml:space="preserve">be enhanced from the PRB aspect. E.g. report the affected PRB (or the not affected PRB). For the NR non-serving frequency, if it was affected by the IDC interference, it would be reported with carrier info in the legacy </w:t>
      </w:r>
      <w:proofErr w:type="spellStart"/>
      <w:r>
        <w:rPr>
          <w:rFonts w:hint="eastAsia"/>
        </w:rPr>
        <w:t>signalling</w:t>
      </w:r>
      <w:proofErr w:type="spellEnd"/>
      <w:r>
        <w:rPr>
          <w:rFonts w:hint="eastAsia"/>
        </w:rPr>
        <w:t xml:space="preserve"> and the network would avoid to handover the UE to that carrier.</w:t>
      </w:r>
    </w:p>
    <w:p w14:paraId="5B6F1511" w14:textId="50007A5C" w:rsidR="00750BF6" w:rsidRDefault="00332F77">
      <w:r>
        <w:rPr>
          <w:rFonts w:hint="eastAsia"/>
        </w:rPr>
        <w:t xml:space="preserve">If the PRB level info </w:t>
      </w:r>
      <w:r w:rsidR="00A64994">
        <w:t>is</w:t>
      </w:r>
      <w:r w:rsidR="00A64994">
        <w:rPr>
          <w:rFonts w:hint="eastAsia"/>
        </w:rPr>
        <w:t xml:space="preserve"> </w:t>
      </w:r>
      <w:r>
        <w:rPr>
          <w:rFonts w:hint="eastAsia"/>
        </w:rPr>
        <w:t xml:space="preserve">reported for the non-serving frequency, the network may select the cell on that non-serving frequency but </w:t>
      </w:r>
      <w:r w:rsidR="00A64994">
        <w:t xml:space="preserve">to </w:t>
      </w:r>
      <w:r>
        <w:rPr>
          <w:rFonts w:hint="eastAsia"/>
        </w:rPr>
        <w:t>avoid allocat</w:t>
      </w:r>
      <w:r w:rsidR="00A64994">
        <w:t>ing</w:t>
      </w:r>
      <w:r>
        <w:rPr>
          <w:rFonts w:hint="eastAsia"/>
        </w:rPr>
        <w:t xml:space="preserve"> the PRB</w:t>
      </w:r>
      <w:r w:rsidR="00EA0047">
        <w:t>s</w:t>
      </w:r>
      <w:r>
        <w:rPr>
          <w:rFonts w:hint="eastAsia"/>
        </w:rPr>
        <w:t xml:space="preserve"> that </w:t>
      </w:r>
      <w:r w:rsidR="00A64994">
        <w:t xml:space="preserve">are </w:t>
      </w:r>
      <w:r>
        <w:rPr>
          <w:rFonts w:hint="eastAsia"/>
        </w:rPr>
        <w:t xml:space="preserve">affected by IDC interference. </w:t>
      </w:r>
    </w:p>
    <w:p w14:paraId="4F8811F4" w14:textId="122337FD" w:rsidR="00750BF6" w:rsidRDefault="00332F77">
      <w:r>
        <w:rPr>
          <w:rFonts w:hint="eastAsia"/>
        </w:rPr>
        <w:t>However, it</w:t>
      </w:r>
      <w:r>
        <w:t>’</w:t>
      </w:r>
      <w:r>
        <w:rPr>
          <w:rFonts w:hint="eastAsia"/>
        </w:rPr>
        <w:t>s for the non-serving frequency, so it may even not be used at network side especially for the case that the network can solve the existing IDC interference by BWP switching.</w:t>
      </w:r>
    </w:p>
    <w:p w14:paraId="68F4670D" w14:textId="59AD5FCF" w:rsidR="00750BF6" w:rsidRDefault="00E71D35">
      <w:pPr>
        <w:rPr>
          <w:rFonts w:eastAsia="宋体" w:cs="Arial"/>
          <w:b/>
          <w:bCs/>
          <w:color w:val="000000"/>
          <w:kern w:val="0"/>
          <w:szCs w:val="22"/>
        </w:rPr>
      </w:pPr>
      <w:r>
        <w:rPr>
          <w:rFonts w:eastAsia="宋体" w:cs="Arial" w:hint="eastAsia"/>
          <w:b/>
          <w:bCs/>
          <w:color w:val="000000"/>
          <w:kern w:val="0"/>
          <w:szCs w:val="22"/>
        </w:rPr>
        <w:t xml:space="preserve">Proposal </w:t>
      </w:r>
      <w:r w:rsidR="007771F0">
        <w:rPr>
          <w:rFonts w:eastAsia="宋体" w:cs="Arial"/>
          <w:b/>
          <w:bCs/>
          <w:color w:val="000000"/>
          <w:kern w:val="0"/>
          <w:szCs w:val="22"/>
        </w:rPr>
        <w:t>6</w:t>
      </w:r>
      <w:r w:rsidR="00332F77">
        <w:rPr>
          <w:rFonts w:eastAsia="宋体" w:cs="Arial" w:hint="eastAsia"/>
          <w:b/>
          <w:bCs/>
          <w:color w:val="000000"/>
          <w:kern w:val="0"/>
          <w:szCs w:val="22"/>
        </w:rPr>
        <w:t xml:space="preserve">: RAN2 to discuss whether to </w:t>
      </w:r>
      <w:r w:rsidR="00A64994">
        <w:rPr>
          <w:rFonts w:eastAsia="宋体" w:cs="Arial"/>
          <w:b/>
          <w:bCs/>
          <w:color w:val="000000"/>
          <w:kern w:val="0"/>
          <w:szCs w:val="22"/>
        </w:rPr>
        <w:t>consider</w:t>
      </w:r>
      <w:r w:rsidR="00A64994">
        <w:rPr>
          <w:rFonts w:eastAsia="宋体" w:cs="Arial" w:hint="eastAsia"/>
          <w:b/>
          <w:bCs/>
          <w:color w:val="000000"/>
          <w:kern w:val="0"/>
          <w:szCs w:val="22"/>
        </w:rPr>
        <w:t xml:space="preserve"> </w:t>
      </w:r>
      <w:r w:rsidR="00332F77">
        <w:rPr>
          <w:rFonts w:eastAsia="宋体" w:cs="Arial" w:hint="eastAsia"/>
          <w:b/>
          <w:bCs/>
          <w:color w:val="000000"/>
          <w:kern w:val="0"/>
          <w:szCs w:val="22"/>
        </w:rPr>
        <w:t>FDM enhancement (</w:t>
      </w:r>
      <w:r w:rsidR="00EA0047">
        <w:rPr>
          <w:rFonts w:eastAsia="宋体" w:cs="Arial"/>
          <w:b/>
          <w:bCs/>
          <w:color w:val="000000"/>
          <w:kern w:val="0"/>
          <w:szCs w:val="22"/>
        </w:rPr>
        <w:t xml:space="preserve">e.g. </w:t>
      </w:r>
      <w:r w:rsidR="00332F77">
        <w:rPr>
          <w:rFonts w:eastAsia="宋体" w:cs="Arial" w:hint="eastAsia"/>
          <w:b/>
          <w:bCs/>
          <w:color w:val="000000"/>
          <w:kern w:val="0"/>
          <w:szCs w:val="22"/>
        </w:rPr>
        <w:t xml:space="preserve">PRB level reporting) for the non-serving frequency and also the </w:t>
      </w:r>
      <w:r w:rsidR="003B04F9">
        <w:rPr>
          <w:rFonts w:eastAsia="宋体" w:cs="Arial" w:hint="eastAsia"/>
          <w:b/>
          <w:bCs/>
          <w:color w:val="000000"/>
          <w:kern w:val="0"/>
          <w:szCs w:val="22"/>
        </w:rPr>
        <w:t>EUTRA</w:t>
      </w:r>
      <w:r w:rsidR="00332F77">
        <w:rPr>
          <w:rFonts w:eastAsia="宋体" w:cs="Arial" w:hint="eastAsia"/>
          <w:b/>
          <w:bCs/>
          <w:color w:val="000000"/>
          <w:kern w:val="0"/>
          <w:szCs w:val="22"/>
        </w:rPr>
        <w:t xml:space="preserve"> frequency.</w:t>
      </w:r>
    </w:p>
    <w:p w14:paraId="03223C49" w14:textId="2D15379B" w:rsidR="00750BF6" w:rsidRDefault="00332F77">
      <w:r>
        <w:rPr>
          <w:rFonts w:hint="eastAsia"/>
        </w:rPr>
        <w:t>Furthermore, as in the observation 2, there are 2 different IDC interference</w:t>
      </w:r>
      <w:r w:rsidR="00C635C5">
        <w:t xml:space="preserve"> types</w:t>
      </w:r>
      <w:r>
        <w:rPr>
          <w:rFonts w:hint="eastAsia"/>
        </w:rPr>
        <w:t>:</w:t>
      </w:r>
    </w:p>
    <w:p w14:paraId="536F78D6" w14:textId="77777777" w:rsidR="00750BF6" w:rsidRPr="00C73D23" w:rsidRDefault="00332F77">
      <w:pPr>
        <w:numPr>
          <w:ilvl w:val="0"/>
          <w:numId w:val="6"/>
        </w:numPr>
        <w:rPr>
          <w:bCs/>
        </w:rPr>
      </w:pPr>
      <w:r w:rsidRPr="00C73D23">
        <w:rPr>
          <w:rFonts w:hint="eastAsia"/>
          <w:bCs/>
        </w:rPr>
        <w:t>IDC interference from or to 3GPP single carrier (together with interference direction);</w:t>
      </w:r>
    </w:p>
    <w:p w14:paraId="767B8C0C" w14:textId="77777777" w:rsidR="00750BF6" w:rsidRPr="00C73D23" w:rsidRDefault="00332F77">
      <w:pPr>
        <w:numPr>
          <w:ilvl w:val="0"/>
          <w:numId w:val="6"/>
        </w:numPr>
        <w:rPr>
          <w:bCs/>
        </w:rPr>
      </w:pPr>
      <w:r w:rsidRPr="00C73D23">
        <w:rPr>
          <w:rFonts w:hint="eastAsia"/>
          <w:bCs/>
        </w:rPr>
        <w:t>IDC interference caused by 3GPP UL CA or DC to the ISM/GNSS (together with victim type).</w:t>
      </w:r>
    </w:p>
    <w:p w14:paraId="7CB8A530" w14:textId="694EAD6B" w:rsidR="00750BF6" w:rsidRDefault="00332F77">
      <w:r>
        <w:rPr>
          <w:rFonts w:hint="eastAsia"/>
        </w:rPr>
        <w:t xml:space="preserve">For </w:t>
      </w:r>
      <w:r w:rsidR="00C635C5">
        <w:t xml:space="preserve">the </w:t>
      </w:r>
      <w:r>
        <w:rPr>
          <w:rFonts w:hint="eastAsia"/>
        </w:rPr>
        <w:t xml:space="preserve">type 1, if PRB level was supported, the UE would report the affected PRB ranges for the corresponding </w:t>
      </w:r>
      <w:r w:rsidR="00C635C5">
        <w:t>carrier</w:t>
      </w:r>
      <w:r>
        <w:rPr>
          <w:rFonts w:hint="eastAsia"/>
        </w:rPr>
        <w:t>. But for</w:t>
      </w:r>
      <w:r w:rsidR="00C635C5">
        <w:t xml:space="preserve"> the</w:t>
      </w:r>
      <w:r>
        <w:rPr>
          <w:rFonts w:hint="eastAsia"/>
        </w:rPr>
        <w:t xml:space="preserve"> type 2, it would mean that the UE need</w:t>
      </w:r>
      <w:r w:rsidR="00A64994">
        <w:t>s</w:t>
      </w:r>
      <w:r>
        <w:rPr>
          <w:rFonts w:hint="eastAsia"/>
        </w:rPr>
        <w:t xml:space="preserve"> to report PRB range combination</w:t>
      </w:r>
      <w:r w:rsidR="00A64994">
        <w:t>s</w:t>
      </w:r>
      <w:r>
        <w:rPr>
          <w:rFonts w:hint="eastAsia"/>
        </w:rPr>
        <w:t>, which would be more complex.</w:t>
      </w:r>
      <w:r w:rsidR="00C635C5">
        <w:t xml:space="preserve"> </w:t>
      </w:r>
      <w:r w:rsidR="00C635C5">
        <w:lastRenderedPageBreak/>
        <w:t>To reduce the complexity, the PRB-based reporting can be only support for the single carrier case.</w:t>
      </w:r>
    </w:p>
    <w:p w14:paraId="52A613F4" w14:textId="6E6002F3" w:rsidR="00750BF6" w:rsidRDefault="00332F77">
      <w:r>
        <w:rPr>
          <w:rFonts w:eastAsia="宋体" w:cs="Arial" w:hint="eastAsia"/>
          <w:b/>
          <w:bCs/>
          <w:color w:val="000000"/>
          <w:kern w:val="0"/>
          <w:szCs w:val="22"/>
        </w:rPr>
        <w:t>Prop</w:t>
      </w:r>
      <w:r w:rsidR="00C73D23">
        <w:rPr>
          <w:rFonts w:eastAsia="宋体" w:cs="Arial" w:hint="eastAsia"/>
          <w:b/>
          <w:bCs/>
          <w:color w:val="000000"/>
          <w:kern w:val="0"/>
          <w:szCs w:val="22"/>
        </w:rPr>
        <w:t xml:space="preserve">osal </w:t>
      </w:r>
      <w:r w:rsidR="007771F0">
        <w:rPr>
          <w:rFonts w:eastAsia="宋体" w:cs="Arial"/>
          <w:b/>
          <w:bCs/>
          <w:color w:val="000000"/>
          <w:kern w:val="0"/>
          <w:szCs w:val="22"/>
        </w:rPr>
        <w:t>7</w:t>
      </w:r>
      <w:r w:rsidR="00C73D23">
        <w:rPr>
          <w:rFonts w:eastAsia="宋体" w:cs="Arial" w:hint="eastAsia"/>
          <w:b/>
          <w:bCs/>
          <w:color w:val="000000"/>
          <w:kern w:val="0"/>
          <w:szCs w:val="22"/>
        </w:rPr>
        <w:t>: If FDM enhancement (PRB</w:t>
      </w:r>
      <w:r w:rsidR="00C73D23">
        <w:rPr>
          <w:rFonts w:eastAsia="宋体" w:cs="Arial"/>
          <w:b/>
          <w:bCs/>
          <w:color w:val="000000"/>
          <w:kern w:val="0"/>
          <w:szCs w:val="22"/>
        </w:rPr>
        <w:t xml:space="preserve">-based </w:t>
      </w:r>
      <w:r>
        <w:rPr>
          <w:rFonts w:eastAsia="宋体" w:cs="Arial" w:hint="eastAsia"/>
          <w:b/>
          <w:bCs/>
          <w:color w:val="000000"/>
          <w:kern w:val="0"/>
          <w:szCs w:val="22"/>
        </w:rPr>
        <w:t xml:space="preserve">reporting) for the non-serving frequency </w:t>
      </w:r>
      <w:r w:rsidR="00A64994">
        <w:rPr>
          <w:rFonts w:eastAsia="宋体" w:cs="Arial"/>
          <w:b/>
          <w:bCs/>
          <w:color w:val="000000"/>
          <w:kern w:val="0"/>
          <w:szCs w:val="22"/>
        </w:rPr>
        <w:t>is</w:t>
      </w:r>
      <w:r w:rsidR="00A64994">
        <w:rPr>
          <w:rFonts w:eastAsia="宋体" w:cs="Arial" w:hint="eastAsia"/>
          <w:b/>
          <w:bCs/>
          <w:color w:val="000000"/>
          <w:kern w:val="0"/>
          <w:szCs w:val="22"/>
        </w:rPr>
        <w:t xml:space="preserve"> </w:t>
      </w:r>
      <w:r>
        <w:rPr>
          <w:rFonts w:eastAsia="宋体" w:cs="Arial" w:hint="eastAsia"/>
          <w:b/>
          <w:bCs/>
          <w:color w:val="000000"/>
          <w:kern w:val="0"/>
          <w:szCs w:val="22"/>
        </w:rPr>
        <w:t xml:space="preserve">supported, </w:t>
      </w:r>
      <w:r w:rsidR="00C73D23">
        <w:rPr>
          <w:rFonts w:eastAsia="宋体" w:cs="Arial"/>
          <w:b/>
          <w:bCs/>
          <w:color w:val="000000"/>
          <w:kern w:val="0"/>
          <w:szCs w:val="22"/>
        </w:rPr>
        <w:t>only support PRB-based reporting for the single carrier.</w:t>
      </w:r>
    </w:p>
    <w:p w14:paraId="485858AC" w14:textId="77777777" w:rsidR="00750BF6" w:rsidRDefault="00332F77">
      <w:pPr>
        <w:pStyle w:val="2"/>
        <w:ind w:left="576" w:hanging="576"/>
        <w:rPr>
          <w:rFonts w:eastAsia="宋体" w:cs="Arial"/>
          <w:b w:val="0"/>
          <w:bCs w:val="0"/>
          <w:color w:val="000000"/>
          <w:szCs w:val="22"/>
          <w:lang w:val="en-US"/>
        </w:rPr>
      </w:pPr>
      <w:r>
        <w:rPr>
          <w:rFonts w:eastAsia="宋体" w:cs="Arial" w:hint="eastAsia"/>
          <w:b w:val="0"/>
          <w:bCs w:val="0"/>
          <w:color w:val="000000"/>
          <w:szCs w:val="22"/>
          <w:lang w:val="en-US"/>
        </w:rPr>
        <w:t xml:space="preserve">2.3 Other </w:t>
      </w:r>
    </w:p>
    <w:p w14:paraId="004EA0F2" w14:textId="512D2969" w:rsidR="00750BF6" w:rsidRDefault="00332F77">
      <w:pPr>
        <w:rPr>
          <w:rFonts w:ascii="Arial" w:hAnsi="Arial" w:cs="Arial"/>
          <w:kern w:val="0"/>
          <w:sz w:val="32"/>
          <w:szCs w:val="36"/>
        </w:rPr>
      </w:pPr>
      <w:r>
        <w:rPr>
          <w:rFonts w:eastAsia="宋体" w:cs="Arial" w:hint="eastAsia"/>
          <w:color w:val="000000"/>
          <w:kern w:val="0"/>
          <w:szCs w:val="22"/>
        </w:rPr>
        <w:t xml:space="preserve">During the legacy IDC discussion, the IDC interference sensitivity was also </w:t>
      </w:r>
      <w:r w:rsidR="00A64994">
        <w:rPr>
          <w:rFonts w:eastAsia="宋体" w:cs="Arial"/>
          <w:color w:val="000000"/>
          <w:kern w:val="0"/>
          <w:szCs w:val="22"/>
        </w:rPr>
        <w:t>discussed</w:t>
      </w:r>
      <w:r w:rsidR="00A64994">
        <w:rPr>
          <w:rFonts w:eastAsia="宋体" w:cs="Arial" w:hint="eastAsia"/>
          <w:color w:val="000000"/>
          <w:kern w:val="0"/>
          <w:szCs w:val="22"/>
        </w:rPr>
        <w:t xml:space="preserve"> </w:t>
      </w:r>
      <w:r>
        <w:rPr>
          <w:rFonts w:eastAsia="宋体" w:cs="Arial" w:hint="eastAsia"/>
          <w:color w:val="000000"/>
          <w:kern w:val="0"/>
          <w:szCs w:val="22"/>
        </w:rPr>
        <w:t>and some</w:t>
      </w:r>
      <w:r>
        <w:rPr>
          <w:rFonts w:hint="eastAsia"/>
        </w:rPr>
        <w:t xml:space="preserve"> simulation results were included in the Annex A.2 of 36.816 (e.g. Figure </w:t>
      </w:r>
      <w:r>
        <w:t>A.2.1</w:t>
      </w:r>
      <w:r>
        <w:noBreakHyphen/>
      </w:r>
      <w:r>
        <w:rPr>
          <w:rFonts w:hint="eastAsia"/>
        </w:rPr>
        <w:t>4 in the 36.816 as below).</w:t>
      </w:r>
    </w:p>
    <w:p w14:paraId="63810AF3" w14:textId="77777777" w:rsidR="00750BF6" w:rsidRDefault="00332F77">
      <w:pPr>
        <w:pStyle w:val="TH"/>
      </w:pPr>
      <w:r>
        <w:rPr>
          <w:noProof/>
          <w:lang w:eastAsia="zh-CN"/>
        </w:rPr>
        <w:drawing>
          <wp:inline distT="0" distB="0" distL="114300" distR="114300" wp14:anchorId="28334193" wp14:editId="516759E7">
            <wp:extent cx="5460365" cy="1719580"/>
            <wp:effectExtent l="0" t="0" r="0" b="13970"/>
            <wp:docPr id="4" name="图片 17" descr="WLAN in LT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7" descr="WLAN in LTE 40"/>
                    <pic:cNvPicPr>
                      <a:picLocks noChangeAspect="1"/>
                    </pic:cNvPicPr>
                  </pic:nvPicPr>
                  <pic:blipFill>
                    <a:blip r:embed="rId15"/>
                    <a:stretch>
                      <a:fillRect/>
                    </a:stretch>
                  </pic:blipFill>
                  <pic:spPr>
                    <a:xfrm>
                      <a:off x="0" y="0"/>
                      <a:ext cx="5460365" cy="1719580"/>
                    </a:xfrm>
                    <a:prstGeom prst="rect">
                      <a:avLst/>
                    </a:prstGeom>
                    <a:noFill/>
                    <a:ln>
                      <a:noFill/>
                    </a:ln>
                  </pic:spPr>
                </pic:pic>
              </a:graphicData>
            </a:graphic>
          </wp:inline>
        </w:drawing>
      </w:r>
    </w:p>
    <w:p w14:paraId="688DFE78" w14:textId="77777777" w:rsidR="00750BF6" w:rsidRDefault="00332F77">
      <w:pPr>
        <w:pStyle w:val="TF"/>
      </w:pPr>
      <w:r>
        <w:t>Figure A.2.1</w:t>
      </w:r>
      <w:r>
        <w:noBreakHyphen/>
      </w:r>
      <w:r>
        <w:rPr>
          <w:lang w:eastAsia="zh-CN"/>
        </w:rPr>
        <w:t>4</w:t>
      </w:r>
      <w:r>
        <w:t>: Coexistence interference impact on LTE in B40 from WLAN</w:t>
      </w:r>
    </w:p>
    <w:p w14:paraId="2A6822ED" w14:textId="18F8B010" w:rsidR="00750BF6" w:rsidRDefault="00332F77">
      <w:pPr>
        <w:pStyle w:val="TF"/>
        <w:jc w:val="both"/>
        <w:rPr>
          <w:rFonts w:ascii="Times New Roman" w:eastAsiaTheme="minorEastAsia" w:hAnsi="Times New Roman"/>
          <w:b w:val="0"/>
          <w:kern w:val="2"/>
          <w:sz w:val="21"/>
          <w:szCs w:val="24"/>
          <w:lang w:val="en-US" w:eastAsia="zh-CN"/>
        </w:rPr>
      </w:pPr>
      <w:r>
        <w:rPr>
          <w:rFonts w:ascii="Times New Roman" w:eastAsiaTheme="minorEastAsia" w:hAnsi="Times New Roman" w:hint="eastAsia"/>
          <w:b w:val="0"/>
          <w:kern w:val="2"/>
          <w:sz w:val="21"/>
          <w:szCs w:val="24"/>
          <w:lang w:val="en-US" w:eastAsia="zh-CN"/>
        </w:rPr>
        <w:t>From these simulation result</w:t>
      </w:r>
      <w:r w:rsidR="00C4247E">
        <w:rPr>
          <w:rFonts w:ascii="Times New Roman" w:eastAsiaTheme="minorEastAsia" w:hAnsi="Times New Roman"/>
          <w:b w:val="0"/>
          <w:kern w:val="2"/>
          <w:sz w:val="21"/>
          <w:szCs w:val="24"/>
          <w:lang w:val="en-US" w:eastAsia="zh-CN"/>
        </w:rPr>
        <w:t>s</w:t>
      </w:r>
      <w:r>
        <w:rPr>
          <w:rFonts w:ascii="Times New Roman" w:eastAsiaTheme="minorEastAsia" w:hAnsi="Times New Roman" w:hint="eastAsia"/>
          <w:b w:val="0"/>
          <w:kern w:val="2"/>
          <w:sz w:val="21"/>
          <w:szCs w:val="24"/>
          <w:lang w:val="en-US" w:eastAsia="zh-CN"/>
        </w:rPr>
        <w:t xml:space="preserve">, we can see that for a carrier, the IDC interference sensitivity may be different for different frequency ranges. Now if more granular FDM info was reported, the UE can also indicate the interference sensitivity level. From the network side, if the UE can indicate the IDC interference sensitivity level for each </w:t>
      </w:r>
      <w:r w:rsidR="00C4247E">
        <w:rPr>
          <w:rFonts w:ascii="Times New Roman" w:eastAsiaTheme="minorEastAsia" w:hAnsi="Times New Roman"/>
          <w:b w:val="0"/>
          <w:kern w:val="2"/>
          <w:sz w:val="21"/>
          <w:szCs w:val="24"/>
          <w:lang w:val="en-US" w:eastAsia="zh-CN"/>
        </w:rPr>
        <w:t>BWP or PRB</w:t>
      </w:r>
      <w:r>
        <w:rPr>
          <w:rFonts w:ascii="Times New Roman" w:eastAsiaTheme="minorEastAsia" w:hAnsi="Times New Roman" w:hint="eastAsia"/>
          <w:b w:val="0"/>
          <w:kern w:val="2"/>
          <w:sz w:val="21"/>
          <w:szCs w:val="24"/>
          <w:lang w:val="en-US" w:eastAsia="zh-CN"/>
        </w:rPr>
        <w:t xml:space="preserve"> range</w:t>
      </w:r>
      <w:r w:rsidR="00C4247E">
        <w:rPr>
          <w:rFonts w:ascii="Times New Roman" w:eastAsiaTheme="minorEastAsia" w:hAnsi="Times New Roman"/>
          <w:b w:val="0"/>
          <w:kern w:val="2"/>
          <w:sz w:val="21"/>
          <w:szCs w:val="24"/>
          <w:lang w:val="en-US" w:eastAsia="zh-CN"/>
        </w:rPr>
        <w:t>,</w:t>
      </w:r>
      <w:r>
        <w:rPr>
          <w:rFonts w:ascii="Times New Roman" w:eastAsiaTheme="minorEastAsia" w:hAnsi="Times New Roman" w:hint="eastAsia"/>
          <w:b w:val="0"/>
          <w:kern w:val="2"/>
          <w:sz w:val="21"/>
          <w:szCs w:val="24"/>
          <w:lang w:val="en-US" w:eastAsia="zh-CN"/>
        </w:rPr>
        <w:t xml:space="preserve"> the network can make more precise resource control. </w:t>
      </w:r>
    </w:p>
    <w:p w14:paraId="7810B60F" w14:textId="5528B9E4" w:rsidR="00750BF6" w:rsidRDefault="00C73D23">
      <w:pPr>
        <w:spacing w:beforeLines="50" w:before="156"/>
      </w:pPr>
      <w:r>
        <w:rPr>
          <w:rFonts w:hint="eastAsia"/>
          <w:b/>
          <w:bCs/>
        </w:rPr>
        <w:t xml:space="preserve">Proposal </w:t>
      </w:r>
      <w:r w:rsidR="007771F0">
        <w:rPr>
          <w:b/>
          <w:bCs/>
        </w:rPr>
        <w:t>8</w:t>
      </w:r>
      <w:r w:rsidR="00332F77">
        <w:rPr>
          <w:rFonts w:hint="eastAsia"/>
          <w:b/>
          <w:bCs/>
        </w:rPr>
        <w:t xml:space="preserve">: </w:t>
      </w:r>
      <w:r w:rsidR="00A64994">
        <w:rPr>
          <w:b/>
          <w:bCs/>
        </w:rPr>
        <w:t>RAN2</w:t>
      </w:r>
      <w:r w:rsidR="00A64994">
        <w:rPr>
          <w:rFonts w:hint="eastAsia"/>
          <w:b/>
          <w:bCs/>
        </w:rPr>
        <w:t xml:space="preserve"> </w:t>
      </w:r>
      <w:r w:rsidR="00332F77">
        <w:rPr>
          <w:rFonts w:hint="eastAsia"/>
          <w:b/>
          <w:bCs/>
        </w:rPr>
        <w:t xml:space="preserve">to discuss whether to report the IDC interference sensitivity level for the PRB or </w:t>
      </w:r>
      <w:r w:rsidR="007771F0">
        <w:rPr>
          <w:rFonts w:hint="eastAsia"/>
          <w:b/>
          <w:bCs/>
        </w:rPr>
        <w:t>BWP</w:t>
      </w:r>
      <w:r w:rsidR="007771F0">
        <w:rPr>
          <w:b/>
          <w:bCs/>
        </w:rPr>
        <w:t xml:space="preserve"> </w:t>
      </w:r>
      <w:r w:rsidR="007771F0">
        <w:rPr>
          <w:rFonts w:hint="eastAsia"/>
          <w:b/>
          <w:bCs/>
        </w:rPr>
        <w:t>based</w:t>
      </w:r>
      <w:r w:rsidR="00332F77">
        <w:rPr>
          <w:rFonts w:hint="eastAsia"/>
          <w:b/>
          <w:bCs/>
        </w:rPr>
        <w:t xml:space="preserve"> reporting.</w:t>
      </w:r>
    </w:p>
    <w:p w14:paraId="34256718" w14:textId="77777777" w:rsidR="00750BF6" w:rsidRDefault="00332F77">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14:paraId="19F0D11F" w14:textId="77777777" w:rsidR="00750BF6" w:rsidRDefault="00332F77">
      <w:pPr>
        <w:spacing w:beforeLines="50" w:before="156"/>
      </w:pPr>
      <w:r>
        <w:rPr>
          <w:rFonts w:hint="eastAsia"/>
        </w:rPr>
        <w:t xml:space="preserve">With the above analysis, we have the following </w:t>
      </w:r>
      <w:r>
        <w:t>proposals</w:t>
      </w:r>
      <w:r>
        <w:rPr>
          <w:rFonts w:hint="eastAsia"/>
        </w:rPr>
        <w:t>:</w:t>
      </w:r>
    </w:p>
    <w:p w14:paraId="4575D688" w14:textId="77777777" w:rsidR="00C73D23" w:rsidRDefault="00C73D23" w:rsidP="00C73D23">
      <w:pPr>
        <w:rPr>
          <w:b/>
          <w:bCs/>
        </w:rPr>
      </w:pPr>
      <w:r>
        <w:rPr>
          <w:rFonts w:hint="eastAsia"/>
          <w:b/>
          <w:bCs/>
        </w:rPr>
        <w:t>Observation 1: In the legacy scheme, the IDC interference would be reported for both the serving frequency and non-serving frequency.</w:t>
      </w:r>
    </w:p>
    <w:p w14:paraId="4FC3395B" w14:textId="77777777" w:rsidR="00C73D23" w:rsidRDefault="00C73D23" w:rsidP="00C73D23">
      <w:r>
        <w:rPr>
          <w:rFonts w:hint="eastAsia"/>
          <w:b/>
          <w:bCs/>
        </w:rPr>
        <w:t xml:space="preserve">Observation 2: In the legacy scheme, there </w:t>
      </w:r>
      <w:r>
        <w:rPr>
          <w:b/>
          <w:bCs/>
        </w:rPr>
        <w:t>are</w:t>
      </w:r>
      <w:r>
        <w:rPr>
          <w:rFonts w:hint="eastAsia"/>
          <w:b/>
          <w:bCs/>
        </w:rPr>
        <w:t xml:space="preserve"> 2 different </w:t>
      </w:r>
      <w:r>
        <w:rPr>
          <w:b/>
          <w:bCs/>
        </w:rPr>
        <w:t xml:space="preserve">types of </w:t>
      </w:r>
      <w:r>
        <w:rPr>
          <w:rFonts w:hint="eastAsia"/>
          <w:b/>
          <w:bCs/>
        </w:rPr>
        <w:t>IDC interference:</w:t>
      </w:r>
    </w:p>
    <w:p w14:paraId="0F7C32BA" w14:textId="77777777" w:rsidR="00C73D23" w:rsidRDefault="00C73D23" w:rsidP="00C73D23">
      <w:pPr>
        <w:numPr>
          <w:ilvl w:val="0"/>
          <w:numId w:val="6"/>
        </w:numPr>
        <w:rPr>
          <w:b/>
          <w:bCs/>
        </w:rPr>
      </w:pPr>
      <w:r>
        <w:rPr>
          <w:rFonts w:hint="eastAsia"/>
          <w:b/>
          <w:bCs/>
        </w:rPr>
        <w:t>IDC interference from or to 3GPP single carrier (together with interference direction);</w:t>
      </w:r>
    </w:p>
    <w:p w14:paraId="2AB2B4CE" w14:textId="77777777" w:rsidR="00C73D23" w:rsidRDefault="00C73D23" w:rsidP="00C73D23">
      <w:pPr>
        <w:numPr>
          <w:ilvl w:val="0"/>
          <w:numId w:val="6"/>
        </w:numPr>
        <w:rPr>
          <w:b/>
          <w:bCs/>
        </w:rPr>
      </w:pPr>
      <w:r>
        <w:rPr>
          <w:rFonts w:hint="eastAsia"/>
          <w:b/>
          <w:bCs/>
        </w:rPr>
        <w:t>IDC interference caused by 3GPP UL CA or DC to the ISM/GNSS (together with victim type).</w:t>
      </w:r>
    </w:p>
    <w:p w14:paraId="1B765CDD" w14:textId="77777777" w:rsidR="00C73D23" w:rsidRDefault="00C73D23" w:rsidP="00C73D23">
      <w:pPr>
        <w:rPr>
          <w:b/>
          <w:bCs/>
        </w:rPr>
      </w:pPr>
      <w:r>
        <w:rPr>
          <w:rFonts w:hint="eastAsia"/>
          <w:b/>
          <w:bCs/>
        </w:rPr>
        <w:t xml:space="preserve">Observation 3: As legacy FDM solution, when a frequency was affected by IDC interference, normally the network would </w:t>
      </w:r>
      <w:proofErr w:type="spellStart"/>
      <w:r>
        <w:rPr>
          <w:rFonts w:hint="eastAsia"/>
          <w:b/>
          <w:bCs/>
        </w:rPr>
        <w:t>handover</w:t>
      </w:r>
      <w:proofErr w:type="spellEnd"/>
      <w:r>
        <w:rPr>
          <w:rFonts w:hint="eastAsia"/>
          <w:b/>
          <w:bCs/>
        </w:rPr>
        <w:t xml:space="preserve"> the UE </w:t>
      </w:r>
      <w:r>
        <w:rPr>
          <w:b/>
          <w:bCs/>
        </w:rPr>
        <w:t>to</w:t>
      </w:r>
      <w:r>
        <w:rPr>
          <w:rFonts w:hint="eastAsia"/>
          <w:b/>
          <w:bCs/>
        </w:rPr>
        <w:t xml:space="preserve"> the other cell especially for the single carrier case.</w:t>
      </w:r>
    </w:p>
    <w:p w14:paraId="75D47951" w14:textId="23A12EC8" w:rsidR="00C4247E" w:rsidRDefault="00C4247E" w:rsidP="00C73D23">
      <w:pPr>
        <w:rPr>
          <w:rFonts w:eastAsia="宋体" w:cs="Arial"/>
          <w:b/>
          <w:bCs/>
          <w:color w:val="000000"/>
          <w:kern w:val="0"/>
          <w:szCs w:val="22"/>
        </w:rPr>
      </w:pPr>
      <w:r>
        <w:rPr>
          <w:rFonts w:hint="eastAsia"/>
          <w:b/>
          <w:bCs/>
        </w:rPr>
        <w:t>Observation 4:</w:t>
      </w:r>
      <w:r>
        <w:rPr>
          <w:rFonts w:eastAsia="宋体" w:cs="Arial" w:hint="eastAsia"/>
          <w:b/>
          <w:bCs/>
          <w:color w:val="000000"/>
          <w:kern w:val="0"/>
          <w:szCs w:val="22"/>
        </w:rPr>
        <w:t xml:space="preserve"> PRB-based reporting can provide more IDC interference information th</w:t>
      </w:r>
      <w:r>
        <w:rPr>
          <w:rFonts w:eastAsia="宋体" w:cs="Arial"/>
          <w:b/>
          <w:bCs/>
          <w:color w:val="000000"/>
          <w:kern w:val="0"/>
          <w:szCs w:val="22"/>
        </w:rPr>
        <w:t>an</w:t>
      </w:r>
      <w:r>
        <w:rPr>
          <w:rFonts w:eastAsia="宋体" w:cs="Arial" w:hint="eastAsia"/>
          <w:b/>
          <w:bCs/>
          <w:color w:val="000000"/>
          <w:kern w:val="0"/>
          <w:szCs w:val="22"/>
        </w:rPr>
        <w:t xml:space="preserve"> the BWP-based, </w:t>
      </w:r>
      <w:r>
        <w:rPr>
          <w:rFonts w:eastAsia="宋体" w:cs="Arial" w:hint="eastAsia"/>
          <w:b/>
          <w:bCs/>
          <w:color w:val="000000"/>
          <w:kern w:val="0"/>
          <w:szCs w:val="22"/>
        </w:rPr>
        <w:lastRenderedPageBreak/>
        <w:t>but it may need more signaling bits.</w:t>
      </w:r>
    </w:p>
    <w:p w14:paraId="3B01BAB8" w14:textId="77777777" w:rsidR="00C4247E" w:rsidRDefault="00C4247E" w:rsidP="00C4247E">
      <w:pPr>
        <w:rPr>
          <w:b/>
          <w:bCs/>
        </w:rPr>
      </w:pPr>
      <w:r>
        <w:rPr>
          <w:rFonts w:hint="eastAsia"/>
          <w:b/>
          <w:bCs/>
        </w:rPr>
        <w:t>Observation 5: For the scenario 1</w:t>
      </w:r>
      <w:r w:rsidRPr="007A5C94">
        <w:rPr>
          <w:b/>
          <w:bCs/>
        </w:rPr>
        <w:t xml:space="preserve"> (</w:t>
      </w:r>
      <w:r w:rsidRPr="007A5C94">
        <w:rPr>
          <w:rFonts w:eastAsia="宋体" w:cs="Arial" w:hint="eastAsia"/>
          <w:b/>
          <w:color w:val="000000"/>
          <w:kern w:val="0"/>
          <w:szCs w:val="22"/>
        </w:rPr>
        <w:t>Only part of configured BWPs are affected</w:t>
      </w:r>
      <w:r w:rsidRPr="007A5C94">
        <w:rPr>
          <w:rFonts w:eastAsia="宋体" w:cs="Arial"/>
          <w:b/>
          <w:color w:val="000000"/>
          <w:kern w:val="0"/>
          <w:szCs w:val="22"/>
        </w:rPr>
        <w:t>)</w:t>
      </w:r>
      <w:r>
        <w:rPr>
          <w:rFonts w:hint="eastAsia"/>
          <w:b/>
          <w:bCs/>
        </w:rPr>
        <w:t>, the BWP based reporting is simple from both signaling and network process</w:t>
      </w:r>
      <w:r>
        <w:rPr>
          <w:b/>
          <w:bCs/>
        </w:rPr>
        <w:t>ing</w:t>
      </w:r>
      <w:r>
        <w:rPr>
          <w:rFonts w:hint="eastAsia"/>
          <w:b/>
          <w:bCs/>
        </w:rPr>
        <w:t xml:space="preserve"> perspective.</w:t>
      </w:r>
    </w:p>
    <w:p w14:paraId="4C64FE28" w14:textId="77777777" w:rsidR="00C4247E" w:rsidRPr="00D20D12" w:rsidRDefault="00C4247E" w:rsidP="00C4247E">
      <w:pPr>
        <w:rPr>
          <w:b/>
          <w:bCs/>
        </w:rPr>
      </w:pPr>
      <w:r w:rsidRPr="00D20D12">
        <w:rPr>
          <w:rFonts w:hint="eastAsia"/>
          <w:b/>
          <w:bCs/>
        </w:rPr>
        <w:t>Observation 6: For the scenario 2</w:t>
      </w:r>
      <w:r w:rsidRPr="007A5C94">
        <w:rPr>
          <w:rFonts w:eastAsia="宋体" w:cs="Arial" w:hint="eastAsia"/>
          <w:b/>
          <w:color w:val="000000"/>
          <w:kern w:val="0"/>
          <w:szCs w:val="22"/>
        </w:rPr>
        <w:t xml:space="preserve"> </w:t>
      </w:r>
      <w:r w:rsidRPr="007A5C94">
        <w:rPr>
          <w:rFonts w:eastAsia="宋体" w:cs="Arial"/>
          <w:b/>
          <w:color w:val="000000"/>
          <w:kern w:val="0"/>
          <w:szCs w:val="22"/>
        </w:rPr>
        <w:t>(</w:t>
      </w:r>
      <w:r w:rsidRPr="007A5C94">
        <w:rPr>
          <w:rFonts w:eastAsia="宋体" w:cs="Arial" w:hint="eastAsia"/>
          <w:b/>
          <w:color w:val="000000"/>
          <w:kern w:val="0"/>
          <w:szCs w:val="22"/>
        </w:rPr>
        <w:t>All of the configured BWPs are affected</w:t>
      </w:r>
      <w:r w:rsidRPr="007A5C94">
        <w:rPr>
          <w:rFonts w:eastAsia="宋体" w:cs="Arial"/>
          <w:b/>
          <w:color w:val="000000"/>
          <w:kern w:val="0"/>
          <w:szCs w:val="22"/>
        </w:rPr>
        <w:t>)</w:t>
      </w:r>
      <w:r w:rsidRPr="007A5C94">
        <w:rPr>
          <w:rFonts w:hint="eastAsia"/>
          <w:b/>
          <w:bCs/>
        </w:rPr>
        <w:t xml:space="preserve">, </w:t>
      </w:r>
      <w:r w:rsidRPr="007A5C94">
        <w:rPr>
          <w:b/>
          <w:bCs/>
        </w:rPr>
        <w:t>eve</w:t>
      </w:r>
      <w:r w:rsidRPr="00D20D12">
        <w:rPr>
          <w:b/>
          <w:bCs/>
        </w:rPr>
        <w:t xml:space="preserve">n </w:t>
      </w:r>
      <w:r w:rsidRPr="00D20D12">
        <w:rPr>
          <w:rFonts w:hint="eastAsia"/>
          <w:b/>
          <w:bCs/>
        </w:rPr>
        <w:t>with dedicated PRBs reporting,</w:t>
      </w:r>
      <w:r w:rsidRPr="00D20D12">
        <w:rPr>
          <w:b/>
        </w:rPr>
        <w:t xml:space="preserve"> it may be not easy for the network to reconfigure the BWPs</w:t>
      </w:r>
      <w:r w:rsidRPr="00D20D12">
        <w:rPr>
          <w:rFonts w:hint="eastAsia"/>
          <w:b/>
          <w:bCs/>
        </w:rPr>
        <w:t>.</w:t>
      </w:r>
    </w:p>
    <w:p w14:paraId="59773226" w14:textId="77777777" w:rsidR="00C4247E" w:rsidRDefault="00C4247E" w:rsidP="00C4247E">
      <w:pPr>
        <w:rPr>
          <w:b/>
          <w:bCs/>
        </w:rPr>
      </w:pPr>
      <w:r>
        <w:rPr>
          <w:rFonts w:hint="eastAsia"/>
          <w:b/>
          <w:bCs/>
        </w:rPr>
        <w:t xml:space="preserve">Observation </w:t>
      </w:r>
      <w:r>
        <w:rPr>
          <w:b/>
          <w:bCs/>
        </w:rPr>
        <w:t>7</w:t>
      </w:r>
      <w:r>
        <w:rPr>
          <w:rFonts w:hint="eastAsia"/>
          <w:b/>
          <w:bCs/>
        </w:rPr>
        <w:t>: For the CA/DC case, it</w:t>
      </w:r>
      <w:r>
        <w:rPr>
          <w:b/>
          <w:bCs/>
        </w:rPr>
        <w:t>’</w:t>
      </w:r>
      <w:r>
        <w:rPr>
          <w:rFonts w:hint="eastAsia"/>
          <w:b/>
          <w:bCs/>
        </w:rPr>
        <w:t>s much complex to report PRB ranges combination from UE side. From the network side, it</w:t>
      </w:r>
      <w:r>
        <w:rPr>
          <w:b/>
          <w:bCs/>
        </w:rPr>
        <w:t>’</w:t>
      </w:r>
      <w:r>
        <w:rPr>
          <w:rFonts w:hint="eastAsia"/>
          <w:b/>
          <w:bCs/>
        </w:rPr>
        <w:t>s also much complex to derive the available BWP combinations based on the reported PRB information.</w:t>
      </w:r>
    </w:p>
    <w:p w14:paraId="595A8D4C" w14:textId="417251C9" w:rsidR="00C73D23" w:rsidRDefault="00C73D23" w:rsidP="00C73D23">
      <w:pPr>
        <w:rPr>
          <w:b/>
          <w:bCs/>
        </w:rPr>
      </w:pPr>
      <w:r>
        <w:rPr>
          <w:rFonts w:hint="eastAsia"/>
          <w:b/>
          <w:bCs/>
        </w:rPr>
        <w:t xml:space="preserve">Proposal </w:t>
      </w:r>
      <w:r>
        <w:rPr>
          <w:b/>
          <w:bCs/>
        </w:rPr>
        <w:t>1</w:t>
      </w:r>
      <w:r>
        <w:rPr>
          <w:rFonts w:hint="eastAsia"/>
          <w:b/>
          <w:bCs/>
        </w:rPr>
        <w:t>:</w:t>
      </w:r>
      <w:r>
        <w:rPr>
          <w:b/>
          <w:bCs/>
        </w:rPr>
        <w:t xml:space="preserve"> Considering</w:t>
      </w:r>
      <w:r>
        <w:rPr>
          <w:rFonts w:hint="eastAsia"/>
          <w:b/>
          <w:bCs/>
        </w:rPr>
        <w:t xml:space="preserve"> the BWP is only configured for </w:t>
      </w:r>
      <w:r>
        <w:rPr>
          <w:b/>
          <w:bCs/>
        </w:rPr>
        <w:t>s</w:t>
      </w:r>
      <w:r>
        <w:rPr>
          <w:rFonts w:hint="eastAsia"/>
          <w:b/>
          <w:bCs/>
        </w:rPr>
        <w:t>erving cell</w:t>
      </w:r>
      <w:r>
        <w:rPr>
          <w:b/>
          <w:bCs/>
        </w:rPr>
        <w:t>s</w:t>
      </w:r>
      <w:r>
        <w:rPr>
          <w:rFonts w:hint="eastAsia"/>
          <w:b/>
          <w:bCs/>
        </w:rPr>
        <w:t xml:space="preserve">, the FDM enhancement can be discussed for the serving frequency and non-serving frequency </w:t>
      </w:r>
      <w:r w:rsidR="00C4247E">
        <w:rPr>
          <w:b/>
          <w:bCs/>
        </w:rPr>
        <w:t>separately</w:t>
      </w:r>
      <w:r>
        <w:rPr>
          <w:rFonts w:hint="eastAsia"/>
          <w:b/>
          <w:bCs/>
        </w:rPr>
        <w:t>.</w:t>
      </w:r>
    </w:p>
    <w:p w14:paraId="645870D0" w14:textId="77777777" w:rsidR="007771F0" w:rsidRDefault="007771F0" w:rsidP="007771F0">
      <w:pPr>
        <w:rPr>
          <w:rFonts w:eastAsia="宋体" w:cs="Arial"/>
          <w:b/>
          <w:bCs/>
          <w:color w:val="000000"/>
          <w:kern w:val="0"/>
          <w:szCs w:val="22"/>
        </w:rPr>
      </w:pPr>
      <w:r>
        <w:rPr>
          <w:rFonts w:hint="eastAsia"/>
          <w:b/>
          <w:bCs/>
        </w:rPr>
        <w:t xml:space="preserve">Proposal </w:t>
      </w:r>
      <w:r>
        <w:rPr>
          <w:b/>
          <w:bCs/>
        </w:rPr>
        <w:t>2</w:t>
      </w:r>
      <w:r>
        <w:rPr>
          <w:rFonts w:hint="eastAsia"/>
          <w:b/>
          <w:bCs/>
        </w:rPr>
        <w:t xml:space="preserve">: For IDC interference that affect the NR serving frequency, take the BWP-based </w:t>
      </w:r>
      <w:r>
        <w:rPr>
          <w:b/>
          <w:bCs/>
        </w:rPr>
        <w:t>reporting</w:t>
      </w:r>
      <w:r>
        <w:rPr>
          <w:rFonts w:hint="eastAsia"/>
          <w:b/>
          <w:bCs/>
        </w:rPr>
        <w:t xml:space="preserve"> as baseline</w:t>
      </w:r>
      <w:r>
        <w:rPr>
          <w:b/>
          <w:bCs/>
        </w:rPr>
        <w:t xml:space="preserve">, </w:t>
      </w:r>
      <w:r>
        <w:rPr>
          <w:rFonts w:eastAsia="宋体" w:cs="Arial"/>
          <w:b/>
          <w:bCs/>
          <w:color w:val="000000"/>
          <w:kern w:val="0"/>
          <w:szCs w:val="22"/>
        </w:rPr>
        <w:t>FFS on the PRB-based reporting</w:t>
      </w:r>
      <w:r>
        <w:rPr>
          <w:rFonts w:eastAsia="宋体" w:cs="Arial" w:hint="eastAsia"/>
          <w:b/>
          <w:bCs/>
          <w:color w:val="000000"/>
          <w:kern w:val="0"/>
          <w:szCs w:val="22"/>
        </w:rPr>
        <w:t>.</w:t>
      </w:r>
    </w:p>
    <w:p w14:paraId="70B14BA9" w14:textId="32A789DF" w:rsidR="007771F0" w:rsidRDefault="007A5C94" w:rsidP="007771F0">
      <w:pPr>
        <w:rPr>
          <w:b/>
          <w:bCs/>
        </w:rPr>
      </w:pPr>
      <w:r>
        <w:rPr>
          <w:b/>
          <w:bCs/>
        </w:rPr>
        <w:t>Proposal</w:t>
      </w:r>
      <w:r>
        <w:rPr>
          <w:rFonts w:hint="eastAsia"/>
          <w:b/>
          <w:bCs/>
        </w:rPr>
        <w:t xml:space="preserve"> </w:t>
      </w:r>
      <w:r w:rsidR="007771F0">
        <w:rPr>
          <w:b/>
          <w:bCs/>
        </w:rPr>
        <w:t>3</w:t>
      </w:r>
      <w:r>
        <w:rPr>
          <w:rFonts w:hint="eastAsia"/>
          <w:b/>
          <w:bCs/>
        </w:rPr>
        <w:t xml:space="preserve">: </w:t>
      </w:r>
      <w:r>
        <w:rPr>
          <w:b/>
          <w:bCs/>
        </w:rPr>
        <w:t>For the BWP-based reporting</w:t>
      </w:r>
      <w:r>
        <w:rPr>
          <w:rFonts w:hint="eastAsia"/>
          <w:b/>
          <w:bCs/>
        </w:rPr>
        <w:t xml:space="preserve">, the network </w:t>
      </w:r>
      <w:r>
        <w:rPr>
          <w:b/>
          <w:bCs/>
        </w:rPr>
        <w:t>can</w:t>
      </w:r>
      <w:r>
        <w:rPr>
          <w:rFonts w:hint="eastAsia"/>
          <w:b/>
          <w:bCs/>
        </w:rPr>
        <w:t xml:space="preserve"> perform BWP switching/modification to solve the IDC interference</w:t>
      </w:r>
      <w:r>
        <w:rPr>
          <w:b/>
          <w:bCs/>
        </w:rPr>
        <w:t xml:space="preserve"> for some cases.</w:t>
      </w:r>
      <w:r w:rsidR="007771F0" w:rsidRPr="007771F0">
        <w:rPr>
          <w:rFonts w:hint="eastAsia"/>
          <w:b/>
          <w:bCs/>
        </w:rPr>
        <w:t xml:space="preserve"> </w:t>
      </w:r>
    </w:p>
    <w:p w14:paraId="2B3C50F3" w14:textId="01FDED53" w:rsidR="007771F0" w:rsidRDefault="007771F0" w:rsidP="007771F0">
      <w:pPr>
        <w:rPr>
          <w:rFonts w:eastAsia="宋体" w:cs="Arial"/>
          <w:color w:val="000000"/>
          <w:kern w:val="0"/>
          <w:szCs w:val="22"/>
        </w:rPr>
      </w:pPr>
      <w:r>
        <w:rPr>
          <w:rFonts w:hint="eastAsia"/>
          <w:b/>
          <w:bCs/>
        </w:rPr>
        <w:t xml:space="preserve">Proposal </w:t>
      </w:r>
      <w:r>
        <w:rPr>
          <w:b/>
          <w:bCs/>
        </w:rPr>
        <w:t>4</w:t>
      </w:r>
      <w:r>
        <w:rPr>
          <w:rFonts w:hint="eastAsia"/>
          <w:b/>
          <w:bCs/>
        </w:rPr>
        <w:t xml:space="preserve">: For </w:t>
      </w:r>
      <w:r>
        <w:rPr>
          <w:b/>
          <w:bCs/>
        </w:rPr>
        <w:t xml:space="preserve">the </w:t>
      </w:r>
      <w:r>
        <w:rPr>
          <w:rFonts w:hint="eastAsia"/>
          <w:b/>
          <w:bCs/>
        </w:rPr>
        <w:t>BW</w:t>
      </w:r>
      <w:r>
        <w:rPr>
          <w:b/>
          <w:bCs/>
        </w:rPr>
        <w:t xml:space="preserve">P-based </w:t>
      </w:r>
      <w:r>
        <w:rPr>
          <w:rFonts w:hint="eastAsia"/>
          <w:b/>
          <w:bCs/>
        </w:rPr>
        <w:t>reporting, all of the configured BWPs (instead of the active BWP) shall be considered.</w:t>
      </w:r>
    </w:p>
    <w:p w14:paraId="0636CB7E" w14:textId="3C7B092F" w:rsidR="00C73D23" w:rsidRDefault="00C73D23" w:rsidP="00C73D23">
      <w:pPr>
        <w:rPr>
          <w:b/>
          <w:bCs/>
        </w:rPr>
      </w:pPr>
      <w:r>
        <w:rPr>
          <w:rFonts w:hint="eastAsia"/>
          <w:b/>
          <w:bCs/>
        </w:rPr>
        <w:t xml:space="preserve">Proposal </w:t>
      </w:r>
      <w:r w:rsidR="007771F0">
        <w:rPr>
          <w:b/>
          <w:bCs/>
        </w:rPr>
        <w:t>5</w:t>
      </w:r>
      <w:r>
        <w:rPr>
          <w:rFonts w:hint="eastAsia"/>
          <w:b/>
          <w:bCs/>
        </w:rPr>
        <w:t xml:space="preserve">: If </w:t>
      </w:r>
      <w:r w:rsidR="007771F0">
        <w:rPr>
          <w:rFonts w:hint="eastAsia"/>
          <w:b/>
          <w:bCs/>
        </w:rPr>
        <w:t>BWP-based</w:t>
      </w:r>
      <w:r>
        <w:rPr>
          <w:rFonts w:hint="eastAsia"/>
          <w:b/>
          <w:bCs/>
        </w:rPr>
        <w:t xml:space="preserve"> IDC reporting was supported, </w:t>
      </w:r>
      <w:r>
        <w:rPr>
          <w:b/>
          <w:bCs/>
        </w:rPr>
        <w:t>RAN2</w:t>
      </w:r>
      <w:r>
        <w:rPr>
          <w:rFonts w:hint="eastAsia"/>
          <w:b/>
          <w:bCs/>
        </w:rPr>
        <w:t xml:space="preserve"> to discuss which option is preferred</w:t>
      </w:r>
      <w:r>
        <w:rPr>
          <w:b/>
          <w:bCs/>
        </w:rPr>
        <w:t>:</w:t>
      </w:r>
    </w:p>
    <w:p w14:paraId="7F29597E" w14:textId="77777777" w:rsidR="00C73D23" w:rsidRPr="00E71D35" w:rsidRDefault="00C73D23" w:rsidP="00C73D23">
      <w:pPr>
        <w:numPr>
          <w:ilvl w:val="0"/>
          <w:numId w:val="6"/>
        </w:numPr>
        <w:rPr>
          <w:b/>
        </w:rPr>
      </w:pPr>
      <w:r w:rsidRPr="00E71D35">
        <w:rPr>
          <w:rFonts w:hint="eastAsia"/>
          <w:b/>
        </w:rPr>
        <w:t>Option 1: The configured BWP that affected by the IDC interference</w:t>
      </w:r>
    </w:p>
    <w:p w14:paraId="705B23DE" w14:textId="77777777" w:rsidR="00C73D23" w:rsidRPr="00E71D35" w:rsidRDefault="00C73D23" w:rsidP="00C73D23">
      <w:pPr>
        <w:numPr>
          <w:ilvl w:val="0"/>
          <w:numId w:val="6"/>
        </w:numPr>
        <w:rPr>
          <w:b/>
        </w:rPr>
      </w:pPr>
      <w:r w:rsidRPr="00E71D35">
        <w:rPr>
          <w:rFonts w:hint="eastAsia"/>
          <w:b/>
        </w:rPr>
        <w:t>Option 2: The configured BWP that not affected by the IDC interference.</w:t>
      </w:r>
    </w:p>
    <w:p w14:paraId="6098DA6C" w14:textId="63D47792" w:rsidR="00EA0047" w:rsidRPr="00C4247E" w:rsidRDefault="00EA0047" w:rsidP="00C4247E">
      <w:pPr>
        <w:rPr>
          <w:rFonts w:eastAsia="宋体" w:cs="Arial"/>
          <w:b/>
          <w:bCs/>
          <w:color w:val="000000"/>
          <w:kern w:val="0"/>
          <w:szCs w:val="22"/>
        </w:rPr>
      </w:pPr>
      <w:r w:rsidRPr="00C4247E">
        <w:rPr>
          <w:rFonts w:eastAsia="宋体" w:cs="Arial" w:hint="eastAsia"/>
          <w:b/>
          <w:bCs/>
          <w:color w:val="000000"/>
          <w:kern w:val="0"/>
          <w:szCs w:val="22"/>
        </w:rPr>
        <w:t xml:space="preserve">Proposal </w:t>
      </w:r>
      <w:r w:rsidR="007771F0">
        <w:rPr>
          <w:rFonts w:eastAsia="宋体" w:cs="Arial"/>
          <w:b/>
          <w:bCs/>
          <w:color w:val="000000"/>
          <w:kern w:val="0"/>
          <w:szCs w:val="22"/>
        </w:rPr>
        <w:t>6</w:t>
      </w:r>
      <w:r w:rsidRPr="00C4247E">
        <w:rPr>
          <w:rFonts w:eastAsia="宋体" w:cs="Arial" w:hint="eastAsia"/>
          <w:b/>
          <w:bCs/>
          <w:color w:val="000000"/>
          <w:kern w:val="0"/>
          <w:szCs w:val="22"/>
        </w:rPr>
        <w:t xml:space="preserve">: RAN2 to discuss whether to </w:t>
      </w:r>
      <w:r w:rsidRPr="00C4247E">
        <w:rPr>
          <w:rFonts w:eastAsia="宋体" w:cs="Arial"/>
          <w:b/>
          <w:bCs/>
          <w:color w:val="000000"/>
          <w:kern w:val="0"/>
          <w:szCs w:val="22"/>
        </w:rPr>
        <w:t>consider</w:t>
      </w:r>
      <w:r w:rsidRPr="00C4247E">
        <w:rPr>
          <w:rFonts w:eastAsia="宋体" w:cs="Arial" w:hint="eastAsia"/>
          <w:b/>
          <w:bCs/>
          <w:color w:val="000000"/>
          <w:kern w:val="0"/>
          <w:szCs w:val="22"/>
        </w:rPr>
        <w:t xml:space="preserve"> FDM enhancement (</w:t>
      </w:r>
      <w:r w:rsidRPr="00C4247E">
        <w:rPr>
          <w:rFonts w:eastAsia="宋体" w:cs="Arial"/>
          <w:b/>
          <w:bCs/>
          <w:color w:val="000000"/>
          <w:kern w:val="0"/>
          <w:szCs w:val="22"/>
        </w:rPr>
        <w:t xml:space="preserve">e.g. </w:t>
      </w:r>
      <w:r w:rsidRPr="00C4247E">
        <w:rPr>
          <w:rFonts w:eastAsia="宋体" w:cs="Arial" w:hint="eastAsia"/>
          <w:b/>
          <w:bCs/>
          <w:color w:val="000000"/>
          <w:kern w:val="0"/>
          <w:szCs w:val="22"/>
        </w:rPr>
        <w:t>PRB level reporting) for the non-serving frequency and also the EUTRA frequency.</w:t>
      </w:r>
    </w:p>
    <w:p w14:paraId="29F14260" w14:textId="2A784C56" w:rsidR="00C73D23" w:rsidRDefault="00C73D23" w:rsidP="00C73D23">
      <w:r>
        <w:rPr>
          <w:rFonts w:eastAsia="宋体" w:cs="Arial" w:hint="eastAsia"/>
          <w:b/>
          <w:bCs/>
          <w:color w:val="000000"/>
          <w:kern w:val="0"/>
          <w:szCs w:val="22"/>
        </w:rPr>
        <w:t xml:space="preserve">Proposal </w:t>
      </w:r>
      <w:r w:rsidR="007771F0">
        <w:rPr>
          <w:rFonts w:eastAsia="宋体" w:cs="Arial"/>
          <w:b/>
          <w:bCs/>
          <w:color w:val="000000"/>
          <w:kern w:val="0"/>
          <w:szCs w:val="22"/>
        </w:rPr>
        <w:t>7</w:t>
      </w:r>
      <w:r>
        <w:rPr>
          <w:rFonts w:eastAsia="宋体" w:cs="Arial" w:hint="eastAsia"/>
          <w:b/>
          <w:bCs/>
          <w:color w:val="000000"/>
          <w:kern w:val="0"/>
          <w:szCs w:val="22"/>
        </w:rPr>
        <w:t>: If FDM enhancement (PRB</w:t>
      </w:r>
      <w:r>
        <w:rPr>
          <w:rFonts w:eastAsia="宋体" w:cs="Arial"/>
          <w:b/>
          <w:bCs/>
          <w:color w:val="000000"/>
          <w:kern w:val="0"/>
          <w:szCs w:val="22"/>
        </w:rPr>
        <w:t xml:space="preserve">-based </w:t>
      </w:r>
      <w:r>
        <w:rPr>
          <w:rFonts w:eastAsia="宋体" w:cs="Arial" w:hint="eastAsia"/>
          <w:b/>
          <w:bCs/>
          <w:color w:val="000000"/>
          <w:kern w:val="0"/>
          <w:szCs w:val="22"/>
        </w:rPr>
        <w:t xml:space="preserve">reporting) for the non-serving frequency </w:t>
      </w:r>
      <w:r>
        <w:rPr>
          <w:rFonts w:eastAsia="宋体" w:cs="Arial"/>
          <w:b/>
          <w:bCs/>
          <w:color w:val="000000"/>
          <w:kern w:val="0"/>
          <w:szCs w:val="22"/>
        </w:rPr>
        <w:t>is</w:t>
      </w:r>
      <w:r>
        <w:rPr>
          <w:rFonts w:eastAsia="宋体" w:cs="Arial" w:hint="eastAsia"/>
          <w:b/>
          <w:bCs/>
          <w:color w:val="000000"/>
          <w:kern w:val="0"/>
          <w:szCs w:val="22"/>
        </w:rPr>
        <w:t xml:space="preserve"> supported, </w:t>
      </w:r>
      <w:r>
        <w:rPr>
          <w:rFonts w:eastAsia="宋体" w:cs="Arial"/>
          <w:b/>
          <w:bCs/>
          <w:color w:val="000000"/>
          <w:kern w:val="0"/>
          <w:szCs w:val="22"/>
        </w:rPr>
        <w:t>only support PRB-based reporting for the single carrier.</w:t>
      </w:r>
    </w:p>
    <w:p w14:paraId="73AC69D1" w14:textId="50D780E3" w:rsidR="00C73D23" w:rsidRDefault="00C73D23" w:rsidP="00C73D23">
      <w:pPr>
        <w:spacing w:beforeLines="50" w:before="156"/>
        <w:rPr>
          <w:b/>
          <w:bCs/>
        </w:rPr>
      </w:pPr>
      <w:r>
        <w:rPr>
          <w:rFonts w:hint="eastAsia"/>
          <w:b/>
          <w:bCs/>
        </w:rPr>
        <w:t xml:space="preserve">Proposal </w:t>
      </w:r>
      <w:r w:rsidR="007771F0">
        <w:rPr>
          <w:b/>
          <w:bCs/>
        </w:rPr>
        <w:t>8</w:t>
      </w:r>
      <w:r>
        <w:rPr>
          <w:rFonts w:hint="eastAsia"/>
          <w:b/>
          <w:bCs/>
        </w:rPr>
        <w:t xml:space="preserve">: </w:t>
      </w:r>
      <w:r>
        <w:rPr>
          <w:b/>
          <w:bCs/>
        </w:rPr>
        <w:t>RAN2</w:t>
      </w:r>
      <w:r>
        <w:rPr>
          <w:rFonts w:hint="eastAsia"/>
          <w:b/>
          <w:bCs/>
        </w:rPr>
        <w:t xml:space="preserve"> to discuss whether to report the IDC interference sensitivity level for the PRB or </w:t>
      </w:r>
      <w:r w:rsidR="007771F0">
        <w:rPr>
          <w:rFonts w:hint="eastAsia"/>
          <w:b/>
          <w:bCs/>
        </w:rPr>
        <w:t>BWP</w:t>
      </w:r>
      <w:r w:rsidR="007771F0">
        <w:rPr>
          <w:b/>
          <w:bCs/>
        </w:rPr>
        <w:t xml:space="preserve"> </w:t>
      </w:r>
      <w:r w:rsidR="007771F0">
        <w:rPr>
          <w:rFonts w:hint="eastAsia"/>
          <w:b/>
          <w:bCs/>
        </w:rPr>
        <w:t>based</w:t>
      </w:r>
      <w:r>
        <w:rPr>
          <w:rFonts w:hint="eastAsia"/>
          <w:b/>
          <w:bCs/>
        </w:rPr>
        <w:t xml:space="preserve"> reporting.</w:t>
      </w:r>
    </w:p>
    <w:p w14:paraId="085D6F9F" w14:textId="77777777" w:rsidR="003A279C" w:rsidRDefault="003A279C" w:rsidP="003A279C">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jc w:val="left"/>
        <w:textAlignment w:val="baseline"/>
        <w:rPr>
          <w:rFonts w:ascii="Arial" w:hAnsi="Arial" w:cs="Arial"/>
          <w:b w:val="0"/>
          <w:bCs w:val="0"/>
          <w:kern w:val="0"/>
          <w:sz w:val="32"/>
          <w:szCs w:val="36"/>
        </w:rPr>
      </w:pPr>
      <w:r w:rsidRPr="00130A6C">
        <w:rPr>
          <w:rFonts w:ascii="Arial" w:hAnsi="Arial" w:cs="Arial"/>
          <w:b w:val="0"/>
          <w:bCs w:val="0"/>
          <w:kern w:val="0"/>
          <w:sz w:val="32"/>
          <w:szCs w:val="36"/>
        </w:rPr>
        <w:t>Reference</w:t>
      </w:r>
    </w:p>
    <w:p w14:paraId="038FE45B" w14:textId="77777777" w:rsidR="003A279C" w:rsidRDefault="003A279C" w:rsidP="003A279C">
      <w:pPr>
        <w:tabs>
          <w:tab w:val="left" w:pos="312"/>
        </w:tabs>
        <w:spacing w:beforeLines="50" w:before="156"/>
      </w:pPr>
      <w:r>
        <w:t>[1] RP-221281 Revised</w:t>
      </w:r>
      <w:r w:rsidRPr="00A81279">
        <w:t xml:space="preserve"> WI: In-Device Co-existence (IDC) enhancements for NR and MR-DC</w:t>
      </w:r>
    </w:p>
    <w:p w14:paraId="5EA1EA77" w14:textId="77777777" w:rsidR="003A279C" w:rsidRPr="003A279C" w:rsidRDefault="003A279C" w:rsidP="00C73D23">
      <w:pPr>
        <w:spacing w:beforeLines="50" w:before="156"/>
      </w:pPr>
    </w:p>
    <w:p w14:paraId="46935E17" w14:textId="77777777" w:rsidR="00750BF6" w:rsidRPr="00C73D23" w:rsidRDefault="00750BF6">
      <w:pPr>
        <w:spacing w:beforeLines="50" w:before="156"/>
      </w:pPr>
    </w:p>
    <w:sectPr w:rsidR="00750BF6" w:rsidRPr="00C73D23">
      <w:headerReference w:type="default" r:id="rId16"/>
      <w:footerReference w:type="default" r:id="rId17"/>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B7CC08" w14:textId="77777777" w:rsidR="00200570" w:rsidRDefault="00200570">
      <w:pPr>
        <w:spacing w:line="240" w:lineRule="auto"/>
      </w:pPr>
      <w:r>
        <w:separator/>
      </w:r>
    </w:p>
  </w:endnote>
  <w:endnote w:type="continuationSeparator" w:id="0">
    <w:p w14:paraId="03D3A111" w14:textId="77777777" w:rsidR="00200570" w:rsidRDefault="0020057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3F5D6C" w14:textId="77777777" w:rsidR="00750BF6" w:rsidRDefault="00750BF6">
    <w:pPr>
      <w:pStyle w:val="ad"/>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EAE345" w14:textId="77777777" w:rsidR="00200570" w:rsidRDefault="00200570">
      <w:pPr>
        <w:spacing w:after="0"/>
      </w:pPr>
      <w:r>
        <w:separator/>
      </w:r>
    </w:p>
  </w:footnote>
  <w:footnote w:type="continuationSeparator" w:id="0">
    <w:p w14:paraId="0E5AA57C" w14:textId="77777777" w:rsidR="00200570" w:rsidRDefault="00200570">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F2A442" w14:textId="77777777" w:rsidR="00750BF6" w:rsidRDefault="00750BF6">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ascii="Arial" w:hAnsi="Arial" w:cs="Arial" w:hint="default"/>
        <w:sz w:val="28"/>
        <w:szCs w:val="28"/>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071F91C0"/>
    <w:multiLevelType w:val="singleLevel"/>
    <w:tmpl w:val="071F91C0"/>
    <w:lvl w:ilvl="0">
      <w:start w:val="1"/>
      <w:numFmt w:val="bullet"/>
      <w:lvlText w:val=""/>
      <w:lvlJc w:val="left"/>
      <w:pPr>
        <w:ind w:left="420" w:hanging="420"/>
      </w:pPr>
      <w:rPr>
        <w:rFonts w:ascii="Wingdings" w:hAnsi="Wingdings" w:hint="default"/>
      </w:rPr>
    </w:lvl>
  </w:abstractNum>
  <w:abstractNum w:abstractNumId="3" w15:restartNumberingAfterBreak="0">
    <w:nsid w:val="0B9B64DB"/>
    <w:multiLevelType w:val="multilevel"/>
    <w:tmpl w:val="0B9B64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BA900BD"/>
    <w:multiLevelType w:val="singleLevel"/>
    <w:tmpl w:val="2BA900BD"/>
    <w:lvl w:ilvl="0">
      <w:start w:val="1"/>
      <w:numFmt w:val="decimal"/>
      <w:lvlText w:val="%1."/>
      <w:lvlJc w:val="left"/>
      <w:pPr>
        <w:ind w:left="1265" w:hanging="425"/>
      </w:pPr>
      <w:rPr>
        <w:rFonts w:hint="default"/>
      </w:rPr>
    </w:lvl>
  </w:abstractNum>
  <w:abstractNum w:abstractNumId="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671844BF"/>
    <w:multiLevelType w:val="hybridMultilevel"/>
    <w:tmpl w:val="412479D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6"/>
  </w:num>
  <w:num w:numId="3">
    <w:abstractNumId w:val="5"/>
  </w:num>
  <w:num w:numId="4">
    <w:abstractNumId w:val="1"/>
  </w:num>
  <w:num w:numId="5">
    <w:abstractNumId w:val="3"/>
  </w:num>
  <w:num w:numId="6">
    <w:abstractNumId w:val="2"/>
  </w:num>
  <w:num w:numId="7">
    <w:abstractNumId w:val="4"/>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doNotDisplayPageBoundaries/>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366"/>
    <w:rsid w:val="0000394D"/>
    <w:rsid w:val="000055B1"/>
    <w:rsid w:val="00005B70"/>
    <w:rsid w:val="000103E7"/>
    <w:rsid w:val="000130CA"/>
    <w:rsid w:val="00013FAD"/>
    <w:rsid w:val="00017BA5"/>
    <w:rsid w:val="00021259"/>
    <w:rsid w:val="00021359"/>
    <w:rsid w:val="000223BE"/>
    <w:rsid w:val="0002434C"/>
    <w:rsid w:val="000248FC"/>
    <w:rsid w:val="00024E29"/>
    <w:rsid w:val="0002660A"/>
    <w:rsid w:val="00026899"/>
    <w:rsid w:val="0002698B"/>
    <w:rsid w:val="00026ACA"/>
    <w:rsid w:val="00027EEC"/>
    <w:rsid w:val="00035EF9"/>
    <w:rsid w:val="00037973"/>
    <w:rsid w:val="00040A63"/>
    <w:rsid w:val="0004105F"/>
    <w:rsid w:val="00042E6F"/>
    <w:rsid w:val="00043923"/>
    <w:rsid w:val="00043FCA"/>
    <w:rsid w:val="00045EDE"/>
    <w:rsid w:val="00046E3D"/>
    <w:rsid w:val="00047DFE"/>
    <w:rsid w:val="00055E6B"/>
    <w:rsid w:val="000563ED"/>
    <w:rsid w:val="000603D6"/>
    <w:rsid w:val="00062984"/>
    <w:rsid w:val="00067927"/>
    <w:rsid w:val="0007093A"/>
    <w:rsid w:val="0007205B"/>
    <w:rsid w:val="00073BCE"/>
    <w:rsid w:val="000755A8"/>
    <w:rsid w:val="00076B12"/>
    <w:rsid w:val="00077741"/>
    <w:rsid w:val="000804D4"/>
    <w:rsid w:val="0008122E"/>
    <w:rsid w:val="00082CAA"/>
    <w:rsid w:val="00084609"/>
    <w:rsid w:val="000875C4"/>
    <w:rsid w:val="0009084A"/>
    <w:rsid w:val="000915A4"/>
    <w:rsid w:val="0009278C"/>
    <w:rsid w:val="00092939"/>
    <w:rsid w:val="00092E40"/>
    <w:rsid w:val="000969D7"/>
    <w:rsid w:val="00097209"/>
    <w:rsid w:val="00097368"/>
    <w:rsid w:val="0009777E"/>
    <w:rsid w:val="000A19D1"/>
    <w:rsid w:val="000A204F"/>
    <w:rsid w:val="000A22DF"/>
    <w:rsid w:val="000A2A28"/>
    <w:rsid w:val="000A2D0A"/>
    <w:rsid w:val="000A3A4E"/>
    <w:rsid w:val="000A53F5"/>
    <w:rsid w:val="000B1FA1"/>
    <w:rsid w:val="000B21DA"/>
    <w:rsid w:val="000B25A2"/>
    <w:rsid w:val="000B2A5C"/>
    <w:rsid w:val="000B31AA"/>
    <w:rsid w:val="000B38F6"/>
    <w:rsid w:val="000B4B76"/>
    <w:rsid w:val="000B65CB"/>
    <w:rsid w:val="000B780E"/>
    <w:rsid w:val="000C0CBC"/>
    <w:rsid w:val="000C1DE5"/>
    <w:rsid w:val="000C236D"/>
    <w:rsid w:val="000C2690"/>
    <w:rsid w:val="000C364E"/>
    <w:rsid w:val="000C5D4C"/>
    <w:rsid w:val="000C6273"/>
    <w:rsid w:val="000C7FC7"/>
    <w:rsid w:val="000D18C5"/>
    <w:rsid w:val="000D2BF9"/>
    <w:rsid w:val="000D6D12"/>
    <w:rsid w:val="000E1125"/>
    <w:rsid w:val="000E1993"/>
    <w:rsid w:val="000E2C13"/>
    <w:rsid w:val="000E3B8A"/>
    <w:rsid w:val="000F0A7B"/>
    <w:rsid w:val="000F0C4F"/>
    <w:rsid w:val="000F0E64"/>
    <w:rsid w:val="000F4C7C"/>
    <w:rsid w:val="000F4CFF"/>
    <w:rsid w:val="00100030"/>
    <w:rsid w:val="00107192"/>
    <w:rsid w:val="00111C96"/>
    <w:rsid w:val="00111CE0"/>
    <w:rsid w:val="00111DF0"/>
    <w:rsid w:val="001135C5"/>
    <w:rsid w:val="001147C0"/>
    <w:rsid w:val="001156DF"/>
    <w:rsid w:val="0012180B"/>
    <w:rsid w:val="00122393"/>
    <w:rsid w:val="001253A3"/>
    <w:rsid w:val="00126145"/>
    <w:rsid w:val="0012673B"/>
    <w:rsid w:val="001277F8"/>
    <w:rsid w:val="00131F75"/>
    <w:rsid w:val="0013288E"/>
    <w:rsid w:val="00134275"/>
    <w:rsid w:val="0013534D"/>
    <w:rsid w:val="00136E39"/>
    <w:rsid w:val="00137B0E"/>
    <w:rsid w:val="00137D4E"/>
    <w:rsid w:val="00137F5C"/>
    <w:rsid w:val="001413B6"/>
    <w:rsid w:val="00141835"/>
    <w:rsid w:val="00145AFF"/>
    <w:rsid w:val="00147740"/>
    <w:rsid w:val="00150BAB"/>
    <w:rsid w:val="0015556B"/>
    <w:rsid w:val="00156452"/>
    <w:rsid w:val="00160A40"/>
    <w:rsid w:val="001627D9"/>
    <w:rsid w:val="00170C6A"/>
    <w:rsid w:val="00171FF9"/>
    <w:rsid w:val="0017245C"/>
    <w:rsid w:val="00172A27"/>
    <w:rsid w:val="00175874"/>
    <w:rsid w:val="001767E6"/>
    <w:rsid w:val="00176AC2"/>
    <w:rsid w:val="001802FB"/>
    <w:rsid w:val="001806A8"/>
    <w:rsid w:val="00180983"/>
    <w:rsid w:val="0018310D"/>
    <w:rsid w:val="00187BAE"/>
    <w:rsid w:val="00187FEF"/>
    <w:rsid w:val="00190A8D"/>
    <w:rsid w:val="0019547D"/>
    <w:rsid w:val="00195E1F"/>
    <w:rsid w:val="00196645"/>
    <w:rsid w:val="00197997"/>
    <w:rsid w:val="001A384E"/>
    <w:rsid w:val="001A4015"/>
    <w:rsid w:val="001A6202"/>
    <w:rsid w:val="001A6AFD"/>
    <w:rsid w:val="001B0AD2"/>
    <w:rsid w:val="001B14A1"/>
    <w:rsid w:val="001B21A1"/>
    <w:rsid w:val="001B337C"/>
    <w:rsid w:val="001B5AE5"/>
    <w:rsid w:val="001B6518"/>
    <w:rsid w:val="001B7027"/>
    <w:rsid w:val="001B7C67"/>
    <w:rsid w:val="001C0CED"/>
    <w:rsid w:val="001C1105"/>
    <w:rsid w:val="001C17C6"/>
    <w:rsid w:val="001C22DE"/>
    <w:rsid w:val="001C3C4C"/>
    <w:rsid w:val="001C7759"/>
    <w:rsid w:val="001C7F10"/>
    <w:rsid w:val="001D2914"/>
    <w:rsid w:val="001D2FB0"/>
    <w:rsid w:val="001D79D6"/>
    <w:rsid w:val="001E0341"/>
    <w:rsid w:val="001E1C36"/>
    <w:rsid w:val="001E3D8C"/>
    <w:rsid w:val="001E43EF"/>
    <w:rsid w:val="001E44CD"/>
    <w:rsid w:val="001E6F40"/>
    <w:rsid w:val="001F31F0"/>
    <w:rsid w:val="001F3DF5"/>
    <w:rsid w:val="001F3EE6"/>
    <w:rsid w:val="001F4346"/>
    <w:rsid w:val="00200570"/>
    <w:rsid w:val="00201FFE"/>
    <w:rsid w:val="00202C4B"/>
    <w:rsid w:val="00203B88"/>
    <w:rsid w:val="00206380"/>
    <w:rsid w:val="002155FA"/>
    <w:rsid w:val="002176DE"/>
    <w:rsid w:val="00220855"/>
    <w:rsid w:val="00223B64"/>
    <w:rsid w:val="0023029F"/>
    <w:rsid w:val="00231281"/>
    <w:rsid w:val="00231DC2"/>
    <w:rsid w:val="00232DF6"/>
    <w:rsid w:val="002333B7"/>
    <w:rsid w:val="002344F2"/>
    <w:rsid w:val="002368E4"/>
    <w:rsid w:val="00241832"/>
    <w:rsid w:val="00244D42"/>
    <w:rsid w:val="00246FFA"/>
    <w:rsid w:val="00247076"/>
    <w:rsid w:val="00252B94"/>
    <w:rsid w:val="002538FE"/>
    <w:rsid w:val="00255E19"/>
    <w:rsid w:val="00256C2E"/>
    <w:rsid w:val="00257233"/>
    <w:rsid w:val="00260099"/>
    <w:rsid w:val="00260716"/>
    <w:rsid w:val="0026193E"/>
    <w:rsid w:val="00261A9C"/>
    <w:rsid w:val="00261E11"/>
    <w:rsid w:val="00262518"/>
    <w:rsid w:val="00270A1C"/>
    <w:rsid w:val="00271ED8"/>
    <w:rsid w:val="002724B9"/>
    <w:rsid w:val="002730ED"/>
    <w:rsid w:val="00273F94"/>
    <w:rsid w:val="00281718"/>
    <w:rsid w:val="002855D0"/>
    <w:rsid w:val="00290E18"/>
    <w:rsid w:val="00291D54"/>
    <w:rsid w:val="00293A6E"/>
    <w:rsid w:val="0029620D"/>
    <w:rsid w:val="00297A88"/>
    <w:rsid w:val="002B24A3"/>
    <w:rsid w:val="002B2BBC"/>
    <w:rsid w:val="002B351B"/>
    <w:rsid w:val="002B3C48"/>
    <w:rsid w:val="002B434C"/>
    <w:rsid w:val="002B4F1D"/>
    <w:rsid w:val="002B677D"/>
    <w:rsid w:val="002C0864"/>
    <w:rsid w:val="002C0F12"/>
    <w:rsid w:val="002C4649"/>
    <w:rsid w:val="002D00AA"/>
    <w:rsid w:val="002D044D"/>
    <w:rsid w:val="002D0F0A"/>
    <w:rsid w:val="002D35FA"/>
    <w:rsid w:val="002D3797"/>
    <w:rsid w:val="002D37AB"/>
    <w:rsid w:val="002D4BEF"/>
    <w:rsid w:val="002D59C7"/>
    <w:rsid w:val="002D5F10"/>
    <w:rsid w:val="002D6461"/>
    <w:rsid w:val="002D650F"/>
    <w:rsid w:val="002D6E18"/>
    <w:rsid w:val="002D7DF3"/>
    <w:rsid w:val="002D7ED7"/>
    <w:rsid w:val="002E002E"/>
    <w:rsid w:val="002E28F9"/>
    <w:rsid w:val="002E5737"/>
    <w:rsid w:val="002E7525"/>
    <w:rsid w:val="002F01CA"/>
    <w:rsid w:val="002F1163"/>
    <w:rsid w:val="002F2472"/>
    <w:rsid w:val="002F2924"/>
    <w:rsid w:val="002F3161"/>
    <w:rsid w:val="002F5517"/>
    <w:rsid w:val="003031CE"/>
    <w:rsid w:val="00304D66"/>
    <w:rsid w:val="00305358"/>
    <w:rsid w:val="00305988"/>
    <w:rsid w:val="0030650B"/>
    <w:rsid w:val="003110B2"/>
    <w:rsid w:val="003129ED"/>
    <w:rsid w:val="00312C1A"/>
    <w:rsid w:val="00312DD1"/>
    <w:rsid w:val="00313308"/>
    <w:rsid w:val="003144CA"/>
    <w:rsid w:val="00315BB8"/>
    <w:rsid w:val="003171FD"/>
    <w:rsid w:val="00321077"/>
    <w:rsid w:val="00322390"/>
    <w:rsid w:val="00322EDB"/>
    <w:rsid w:val="003230FF"/>
    <w:rsid w:val="003268BB"/>
    <w:rsid w:val="00330072"/>
    <w:rsid w:val="00330B4E"/>
    <w:rsid w:val="0033176D"/>
    <w:rsid w:val="00332F77"/>
    <w:rsid w:val="0033386B"/>
    <w:rsid w:val="00333D6C"/>
    <w:rsid w:val="00335B60"/>
    <w:rsid w:val="00336046"/>
    <w:rsid w:val="00340AAF"/>
    <w:rsid w:val="003436BE"/>
    <w:rsid w:val="00345FC0"/>
    <w:rsid w:val="003469FC"/>
    <w:rsid w:val="00347800"/>
    <w:rsid w:val="003504B5"/>
    <w:rsid w:val="0035296C"/>
    <w:rsid w:val="003546A6"/>
    <w:rsid w:val="00354915"/>
    <w:rsid w:val="00354E6F"/>
    <w:rsid w:val="0035645E"/>
    <w:rsid w:val="003577BE"/>
    <w:rsid w:val="00362FCF"/>
    <w:rsid w:val="00363C85"/>
    <w:rsid w:val="003645A1"/>
    <w:rsid w:val="0036468F"/>
    <w:rsid w:val="003653BA"/>
    <w:rsid w:val="0036651C"/>
    <w:rsid w:val="00366993"/>
    <w:rsid w:val="00370E0A"/>
    <w:rsid w:val="00371876"/>
    <w:rsid w:val="00372C00"/>
    <w:rsid w:val="003737D0"/>
    <w:rsid w:val="00373D4E"/>
    <w:rsid w:val="003754F5"/>
    <w:rsid w:val="003809BC"/>
    <w:rsid w:val="00381B58"/>
    <w:rsid w:val="00382FAE"/>
    <w:rsid w:val="003832DC"/>
    <w:rsid w:val="00384541"/>
    <w:rsid w:val="00385C87"/>
    <w:rsid w:val="00387F14"/>
    <w:rsid w:val="00391402"/>
    <w:rsid w:val="00391F87"/>
    <w:rsid w:val="00393338"/>
    <w:rsid w:val="00394FC5"/>
    <w:rsid w:val="00396952"/>
    <w:rsid w:val="00397C52"/>
    <w:rsid w:val="003A150D"/>
    <w:rsid w:val="003A279C"/>
    <w:rsid w:val="003A2A06"/>
    <w:rsid w:val="003A3ACC"/>
    <w:rsid w:val="003A4B02"/>
    <w:rsid w:val="003A4C78"/>
    <w:rsid w:val="003A5159"/>
    <w:rsid w:val="003A552B"/>
    <w:rsid w:val="003A7F66"/>
    <w:rsid w:val="003B04F9"/>
    <w:rsid w:val="003B132E"/>
    <w:rsid w:val="003B139B"/>
    <w:rsid w:val="003B3A50"/>
    <w:rsid w:val="003B3F24"/>
    <w:rsid w:val="003B448B"/>
    <w:rsid w:val="003B47C6"/>
    <w:rsid w:val="003B774C"/>
    <w:rsid w:val="003B79ED"/>
    <w:rsid w:val="003C1384"/>
    <w:rsid w:val="003C3E62"/>
    <w:rsid w:val="003C63EE"/>
    <w:rsid w:val="003C7CA2"/>
    <w:rsid w:val="003D01E0"/>
    <w:rsid w:val="003D0EF8"/>
    <w:rsid w:val="003D1455"/>
    <w:rsid w:val="003D2B72"/>
    <w:rsid w:val="003D3C61"/>
    <w:rsid w:val="003D42C7"/>
    <w:rsid w:val="003D436B"/>
    <w:rsid w:val="003D7765"/>
    <w:rsid w:val="003E1518"/>
    <w:rsid w:val="003E42F6"/>
    <w:rsid w:val="003E4599"/>
    <w:rsid w:val="003E48E7"/>
    <w:rsid w:val="003E50A8"/>
    <w:rsid w:val="003E6BF7"/>
    <w:rsid w:val="003E744C"/>
    <w:rsid w:val="003E7C95"/>
    <w:rsid w:val="003E7D68"/>
    <w:rsid w:val="003F1437"/>
    <w:rsid w:val="003F1B22"/>
    <w:rsid w:val="003F3365"/>
    <w:rsid w:val="003F39E3"/>
    <w:rsid w:val="003F448B"/>
    <w:rsid w:val="003F58F6"/>
    <w:rsid w:val="003F6316"/>
    <w:rsid w:val="00401149"/>
    <w:rsid w:val="00401C3E"/>
    <w:rsid w:val="00402720"/>
    <w:rsid w:val="00402985"/>
    <w:rsid w:val="00403F39"/>
    <w:rsid w:val="00406593"/>
    <w:rsid w:val="004069B2"/>
    <w:rsid w:val="00410408"/>
    <w:rsid w:val="00413229"/>
    <w:rsid w:val="00413D6F"/>
    <w:rsid w:val="00416F2C"/>
    <w:rsid w:val="004228A3"/>
    <w:rsid w:val="004229AC"/>
    <w:rsid w:val="00423D3B"/>
    <w:rsid w:val="004245A3"/>
    <w:rsid w:val="00424A48"/>
    <w:rsid w:val="004274EC"/>
    <w:rsid w:val="00427917"/>
    <w:rsid w:val="00431D32"/>
    <w:rsid w:val="00436238"/>
    <w:rsid w:val="004378D3"/>
    <w:rsid w:val="00437EF1"/>
    <w:rsid w:val="00441EB5"/>
    <w:rsid w:val="0044341B"/>
    <w:rsid w:val="00443D84"/>
    <w:rsid w:val="00444390"/>
    <w:rsid w:val="00444F7D"/>
    <w:rsid w:val="00445007"/>
    <w:rsid w:val="00446A9B"/>
    <w:rsid w:val="00453750"/>
    <w:rsid w:val="00456668"/>
    <w:rsid w:val="0046088D"/>
    <w:rsid w:val="00460FF4"/>
    <w:rsid w:val="004617CA"/>
    <w:rsid w:val="00462F02"/>
    <w:rsid w:val="00466EDC"/>
    <w:rsid w:val="00467368"/>
    <w:rsid w:val="00467D25"/>
    <w:rsid w:val="00470697"/>
    <w:rsid w:val="0047305C"/>
    <w:rsid w:val="0047403A"/>
    <w:rsid w:val="00474161"/>
    <w:rsid w:val="00474C36"/>
    <w:rsid w:val="00475E38"/>
    <w:rsid w:val="0048006F"/>
    <w:rsid w:val="0048218E"/>
    <w:rsid w:val="00482BBB"/>
    <w:rsid w:val="00485114"/>
    <w:rsid w:val="00485AE4"/>
    <w:rsid w:val="00486111"/>
    <w:rsid w:val="0049176F"/>
    <w:rsid w:val="00492EA5"/>
    <w:rsid w:val="00493247"/>
    <w:rsid w:val="004A0053"/>
    <w:rsid w:val="004A2687"/>
    <w:rsid w:val="004A402F"/>
    <w:rsid w:val="004A5C1C"/>
    <w:rsid w:val="004A6CC2"/>
    <w:rsid w:val="004B12D7"/>
    <w:rsid w:val="004B2B05"/>
    <w:rsid w:val="004B2BBA"/>
    <w:rsid w:val="004B5502"/>
    <w:rsid w:val="004B582B"/>
    <w:rsid w:val="004B71F4"/>
    <w:rsid w:val="004B76B6"/>
    <w:rsid w:val="004C0B5E"/>
    <w:rsid w:val="004C16C3"/>
    <w:rsid w:val="004C16F8"/>
    <w:rsid w:val="004C6366"/>
    <w:rsid w:val="004C63EE"/>
    <w:rsid w:val="004D1073"/>
    <w:rsid w:val="004D1EE6"/>
    <w:rsid w:val="004D238B"/>
    <w:rsid w:val="004D39A3"/>
    <w:rsid w:val="004D7034"/>
    <w:rsid w:val="004E06BE"/>
    <w:rsid w:val="004E19E7"/>
    <w:rsid w:val="004E2E28"/>
    <w:rsid w:val="004E3A45"/>
    <w:rsid w:val="004E3B7D"/>
    <w:rsid w:val="004E3E3E"/>
    <w:rsid w:val="004E4863"/>
    <w:rsid w:val="004E48AC"/>
    <w:rsid w:val="004E5219"/>
    <w:rsid w:val="004E5753"/>
    <w:rsid w:val="004E7DA7"/>
    <w:rsid w:val="004F10CA"/>
    <w:rsid w:val="004F4675"/>
    <w:rsid w:val="004F557E"/>
    <w:rsid w:val="00501570"/>
    <w:rsid w:val="005017DA"/>
    <w:rsid w:val="00501E2B"/>
    <w:rsid w:val="0050411A"/>
    <w:rsid w:val="0050619E"/>
    <w:rsid w:val="005069E2"/>
    <w:rsid w:val="00506B0D"/>
    <w:rsid w:val="00506BCB"/>
    <w:rsid w:val="0051029C"/>
    <w:rsid w:val="005119F4"/>
    <w:rsid w:val="005146EB"/>
    <w:rsid w:val="0051529F"/>
    <w:rsid w:val="005153FD"/>
    <w:rsid w:val="005214BE"/>
    <w:rsid w:val="005219AA"/>
    <w:rsid w:val="00522736"/>
    <w:rsid w:val="00525585"/>
    <w:rsid w:val="00525BAC"/>
    <w:rsid w:val="0052657B"/>
    <w:rsid w:val="00526EA7"/>
    <w:rsid w:val="005313F1"/>
    <w:rsid w:val="00534869"/>
    <w:rsid w:val="0053653D"/>
    <w:rsid w:val="005371D2"/>
    <w:rsid w:val="00537528"/>
    <w:rsid w:val="00542ED7"/>
    <w:rsid w:val="00545A76"/>
    <w:rsid w:val="005506C7"/>
    <w:rsid w:val="005514AA"/>
    <w:rsid w:val="00553234"/>
    <w:rsid w:val="0055402E"/>
    <w:rsid w:val="0055647C"/>
    <w:rsid w:val="0055689F"/>
    <w:rsid w:val="0055708E"/>
    <w:rsid w:val="00561349"/>
    <w:rsid w:val="005657FC"/>
    <w:rsid w:val="00567054"/>
    <w:rsid w:val="00567A9A"/>
    <w:rsid w:val="00570FEC"/>
    <w:rsid w:val="00571A8C"/>
    <w:rsid w:val="0057377D"/>
    <w:rsid w:val="0057500A"/>
    <w:rsid w:val="00585E04"/>
    <w:rsid w:val="005910DD"/>
    <w:rsid w:val="005940C1"/>
    <w:rsid w:val="0059566C"/>
    <w:rsid w:val="0059585E"/>
    <w:rsid w:val="00597619"/>
    <w:rsid w:val="005A1AAB"/>
    <w:rsid w:val="005A3156"/>
    <w:rsid w:val="005A53DF"/>
    <w:rsid w:val="005A6185"/>
    <w:rsid w:val="005B052E"/>
    <w:rsid w:val="005B220B"/>
    <w:rsid w:val="005B2460"/>
    <w:rsid w:val="005B2E19"/>
    <w:rsid w:val="005B66D2"/>
    <w:rsid w:val="005B7842"/>
    <w:rsid w:val="005C1AC7"/>
    <w:rsid w:val="005C20A4"/>
    <w:rsid w:val="005C21D4"/>
    <w:rsid w:val="005C2356"/>
    <w:rsid w:val="005C4B1B"/>
    <w:rsid w:val="005C62ED"/>
    <w:rsid w:val="005D57F1"/>
    <w:rsid w:val="005D680C"/>
    <w:rsid w:val="005E06D3"/>
    <w:rsid w:val="005E27C0"/>
    <w:rsid w:val="005E4F1C"/>
    <w:rsid w:val="005E7B04"/>
    <w:rsid w:val="005F05DE"/>
    <w:rsid w:val="005F097D"/>
    <w:rsid w:val="005F0C90"/>
    <w:rsid w:val="005F1004"/>
    <w:rsid w:val="005F1FAE"/>
    <w:rsid w:val="005F42AD"/>
    <w:rsid w:val="005F4E40"/>
    <w:rsid w:val="005F56A6"/>
    <w:rsid w:val="005F6041"/>
    <w:rsid w:val="005F7D6C"/>
    <w:rsid w:val="005F7E99"/>
    <w:rsid w:val="0060039A"/>
    <w:rsid w:val="00601081"/>
    <w:rsid w:val="006012C6"/>
    <w:rsid w:val="00603239"/>
    <w:rsid w:val="0060473D"/>
    <w:rsid w:val="006053DC"/>
    <w:rsid w:val="00607A61"/>
    <w:rsid w:val="00612153"/>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DA7"/>
    <w:rsid w:val="00635291"/>
    <w:rsid w:val="006357BD"/>
    <w:rsid w:val="0064057A"/>
    <w:rsid w:val="006408DC"/>
    <w:rsid w:val="006413AD"/>
    <w:rsid w:val="00641EED"/>
    <w:rsid w:val="00643A7A"/>
    <w:rsid w:val="006443C1"/>
    <w:rsid w:val="0064545A"/>
    <w:rsid w:val="006503F8"/>
    <w:rsid w:val="00650D0F"/>
    <w:rsid w:val="00650D85"/>
    <w:rsid w:val="00651856"/>
    <w:rsid w:val="006521E7"/>
    <w:rsid w:val="0065579F"/>
    <w:rsid w:val="00662163"/>
    <w:rsid w:val="00670351"/>
    <w:rsid w:val="006706AA"/>
    <w:rsid w:val="006718B7"/>
    <w:rsid w:val="00673154"/>
    <w:rsid w:val="00673553"/>
    <w:rsid w:val="006746B2"/>
    <w:rsid w:val="0067540D"/>
    <w:rsid w:val="00676131"/>
    <w:rsid w:val="0068365D"/>
    <w:rsid w:val="0068430C"/>
    <w:rsid w:val="00685237"/>
    <w:rsid w:val="0068724D"/>
    <w:rsid w:val="00687CE8"/>
    <w:rsid w:val="00690BB8"/>
    <w:rsid w:val="0069144C"/>
    <w:rsid w:val="0069161A"/>
    <w:rsid w:val="0069189C"/>
    <w:rsid w:val="00691E28"/>
    <w:rsid w:val="006954BD"/>
    <w:rsid w:val="006978B2"/>
    <w:rsid w:val="00697DD7"/>
    <w:rsid w:val="006A1A73"/>
    <w:rsid w:val="006A451F"/>
    <w:rsid w:val="006A67C2"/>
    <w:rsid w:val="006A6A31"/>
    <w:rsid w:val="006B0833"/>
    <w:rsid w:val="006B0BCD"/>
    <w:rsid w:val="006B0CBE"/>
    <w:rsid w:val="006B1969"/>
    <w:rsid w:val="006B2F1E"/>
    <w:rsid w:val="006B3DD7"/>
    <w:rsid w:val="006B48F1"/>
    <w:rsid w:val="006C2D21"/>
    <w:rsid w:val="006C60A2"/>
    <w:rsid w:val="006C6193"/>
    <w:rsid w:val="006D0533"/>
    <w:rsid w:val="006D0DD2"/>
    <w:rsid w:val="006D436D"/>
    <w:rsid w:val="006D5430"/>
    <w:rsid w:val="006D63EF"/>
    <w:rsid w:val="006D7C19"/>
    <w:rsid w:val="006D7CA8"/>
    <w:rsid w:val="006E2FE4"/>
    <w:rsid w:val="006E36C6"/>
    <w:rsid w:val="006E3B73"/>
    <w:rsid w:val="006E3FEB"/>
    <w:rsid w:val="006E7570"/>
    <w:rsid w:val="006F2252"/>
    <w:rsid w:val="006F259F"/>
    <w:rsid w:val="006F30EE"/>
    <w:rsid w:val="006F3D72"/>
    <w:rsid w:val="006F3FB1"/>
    <w:rsid w:val="006F4B94"/>
    <w:rsid w:val="006F511B"/>
    <w:rsid w:val="006F6130"/>
    <w:rsid w:val="006F6C14"/>
    <w:rsid w:val="006F6CFF"/>
    <w:rsid w:val="006F6EB8"/>
    <w:rsid w:val="006F72DD"/>
    <w:rsid w:val="007006C7"/>
    <w:rsid w:val="0070098D"/>
    <w:rsid w:val="00700D30"/>
    <w:rsid w:val="0070393B"/>
    <w:rsid w:val="00704BC7"/>
    <w:rsid w:val="007051AF"/>
    <w:rsid w:val="00705FA1"/>
    <w:rsid w:val="00707E83"/>
    <w:rsid w:val="00711E45"/>
    <w:rsid w:val="00713AE8"/>
    <w:rsid w:val="00714AB0"/>
    <w:rsid w:val="007165B5"/>
    <w:rsid w:val="007165BE"/>
    <w:rsid w:val="007200FA"/>
    <w:rsid w:val="00723530"/>
    <w:rsid w:val="00725CC4"/>
    <w:rsid w:val="00726958"/>
    <w:rsid w:val="00727D4D"/>
    <w:rsid w:val="00731322"/>
    <w:rsid w:val="00731E30"/>
    <w:rsid w:val="00736CDD"/>
    <w:rsid w:val="00736FEF"/>
    <w:rsid w:val="00737516"/>
    <w:rsid w:val="00740954"/>
    <w:rsid w:val="00741230"/>
    <w:rsid w:val="0074310F"/>
    <w:rsid w:val="00745C1D"/>
    <w:rsid w:val="00746271"/>
    <w:rsid w:val="00750BF6"/>
    <w:rsid w:val="007517C3"/>
    <w:rsid w:val="00751F23"/>
    <w:rsid w:val="0075278C"/>
    <w:rsid w:val="00752C9E"/>
    <w:rsid w:val="00756B13"/>
    <w:rsid w:val="007573D2"/>
    <w:rsid w:val="007577AC"/>
    <w:rsid w:val="00760C49"/>
    <w:rsid w:val="0076122E"/>
    <w:rsid w:val="007626A2"/>
    <w:rsid w:val="007651F0"/>
    <w:rsid w:val="00765D32"/>
    <w:rsid w:val="007705A1"/>
    <w:rsid w:val="00770F43"/>
    <w:rsid w:val="00771468"/>
    <w:rsid w:val="007719AC"/>
    <w:rsid w:val="00773686"/>
    <w:rsid w:val="00776AD0"/>
    <w:rsid w:val="007771F0"/>
    <w:rsid w:val="00780871"/>
    <w:rsid w:val="007846F2"/>
    <w:rsid w:val="00787A57"/>
    <w:rsid w:val="00787B7D"/>
    <w:rsid w:val="00792D48"/>
    <w:rsid w:val="00793203"/>
    <w:rsid w:val="007933D2"/>
    <w:rsid w:val="007938C0"/>
    <w:rsid w:val="00794677"/>
    <w:rsid w:val="00795931"/>
    <w:rsid w:val="00796A2A"/>
    <w:rsid w:val="007A053E"/>
    <w:rsid w:val="007A115D"/>
    <w:rsid w:val="007A2A69"/>
    <w:rsid w:val="007A5C94"/>
    <w:rsid w:val="007A6821"/>
    <w:rsid w:val="007B055F"/>
    <w:rsid w:val="007B0BAC"/>
    <w:rsid w:val="007B3EE9"/>
    <w:rsid w:val="007B4B41"/>
    <w:rsid w:val="007B6028"/>
    <w:rsid w:val="007B7651"/>
    <w:rsid w:val="007C0BA7"/>
    <w:rsid w:val="007C14FA"/>
    <w:rsid w:val="007C33E4"/>
    <w:rsid w:val="007C41B3"/>
    <w:rsid w:val="007C44F4"/>
    <w:rsid w:val="007D0CD8"/>
    <w:rsid w:val="007D2298"/>
    <w:rsid w:val="007D2587"/>
    <w:rsid w:val="007D36F2"/>
    <w:rsid w:val="007D4D1B"/>
    <w:rsid w:val="007D4F90"/>
    <w:rsid w:val="007D5A25"/>
    <w:rsid w:val="007E0F24"/>
    <w:rsid w:val="007E17B1"/>
    <w:rsid w:val="007E27C0"/>
    <w:rsid w:val="007E2BDB"/>
    <w:rsid w:val="007E4716"/>
    <w:rsid w:val="007E6651"/>
    <w:rsid w:val="007E6E32"/>
    <w:rsid w:val="007E771D"/>
    <w:rsid w:val="007F3DA7"/>
    <w:rsid w:val="007F4203"/>
    <w:rsid w:val="007F502E"/>
    <w:rsid w:val="007F65F6"/>
    <w:rsid w:val="007F6A42"/>
    <w:rsid w:val="008013CA"/>
    <w:rsid w:val="008056CF"/>
    <w:rsid w:val="00806C7C"/>
    <w:rsid w:val="0080728E"/>
    <w:rsid w:val="008076D8"/>
    <w:rsid w:val="00814945"/>
    <w:rsid w:val="00814985"/>
    <w:rsid w:val="008160BF"/>
    <w:rsid w:val="00816F96"/>
    <w:rsid w:val="008170EC"/>
    <w:rsid w:val="008175D4"/>
    <w:rsid w:val="00823AF8"/>
    <w:rsid w:val="008267CB"/>
    <w:rsid w:val="00827512"/>
    <w:rsid w:val="00831329"/>
    <w:rsid w:val="008324DA"/>
    <w:rsid w:val="00833B77"/>
    <w:rsid w:val="00835356"/>
    <w:rsid w:val="00836D5A"/>
    <w:rsid w:val="0083795A"/>
    <w:rsid w:val="00837C9F"/>
    <w:rsid w:val="00843379"/>
    <w:rsid w:val="008436F0"/>
    <w:rsid w:val="00843DAA"/>
    <w:rsid w:val="00843F40"/>
    <w:rsid w:val="008505B6"/>
    <w:rsid w:val="00850AD1"/>
    <w:rsid w:val="00851A3E"/>
    <w:rsid w:val="00851C79"/>
    <w:rsid w:val="00852259"/>
    <w:rsid w:val="00853419"/>
    <w:rsid w:val="00855CBD"/>
    <w:rsid w:val="00856F99"/>
    <w:rsid w:val="008609B3"/>
    <w:rsid w:val="00860FE6"/>
    <w:rsid w:val="00864140"/>
    <w:rsid w:val="00864D17"/>
    <w:rsid w:val="008702BF"/>
    <w:rsid w:val="008719DB"/>
    <w:rsid w:val="00872250"/>
    <w:rsid w:val="00873167"/>
    <w:rsid w:val="008731B8"/>
    <w:rsid w:val="00873D16"/>
    <w:rsid w:val="008742D9"/>
    <w:rsid w:val="008768D2"/>
    <w:rsid w:val="00880F6C"/>
    <w:rsid w:val="008855E2"/>
    <w:rsid w:val="00885E69"/>
    <w:rsid w:val="00886047"/>
    <w:rsid w:val="00886521"/>
    <w:rsid w:val="00887F76"/>
    <w:rsid w:val="00891E8C"/>
    <w:rsid w:val="008937A3"/>
    <w:rsid w:val="00894051"/>
    <w:rsid w:val="0089509A"/>
    <w:rsid w:val="008A3B55"/>
    <w:rsid w:val="008A4FE1"/>
    <w:rsid w:val="008A5E28"/>
    <w:rsid w:val="008A73B2"/>
    <w:rsid w:val="008B0715"/>
    <w:rsid w:val="008B302A"/>
    <w:rsid w:val="008B4198"/>
    <w:rsid w:val="008B4609"/>
    <w:rsid w:val="008B725C"/>
    <w:rsid w:val="008C1D6D"/>
    <w:rsid w:val="008C3F98"/>
    <w:rsid w:val="008C594A"/>
    <w:rsid w:val="008D1DAC"/>
    <w:rsid w:val="008D23AF"/>
    <w:rsid w:val="008D3A05"/>
    <w:rsid w:val="008D3E0C"/>
    <w:rsid w:val="008D681A"/>
    <w:rsid w:val="008D6B1A"/>
    <w:rsid w:val="008D6D38"/>
    <w:rsid w:val="008E0617"/>
    <w:rsid w:val="008E5B71"/>
    <w:rsid w:val="008E705E"/>
    <w:rsid w:val="008F2453"/>
    <w:rsid w:val="008F3128"/>
    <w:rsid w:val="008F34E9"/>
    <w:rsid w:val="008F7F5E"/>
    <w:rsid w:val="00902833"/>
    <w:rsid w:val="009039E2"/>
    <w:rsid w:val="0091196A"/>
    <w:rsid w:val="00911DC9"/>
    <w:rsid w:val="009123FF"/>
    <w:rsid w:val="009164CD"/>
    <w:rsid w:val="00916C40"/>
    <w:rsid w:val="00917271"/>
    <w:rsid w:val="0091740C"/>
    <w:rsid w:val="00922A9F"/>
    <w:rsid w:val="00925478"/>
    <w:rsid w:val="00925A8F"/>
    <w:rsid w:val="00925D8E"/>
    <w:rsid w:val="009269F5"/>
    <w:rsid w:val="00927C35"/>
    <w:rsid w:val="00930CAD"/>
    <w:rsid w:val="009400CF"/>
    <w:rsid w:val="00940533"/>
    <w:rsid w:val="009410AE"/>
    <w:rsid w:val="009432FE"/>
    <w:rsid w:val="009438F8"/>
    <w:rsid w:val="00944414"/>
    <w:rsid w:val="00945FA9"/>
    <w:rsid w:val="0094691D"/>
    <w:rsid w:val="00954F42"/>
    <w:rsid w:val="00957172"/>
    <w:rsid w:val="009578D1"/>
    <w:rsid w:val="00957A33"/>
    <w:rsid w:val="0096003B"/>
    <w:rsid w:val="0096081E"/>
    <w:rsid w:val="0096137E"/>
    <w:rsid w:val="00961E92"/>
    <w:rsid w:val="009647C5"/>
    <w:rsid w:val="0096604F"/>
    <w:rsid w:val="00966280"/>
    <w:rsid w:val="009663C5"/>
    <w:rsid w:val="00966709"/>
    <w:rsid w:val="00966E17"/>
    <w:rsid w:val="00971DDC"/>
    <w:rsid w:val="009755AD"/>
    <w:rsid w:val="009757E0"/>
    <w:rsid w:val="0097718E"/>
    <w:rsid w:val="009800B6"/>
    <w:rsid w:val="00985DB7"/>
    <w:rsid w:val="009861C6"/>
    <w:rsid w:val="00986B3C"/>
    <w:rsid w:val="00986C7B"/>
    <w:rsid w:val="00986D52"/>
    <w:rsid w:val="009903A8"/>
    <w:rsid w:val="00991070"/>
    <w:rsid w:val="00992DCD"/>
    <w:rsid w:val="00994702"/>
    <w:rsid w:val="00996E62"/>
    <w:rsid w:val="00997875"/>
    <w:rsid w:val="00997D39"/>
    <w:rsid w:val="00997FD5"/>
    <w:rsid w:val="009A1CA8"/>
    <w:rsid w:val="009A405A"/>
    <w:rsid w:val="009A5082"/>
    <w:rsid w:val="009A618E"/>
    <w:rsid w:val="009B09A9"/>
    <w:rsid w:val="009B155B"/>
    <w:rsid w:val="009B183F"/>
    <w:rsid w:val="009B1F5B"/>
    <w:rsid w:val="009B3DB8"/>
    <w:rsid w:val="009B4769"/>
    <w:rsid w:val="009B619D"/>
    <w:rsid w:val="009C2086"/>
    <w:rsid w:val="009C3006"/>
    <w:rsid w:val="009C7D32"/>
    <w:rsid w:val="009D159F"/>
    <w:rsid w:val="009D2A16"/>
    <w:rsid w:val="009D4DB6"/>
    <w:rsid w:val="009D6952"/>
    <w:rsid w:val="009D7F9A"/>
    <w:rsid w:val="009E068F"/>
    <w:rsid w:val="009E1B89"/>
    <w:rsid w:val="009E4F8A"/>
    <w:rsid w:val="009E619C"/>
    <w:rsid w:val="009E7020"/>
    <w:rsid w:val="009E7045"/>
    <w:rsid w:val="009E748B"/>
    <w:rsid w:val="009F1B67"/>
    <w:rsid w:val="009F2244"/>
    <w:rsid w:val="009F3D12"/>
    <w:rsid w:val="009F51E2"/>
    <w:rsid w:val="009F5B6D"/>
    <w:rsid w:val="00A0030B"/>
    <w:rsid w:val="00A03D3F"/>
    <w:rsid w:val="00A03F70"/>
    <w:rsid w:val="00A04BEB"/>
    <w:rsid w:val="00A04DE2"/>
    <w:rsid w:val="00A06515"/>
    <w:rsid w:val="00A11A20"/>
    <w:rsid w:val="00A11DFB"/>
    <w:rsid w:val="00A11F1E"/>
    <w:rsid w:val="00A14BA5"/>
    <w:rsid w:val="00A155B1"/>
    <w:rsid w:val="00A15C80"/>
    <w:rsid w:val="00A15DA4"/>
    <w:rsid w:val="00A20607"/>
    <w:rsid w:val="00A20BD3"/>
    <w:rsid w:val="00A20D0F"/>
    <w:rsid w:val="00A22250"/>
    <w:rsid w:val="00A2486B"/>
    <w:rsid w:val="00A25160"/>
    <w:rsid w:val="00A2769F"/>
    <w:rsid w:val="00A27E76"/>
    <w:rsid w:val="00A31A13"/>
    <w:rsid w:val="00A31A7B"/>
    <w:rsid w:val="00A323D7"/>
    <w:rsid w:val="00A32701"/>
    <w:rsid w:val="00A330EB"/>
    <w:rsid w:val="00A334CC"/>
    <w:rsid w:val="00A44BE1"/>
    <w:rsid w:val="00A4500D"/>
    <w:rsid w:val="00A504A8"/>
    <w:rsid w:val="00A520E0"/>
    <w:rsid w:val="00A542B8"/>
    <w:rsid w:val="00A54719"/>
    <w:rsid w:val="00A56DFF"/>
    <w:rsid w:val="00A5709E"/>
    <w:rsid w:val="00A60AB0"/>
    <w:rsid w:val="00A612B9"/>
    <w:rsid w:val="00A64994"/>
    <w:rsid w:val="00A66B14"/>
    <w:rsid w:val="00A66CF8"/>
    <w:rsid w:val="00A727DA"/>
    <w:rsid w:val="00A74F48"/>
    <w:rsid w:val="00A756EC"/>
    <w:rsid w:val="00A80A1F"/>
    <w:rsid w:val="00A815A9"/>
    <w:rsid w:val="00A81A3A"/>
    <w:rsid w:val="00A83E6C"/>
    <w:rsid w:val="00A84D8D"/>
    <w:rsid w:val="00A854F8"/>
    <w:rsid w:val="00A900AE"/>
    <w:rsid w:val="00A9330E"/>
    <w:rsid w:val="00A93FD6"/>
    <w:rsid w:val="00A9447A"/>
    <w:rsid w:val="00A95040"/>
    <w:rsid w:val="00A95088"/>
    <w:rsid w:val="00A957EB"/>
    <w:rsid w:val="00A960AC"/>
    <w:rsid w:val="00AA3298"/>
    <w:rsid w:val="00AA41AA"/>
    <w:rsid w:val="00AA6892"/>
    <w:rsid w:val="00AA72CC"/>
    <w:rsid w:val="00AA76B7"/>
    <w:rsid w:val="00AB049C"/>
    <w:rsid w:val="00AB1D7B"/>
    <w:rsid w:val="00AB1EA3"/>
    <w:rsid w:val="00AB3399"/>
    <w:rsid w:val="00AB3D67"/>
    <w:rsid w:val="00AC4276"/>
    <w:rsid w:val="00AC464D"/>
    <w:rsid w:val="00AC51E8"/>
    <w:rsid w:val="00AC57DE"/>
    <w:rsid w:val="00AD0CA9"/>
    <w:rsid w:val="00AD1C5F"/>
    <w:rsid w:val="00AD2407"/>
    <w:rsid w:val="00AD2F9B"/>
    <w:rsid w:val="00AD62D8"/>
    <w:rsid w:val="00AE043E"/>
    <w:rsid w:val="00AE3EBC"/>
    <w:rsid w:val="00AE5146"/>
    <w:rsid w:val="00AE55C5"/>
    <w:rsid w:val="00AE5A4F"/>
    <w:rsid w:val="00AE7B16"/>
    <w:rsid w:val="00AF0B65"/>
    <w:rsid w:val="00AF7EEF"/>
    <w:rsid w:val="00B002E0"/>
    <w:rsid w:val="00B0053F"/>
    <w:rsid w:val="00B0132A"/>
    <w:rsid w:val="00B025A0"/>
    <w:rsid w:val="00B029C1"/>
    <w:rsid w:val="00B03E14"/>
    <w:rsid w:val="00B06BF6"/>
    <w:rsid w:val="00B07968"/>
    <w:rsid w:val="00B07B19"/>
    <w:rsid w:val="00B10FBA"/>
    <w:rsid w:val="00B1189C"/>
    <w:rsid w:val="00B12666"/>
    <w:rsid w:val="00B126DA"/>
    <w:rsid w:val="00B15903"/>
    <w:rsid w:val="00B15D46"/>
    <w:rsid w:val="00B166C8"/>
    <w:rsid w:val="00B23604"/>
    <w:rsid w:val="00B243E6"/>
    <w:rsid w:val="00B2566A"/>
    <w:rsid w:val="00B2704A"/>
    <w:rsid w:val="00B351E3"/>
    <w:rsid w:val="00B41694"/>
    <w:rsid w:val="00B425D5"/>
    <w:rsid w:val="00B426BB"/>
    <w:rsid w:val="00B427B9"/>
    <w:rsid w:val="00B42907"/>
    <w:rsid w:val="00B43371"/>
    <w:rsid w:val="00B449B9"/>
    <w:rsid w:val="00B44CA2"/>
    <w:rsid w:val="00B454AE"/>
    <w:rsid w:val="00B5008D"/>
    <w:rsid w:val="00B50D18"/>
    <w:rsid w:val="00B518C8"/>
    <w:rsid w:val="00B52088"/>
    <w:rsid w:val="00B52464"/>
    <w:rsid w:val="00B55CF3"/>
    <w:rsid w:val="00B56491"/>
    <w:rsid w:val="00B65BF6"/>
    <w:rsid w:val="00B670CE"/>
    <w:rsid w:val="00B677AE"/>
    <w:rsid w:val="00B67B79"/>
    <w:rsid w:val="00B67E74"/>
    <w:rsid w:val="00B716F8"/>
    <w:rsid w:val="00B82234"/>
    <w:rsid w:val="00B8229B"/>
    <w:rsid w:val="00B8283E"/>
    <w:rsid w:val="00B837AA"/>
    <w:rsid w:val="00B87D03"/>
    <w:rsid w:val="00B909E8"/>
    <w:rsid w:val="00B928EE"/>
    <w:rsid w:val="00B92AD5"/>
    <w:rsid w:val="00B94BA4"/>
    <w:rsid w:val="00B97DB5"/>
    <w:rsid w:val="00BB0D86"/>
    <w:rsid w:val="00BB156E"/>
    <w:rsid w:val="00BB1C68"/>
    <w:rsid w:val="00BB3ABA"/>
    <w:rsid w:val="00BB3E79"/>
    <w:rsid w:val="00BB4FEC"/>
    <w:rsid w:val="00BB65B1"/>
    <w:rsid w:val="00BB69D5"/>
    <w:rsid w:val="00BC03E1"/>
    <w:rsid w:val="00BC4593"/>
    <w:rsid w:val="00BD05BF"/>
    <w:rsid w:val="00BD2B8B"/>
    <w:rsid w:val="00BD464A"/>
    <w:rsid w:val="00BD58EB"/>
    <w:rsid w:val="00BD6CFB"/>
    <w:rsid w:val="00BE28BE"/>
    <w:rsid w:val="00BE2902"/>
    <w:rsid w:val="00BE42CB"/>
    <w:rsid w:val="00BE6162"/>
    <w:rsid w:val="00BE6C9C"/>
    <w:rsid w:val="00BF0409"/>
    <w:rsid w:val="00BF0850"/>
    <w:rsid w:val="00BF3613"/>
    <w:rsid w:val="00BF37B7"/>
    <w:rsid w:val="00BF5969"/>
    <w:rsid w:val="00BF5C82"/>
    <w:rsid w:val="00BF7A5E"/>
    <w:rsid w:val="00C0085D"/>
    <w:rsid w:val="00C00E47"/>
    <w:rsid w:val="00C010AA"/>
    <w:rsid w:val="00C013EF"/>
    <w:rsid w:val="00C06F86"/>
    <w:rsid w:val="00C11D21"/>
    <w:rsid w:val="00C11EFC"/>
    <w:rsid w:val="00C12E5B"/>
    <w:rsid w:val="00C1675F"/>
    <w:rsid w:val="00C172FB"/>
    <w:rsid w:val="00C21F2D"/>
    <w:rsid w:val="00C23439"/>
    <w:rsid w:val="00C27213"/>
    <w:rsid w:val="00C278C2"/>
    <w:rsid w:val="00C32425"/>
    <w:rsid w:val="00C33DEA"/>
    <w:rsid w:val="00C353D0"/>
    <w:rsid w:val="00C35AE1"/>
    <w:rsid w:val="00C41E55"/>
    <w:rsid w:val="00C4247E"/>
    <w:rsid w:val="00C43809"/>
    <w:rsid w:val="00C45167"/>
    <w:rsid w:val="00C473CE"/>
    <w:rsid w:val="00C50168"/>
    <w:rsid w:val="00C5180C"/>
    <w:rsid w:val="00C52111"/>
    <w:rsid w:val="00C523E4"/>
    <w:rsid w:val="00C531B7"/>
    <w:rsid w:val="00C53622"/>
    <w:rsid w:val="00C54982"/>
    <w:rsid w:val="00C54B46"/>
    <w:rsid w:val="00C55B71"/>
    <w:rsid w:val="00C56DB9"/>
    <w:rsid w:val="00C621A1"/>
    <w:rsid w:val="00C63153"/>
    <w:rsid w:val="00C635C5"/>
    <w:rsid w:val="00C63CB8"/>
    <w:rsid w:val="00C65327"/>
    <w:rsid w:val="00C67235"/>
    <w:rsid w:val="00C67382"/>
    <w:rsid w:val="00C70488"/>
    <w:rsid w:val="00C72471"/>
    <w:rsid w:val="00C72B4C"/>
    <w:rsid w:val="00C73D23"/>
    <w:rsid w:val="00C8086B"/>
    <w:rsid w:val="00C82D97"/>
    <w:rsid w:val="00C84D14"/>
    <w:rsid w:val="00C91C45"/>
    <w:rsid w:val="00C9369C"/>
    <w:rsid w:val="00C93EDD"/>
    <w:rsid w:val="00C953EF"/>
    <w:rsid w:val="00C953F6"/>
    <w:rsid w:val="00C97FD3"/>
    <w:rsid w:val="00CA0363"/>
    <w:rsid w:val="00CA06A4"/>
    <w:rsid w:val="00CA24DF"/>
    <w:rsid w:val="00CA2D45"/>
    <w:rsid w:val="00CA501F"/>
    <w:rsid w:val="00CA59FA"/>
    <w:rsid w:val="00CA61CF"/>
    <w:rsid w:val="00CA66C7"/>
    <w:rsid w:val="00CA7247"/>
    <w:rsid w:val="00CB1749"/>
    <w:rsid w:val="00CB1AEB"/>
    <w:rsid w:val="00CB3A9F"/>
    <w:rsid w:val="00CB5048"/>
    <w:rsid w:val="00CC0888"/>
    <w:rsid w:val="00CC10DA"/>
    <w:rsid w:val="00CC156D"/>
    <w:rsid w:val="00CC58C3"/>
    <w:rsid w:val="00CD229F"/>
    <w:rsid w:val="00CE14D2"/>
    <w:rsid w:val="00CE1600"/>
    <w:rsid w:val="00CE2D1F"/>
    <w:rsid w:val="00CE52F0"/>
    <w:rsid w:val="00CF18A3"/>
    <w:rsid w:val="00CF356A"/>
    <w:rsid w:val="00CF47B5"/>
    <w:rsid w:val="00CF4835"/>
    <w:rsid w:val="00CF4A61"/>
    <w:rsid w:val="00D029CB"/>
    <w:rsid w:val="00D04274"/>
    <w:rsid w:val="00D05A8B"/>
    <w:rsid w:val="00D0637E"/>
    <w:rsid w:val="00D06659"/>
    <w:rsid w:val="00D0699D"/>
    <w:rsid w:val="00D1447E"/>
    <w:rsid w:val="00D164B7"/>
    <w:rsid w:val="00D1747A"/>
    <w:rsid w:val="00D205D0"/>
    <w:rsid w:val="00D20D12"/>
    <w:rsid w:val="00D21306"/>
    <w:rsid w:val="00D2151A"/>
    <w:rsid w:val="00D22151"/>
    <w:rsid w:val="00D23418"/>
    <w:rsid w:val="00D240AB"/>
    <w:rsid w:val="00D25CA2"/>
    <w:rsid w:val="00D26BCB"/>
    <w:rsid w:val="00D26CC6"/>
    <w:rsid w:val="00D275C6"/>
    <w:rsid w:val="00D27639"/>
    <w:rsid w:val="00D31B5E"/>
    <w:rsid w:val="00D3498B"/>
    <w:rsid w:val="00D35B67"/>
    <w:rsid w:val="00D369E4"/>
    <w:rsid w:val="00D37BF2"/>
    <w:rsid w:val="00D41A51"/>
    <w:rsid w:val="00D42DFD"/>
    <w:rsid w:val="00D45E14"/>
    <w:rsid w:val="00D4755C"/>
    <w:rsid w:val="00D51229"/>
    <w:rsid w:val="00D52834"/>
    <w:rsid w:val="00D544FE"/>
    <w:rsid w:val="00D54784"/>
    <w:rsid w:val="00D5596F"/>
    <w:rsid w:val="00D560F9"/>
    <w:rsid w:val="00D56F3F"/>
    <w:rsid w:val="00D610EE"/>
    <w:rsid w:val="00D61F13"/>
    <w:rsid w:val="00D624E9"/>
    <w:rsid w:val="00D672D6"/>
    <w:rsid w:val="00D679CF"/>
    <w:rsid w:val="00D67D4A"/>
    <w:rsid w:val="00D70B9D"/>
    <w:rsid w:val="00D72B46"/>
    <w:rsid w:val="00D73122"/>
    <w:rsid w:val="00D75886"/>
    <w:rsid w:val="00D75D2E"/>
    <w:rsid w:val="00D806A3"/>
    <w:rsid w:val="00D81BAC"/>
    <w:rsid w:val="00D82644"/>
    <w:rsid w:val="00D82B84"/>
    <w:rsid w:val="00D83149"/>
    <w:rsid w:val="00D83173"/>
    <w:rsid w:val="00D8380A"/>
    <w:rsid w:val="00D84ABB"/>
    <w:rsid w:val="00D85273"/>
    <w:rsid w:val="00D90CC5"/>
    <w:rsid w:val="00D92C6A"/>
    <w:rsid w:val="00D95330"/>
    <w:rsid w:val="00D960FD"/>
    <w:rsid w:val="00DA12AB"/>
    <w:rsid w:val="00DA2F4D"/>
    <w:rsid w:val="00DA7973"/>
    <w:rsid w:val="00DB2A23"/>
    <w:rsid w:val="00DB3689"/>
    <w:rsid w:val="00DB3767"/>
    <w:rsid w:val="00DB39E0"/>
    <w:rsid w:val="00DB5F4B"/>
    <w:rsid w:val="00DB60E1"/>
    <w:rsid w:val="00DB7729"/>
    <w:rsid w:val="00DC22BE"/>
    <w:rsid w:val="00DC5F62"/>
    <w:rsid w:val="00DC7FAF"/>
    <w:rsid w:val="00DD02BA"/>
    <w:rsid w:val="00DD100B"/>
    <w:rsid w:val="00DD42F9"/>
    <w:rsid w:val="00DD5B6C"/>
    <w:rsid w:val="00DE1B4A"/>
    <w:rsid w:val="00DE2CFF"/>
    <w:rsid w:val="00DE3330"/>
    <w:rsid w:val="00DE3F95"/>
    <w:rsid w:val="00DE4DC6"/>
    <w:rsid w:val="00DE5939"/>
    <w:rsid w:val="00DF0F2C"/>
    <w:rsid w:val="00DF2997"/>
    <w:rsid w:val="00DF4CBC"/>
    <w:rsid w:val="00DF5370"/>
    <w:rsid w:val="00DF5D1D"/>
    <w:rsid w:val="00E0032E"/>
    <w:rsid w:val="00E0205D"/>
    <w:rsid w:val="00E1018A"/>
    <w:rsid w:val="00E120F4"/>
    <w:rsid w:val="00E153F6"/>
    <w:rsid w:val="00E15F7E"/>
    <w:rsid w:val="00E173DF"/>
    <w:rsid w:val="00E20EBF"/>
    <w:rsid w:val="00E22A02"/>
    <w:rsid w:val="00E27FC2"/>
    <w:rsid w:val="00E31912"/>
    <w:rsid w:val="00E31B60"/>
    <w:rsid w:val="00E34D88"/>
    <w:rsid w:val="00E353DB"/>
    <w:rsid w:val="00E36375"/>
    <w:rsid w:val="00E40D48"/>
    <w:rsid w:val="00E40DBF"/>
    <w:rsid w:val="00E42C98"/>
    <w:rsid w:val="00E43798"/>
    <w:rsid w:val="00E43842"/>
    <w:rsid w:val="00E468CA"/>
    <w:rsid w:val="00E47CAE"/>
    <w:rsid w:val="00E47D3F"/>
    <w:rsid w:val="00E521EE"/>
    <w:rsid w:val="00E556C7"/>
    <w:rsid w:val="00E601F7"/>
    <w:rsid w:val="00E621D8"/>
    <w:rsid w:val="00E62B3D"/>
    <w:rsid w:val="00E6315A"/>
    <w:rsid w:val="00E63986"/>
    <w:rsid w:val="00E64328"/>
    <w:rsid w:val="00E65554"/>
    <w:rsid w:val="00E65E86"/>
    <w:rsid w:val="00E66C3B"/>
    <w:rsid w:val="00E71B00"/>
    <w:rsid w:val="00E71D35"/>
    <w:rsid w:val="00E73C7F"/>
    <w:rsid w:val="00E740D9"/>
    <w:rsid w:val="00E8224F"/>
    <w:rsid w:val="00E832E5"/>
    <w:rsid w:val="00E853FB"/>
    <w:rsid w:val="00E85E3C"/>
    <w:rsid w:val="00E92ED6"/>
    <w:rsid w:val="00E943EE"/>
    <w:rsid w:val="00EA0047"/>
    <w:rsid w:val="00EA0385"/>
    <w:rsid w:val="00EA3791"/>
    <w:rsid w:val="00EA4D0C"/>
    <w:rsid w:val="00EA4E53"/>
    <w:rsid w:val="00EA6259"/>
    <w:rsid w:val="00EA63A0"/>
    <w:rsid w:val="00EA7720"/>
    <w:rsid w:val="00EA7F21"/>
    <w:rsid w:val="00EB1559"/>
    <w:rsid w:val="00EB1663"/>
    <w:rsid w:val="00EB4324"/>
    <w:rsid w:val="00EB4808"/>
    <w:rsid w:val="00EB6B41"/>
    <w:rsid w:val="00EB7739"/>
    <w:rsid w:val="00EC1D1E"/>
    <w:rsid w:val="00EC201F"/>
    <w:rsid w:val="00EC40E3"/>
    <w:rsid w:val="00EC465B"/>
    <w:rsid w:val="00EC5A04"/>
    <w:rsid w:val="00EC7D8F"/>
    <w:rsid w:val="00EC7E1A"/>
    <w:rsid w:val="00ED09F7"/>
    <w:rsid w:val="00ED0F55"/>
    <w:rsid w:val="00ED19D2"/>
    <w:rsid w:val="00ED5032"/>
    <w:rsid w:val="00ED5270"/>
    <w:rsid w:val="00ED7856"/>
    <w:rsid w:val="00ED792B"/>
    <w:rsid w:val="00ED7DC2"/>
    <w:rsid w:val="00EE5769"/>
    <w:rsid w:val="00EE5CA6"/>
    <w:rsid w:val="00EE6916"/>
    <w:rsid w:val="00EF1335"/>
    <w:rsid w:val="00EF1557"/>
    <w:rsid w:val="00EF4AE0"/>
    <w:rsid w:val="00EF6FA1"/>
    <w:rsid w:val="00F012FF"/>
    <w:rsid w:val="00F01A21"/>
    <w:rsid w:val="00F028FA"/>
    <w:rsid w:val="00F046E9"/>
    <w:rsid w:val="00F04831"/>
    <w:rsid w:val="00F11CC4"/>
    <w:rsid w:val="00F129C1"/>
    <w:rsid w:val="00F12DA8"/>
    <w:rsid w:val="00F1322B"/>
    <w:rsid w:val="00F13699"/>
    <w:rsid w:val="00F16AB3"/>
    <w:rsid w:val="00F25BEF"/>
    <w:rsid w:val="00F270BA"/>
    <w:rsid w:val="00F308AF"/>
    <w:rsid w:val="00F32911"/>
    <w:rsid w:val="00F337F8"/>
    <w:rsid w:val="00F33B26"/>
    <w:rsid w:val="00F3464D"/>
    <w:rsid w:val="00F34721"/>
    <w:rsid w:val="00F34AA7"/>
    <w:rsid w:val="00F36774"/>
    <w:rsid w:val="00F405D4"/>
    <w:rsid w:val="00F40AA9"/>
    <w:rsid w:val="00F40C50"/>
    <w:rsid w:val="00F4100B"/>
    <w:rsid w:val="00F4307A"/>
    <w:rsid w:val="00F43D26"/>
    <w:rsid w:val="00F46B8B"/>
    <w:rsid w:val="00F47660"/>
    <w:rsid w:val="00F507DB"/>
    <w:rsid w:val="00F5236F"/>
    <w:rsid w:val="00F52C7A"/>
    <w:rsid w:val="00F544AB"/>
    <w:rsid w:val="00F5545B"/>
    <w:rsid w:val="00F5653F"/>
    <w:rsid w:val="00F56A1B"/>
    <w:rsid w:val="00F6079F"/>
    <w:rsid w:val="00F64EA5"/>
    <w:rsid w:val="00F66A3D"/>
    <w:rsid w:val="00F66DF3"/>
    <w:rsid w:val="00F67AB2"/>
    <w:rsid w:val="00F70774"/>
    <w:rsid w:val="00F73D21"/>
    <w:rsid w:val="00F74ED0"/>
    <w:rsid w:val="00F759D4"/>
    <w:rsid w:val="00F75B44"/>
    <w:rsid w:val="00F83593"/>
    <w:rsid w:val="00F837F7"/>
    <w:rsid w:val="00F854ED"/>
    <w:rsid w:val="00F90E30"/>
    <w:rsid w:val="00F917E4"/>
    <w:rsid w:val="00F91B00"/>
    <w:rsid w:val="00F91E83"/>
    <w:rsid w:val="00F941AE"/>
    <w:rsid w:val="00F9424D"/>
    <w:rsid w:val="00F94D96"/>
    <w:rsid w:val="00F94DFC"/>
    <w:rsid w:val="00F95296"/>
    <w:rsid w:val="00F96BAD"/>
    <w:rsid w:val="00FA34B5"/>
    <w:rsid w:val="00FB0158"/>
    <w:rsid w:val="00FB06CF"/>
    <w:rsid w:val="00FB16BC"/>
    <w:rsid w:val="00FB25A0"/>
    <w:rsid w:val="00FB2B68"/>
    <w:rsid w:val="00FB2D7C"/>
    <w:rsid w:val="00FB3398"/>
    <w:rsid w:val="00FB4F37"/>
    <w:rsid w:val="00FB79F1"/>
    <w:rsid w:val="00FB7E5A"/>
    <w:rsid w:val="00FC5119"/>
    <w:rsid w:val="00FC5E0B"/>
    <w:rsid w:val="00FC6E54"/>
    <w:rsid w:val="00FD1379"/>
    <w:rsid w:val="00FD33A2"/>
    <w:rsid w:val="00FD6206"/>
    <w:rsid w:val="00FD6819"/>
    <w:rsid w:val="00FE09E7"/>
    <w:rsid w:val="00FE2161"/>
    <w:rsid w:val="00FE58B6"/>
    <w:rsid w:val="00FE7430"/>
    <w:rsid w:val="00FF0471"/>
    <w:rsid w:val="00FF0771"/>
    <w:rsid w:val="00FF0AAD"/>
    <w:rsid w:val="00FF29CE"/>
    <w:rsid w:val="00FF2E7C"/>
    <w:rsid w:val="00FF33F4"/>
    <w:rsid w:val="00FF3FC8"/>
    <w:rsid w:val="01100128"/>
    <w:rsid w:val="01163216"/>
    <w:rsid w:val="01243CBE"/>
    <w:rsid w:val="01427510"/>
    <w:rsid w:val="01566934"/>
    <w:rsid w:val="01604235"/>
    <w:rsid w:val="016731E8"/>
    <w:rsid w:val="01724323"/>
    <w:rsid w:val="01845F4F"/>
    <w:rsid w:val="019A0ABB"/>
    <w:rsid w:val="019F0207"/>
    <w:rsid w:val="01B354EB"/>
    <w:rsid w:val="01B409B2"/>
    <w:rsid w:val="01C86F97"/>
    <w:rsid w:val="01E4753D"/>
    <w:rsid w:val="01F44989"/>
    <w:rsid w:val="01F6071A"/>
    <w:rsid w:val="02105BCC"/>
    <w:rsid w:val="0213188C"/>
    <w:rsid w:val="02264FF9"/>
    <w:rsid w:val="02437D3E"/>
    <w:rsid w:val="024721F3"/>
    <w:rsid w:val="024B45DB"/>
    <w:rsid w:val="024F4E90"/>
    <w:rsid w:val="027F11AC"/>
    <w:rsid w:val="028470E8"/>
    <w:rsid w:val="028F09A5"/>
    <w:rsid w:val="02B219C0"/>
    <w:rsid w:val="02C27DEA"/>
    <w:rsid w:val="02C57546"/>
    <w:rsid w:val="02EB2A7B"/>
    <w:rsid w:val="033F5DF4"/>
    <w:rsid w:val="034058DA"/>
    <w:rsid w:val="034D55C8"/>
    <w:rsid w:val="03651DFE"/>
    <w:rsid w:val="039F12E8"/>
    <w:rsid w:val="03A82003"/>
    <w:rsid w:val="03B75419"/>
    <w:rsid w:val="03CD3963"/>
    <w:rsid w:val="03D86161"/>
    <w:rsid w:val="04115871"/>
    <w:rsid w:val="04176266"/>
    <w:rsid w:val="04231D6E"/>
    <w:rsid w:val="042A264E"/>
    <w:rsid w:val="043E3BD3"/>
    <w:rsid w:val="043E49F0"/>
    <w:rsid w:val="04451713"/>
    <w:rsid w:val="044649A9"/>
    <w:rsid w:val="044838E4"/>
    <w:rsid w:val="044F3FE8"/>
    <w:rsid w:val="046A58D4"/>
    <w:rsid w:val="04746FED"/>
    <w:rsid w:val="047E4A8F"/>
    <w:rsid w:val="04865192"/>
    <w:rsid w:val="048E11A9"/>
    <w:rsid w:val="0496225D"/>
    <w:rsid w:val="049F212F"/>
    <w:rsid w:val="04AC1919"/>
    <w:rsid w:val="04CA13EE"/>
    <w:rsid w:val="04D7059C"/>
    <w:rsid w:val="04DE4CB9"/>
    <w:rsid w:val="04DF2D55"/>
    <w:rsid w:val="051D3036"/>
    <w:rsid w:val="0536681D"/>
    <w:rsid w:val="054A01E6"/>
    <w:rsid w:val="054C7D1C"/>
    <w:rsid w:val="0571074D"/>
    <w:rsid w:val="05837B30"/>
    <w:rsid w:val="05910818"/>
    <w:rsid w:val="05B63D95"/>
    <w:rsid w:val="05F7165D"/>
    <w:rsid w:val="06017CE0"/>
    <w:rsid w:val="060F5CB3"/>
    <w:rsid w:val="06365B50"/>
    <w:rsid w:val="06393E16"/>
    <w:rsid w:val="064745C2"/>
    <w:rsid w:val="06561355"/>
    <w:rsid w:val="065E6CDE"/>
    <w:rsid w:val="066D0A61"/>
    <w:rsid w:val="068975B0"/>
    <w:rsid w:val="068A20E4"/>
    <w:rsid w:val="068F29C7"/>
    <w:rsid w:val="069174B1"/>
    <w:rsid w:val="069713C1"/>
    <w:rsid w:val="06A12C88"/>
    <w:rsid w:val="06B07AFB"/>
    <w:rsid w:val="06B82D78"/>
    <w:rsid w:val="06D37910"/>
    <w:rsid w:val="06D5029F"/>
    <w:rsid w:val="06D73D91"/>
    <w:rsid w:val="06E36D26"/>
    <w:rsid w:val="06E53061"/>
    <w:rsid w:val="07043F22"/>
    <w:rsid w:val="07125F5D"/>
    <w:rsid w:val="07271B20"/>
    <w:rsid w:val="073A2A17"/>
    <w:rsid w:val="0755365E"/>
    <w:rsid w:val="07630AC6"/>
    <w:rsid w:val="07847096"/>
    <w:rsid w:val="07940728"/>
    <w:rsid w:val="07A343B0"/>
    <w:rsid w:val="07BC0D8F"/>
    <w:rsid w:val="07CE2E21"/>
    <w:rsid w:val="07DE52F0"/>
    <w:rsid w:val="08242518"/>
    <w:rsid w:val="0826668E"/>
    <w:rsid w:val="08290E07"/>
    <w:rsid w:val="083A7B9E"/>
    <w:rsid w:val="085E2B02"/>
    <w:rsid w:val="08647FEB"/>
    <w:rsid w:val="08784228"/>
    <w:rsid w:val="088B5031"/>
    <w:rsid w:val="088F268A"/>
    <w:rsid w:val="08B151BF"/>
    <w:rsid w:val="08B51BA5"/>
    <w:rsid w:val="08C3398A"/>
    <w:rsid w:val="08D82186"/>
    <w:rsid w:val="08D95FBD"/>
    <w:rsid w:val="08DE4EEE"/>
    <w:rsid w:val="091F1E33"/>
    <w:rsid w:val="0926712F"/>
    <w:rsid w:val="093F645D"/>
    <w:rsid w:val="094023AA"/>
    <w:rsid w:val="094E4F95"/>
    <w:rsid w:val="094F44E3"/>
    <w:rsid w:val="09605212"/>
    <w:rsid w:val="096275FE"/>
    <w:rsid w:val="09663505"/>
    <w:rsid w:val="096F3C95"/>
    <w:rsid w:val="09807390"/>
    <w:rsid w:val="098C23B7"/>
    <w:rsid w:val="09944C95"/>
    <w:rsid w:val="09951FF4"/>
    <w:rsid w:val="09A2202C"/>
    <w:rsid w:val="09C0148B"/>
    <w:rsid w:val="09C270D8"/>
    <w:rsid w:val="09E1487C"/>
    <w:rsid w:val="09E674F4"/>
    <w:rsid w:val="0A266AA0"/>
    <w:rsid w:val="0A41647C"/>
    <w:rsid w:val="0A436C11"/>
    <w:rsid w:val="0A456B06"/>
    <w:rsid w:val="0A4C3F6C"/>
    <w:rsid w:val="0A520548"/>
    <w:rsid w:val="0A651D55"/>
    <w:rsid w:val="0A6A7198"/>
    <w:rsid w:val="0A745524"/>
    <w:rsid w:val="0A7F26FB"/>
    <w:rsid w:val="0AA77F22"/>
    <w:rsid w:val="0AAE3FA8"/>
    <w:rsid w:val="0AC514BF"/>
    <w:rsid w:val="0ACF56E0"/>
    <w:rsid w:val="0AD647A5"/>
    <w:rsid w:val="0AE16C36"/>
    <w:rsid w:val="0AEC25AA"/>
    <w:rsid w:val="0AFB287E"/>
    <w:rsid w:val="0B24396B"/>
    <w:rsid w:val="0B3723DB"/>
    <w:rsid w:val="0B49387C"/>
    <w:rsid w:val="0B5224B1"/>
    <w:rsid w:val="0B560B94"/>
    <w:rsid w:val="0B724CC5"/>
    <w:rsid w:val="0B7A442D"/>
    <w:rsid w:val="0B8B13F4"/>
    <w:rsid w:val="0B94771A"/>
    <w:rsid w:val="0BB27267"/>
    <w:rsid w:val="0BB54BE9"/>
    <w:rsid w:val="0BE004CF"/>
    <w:rsid w:val="0BE120C4"/>
    <w:rsid w:val="0BE57B4E"/>
    <w:rsid w:val="0BF83F28"/>
    <w:rsid w:val="0C233C96"/>
    <w:rsid w:val="0C3255F2"/>
    <w:rsid w:val="0C530BF5"/>
    <w:rsid w:val="0C65071E"/>
    <w:rsid w:val="0C6A7614"/>
    <w:rsid w:val="0C755CB5"/>
    <w:rsid w:val="0CA42F7D"/>
    <w:rsid w:val="0CB04A70"/>
    <w:rsid w:val="0CCC596D"/>
    <w:rsid w:val="0CE46F4E"/>
    <w:rsid w:val="0CFF1F19"/>
    <w:rsid w:val="0D064EBC"/>
    <w:rsid w:val="0D1B42E7"/>
    <w:rsid w:val="0D225767"/>
    <w:rsid w:val="0D24193B"/>
    <w:rsid w:val="0D346C04"/>
    <w:rsid w:val="0D387415"/>
    <w:rsid w:val="0D4B696C"/>
    <w:rsid w:val="0D551567"/>
    <w:rsid w:val="0D714F8C"/>
    <w:rsid w:val="0D791AD7"/>
    <w:rsid w:val="0D7A3592"/>
    <w:rsid w:val="0DA12211"/>
    <w:rsid w:val="0DAE2DCE"/>
    <w:rsid w:val="0DC43254"/>
    <w:rsid w:val="0DE612E3"/>
    <w:rsid w:val="0E0358CD"/>
    <w:rsid w:val="0E094A54"/>
    <w:rsid w:val="0E17220C"/>
    <w:rsid w:val="0E17357A"/>
    <w:rsid w:val="0E1A4622"/>
    <w:rsid w:val="0E265F60"/>
    <w:rsid w:val="0E4A521D"/>
    <w:rsid w:val="0E4F3F26"/>
    <w:rsid w:val="0E707012"/>
    <w:rsid w:val="0E734461"/>
    <w:rsid w:val="0E7E6721"/>
    <w:rsid w:val="0E927861"/>
    <w:rsid w:val="0E96546F"/>
    <w:rsid w:val="0EA04D7B"/>
    <w:rsid w:val="0EA4482A"/>
    <w:rsid w:val="0EA926E0"/>
    <w:rsid w:val="0EC065A0"/>
    <w:rsid w:val="0EC132D7"/>
    <w:rsid w:val="0ED42BAF"/>
    <w:rsid w:val="0EDC3297"/>
    <w:rsid w:val="0EE700B0"/>
    <w:rsid w:val="0EEE41C4"/>
    <w:rsid w:val="0EFA5812"/>
    <w:rsid w:val="0F0E6CDB"/>
    <w:rsid w:val="0F4340EF"/>
    <w:rsid w:val="0F5F1287"/>
    <w:rsid w:val="0F685729"/>
    <w:rsid w:val="0F70152C"/>
    <w:rsid w:val="0FBB79D4"/>
    <w:rsid w:val="0FC77F81"/>
    <w:rsid w:val="0FCD1AD9"/>
    <w:rsid w:val="0FDB1049"/>
    <w:rsid w:val="0FE322F6"/>
    <w:rsid w:val="0FE34C4B"/>
    <w:rsid w:val="0FF8213F"/>
    <w:rsid w:val="10133D23"/>
    <w:rsid w:val="102F5257"/>
    <w:rsid w:val="103C1F37"/>
    <w:rsid w:val="103E22B2"/>
    <w:rsid w:val="106E070C"/>
    <w:rsid w:val="106F3EDB"/>
    <w:rsid w:val="107B7D51"/>
    <w:rsid w:val="108E0412"/>
    <w:rsid w:val="10910A6C"/>
    <w:rsid w:val="10C73835"/>
    <w:rsid w:val="10E04525"/>
    <w:rsid w:val="10E75ECD"/>
    <w:rsid w:val="10FE02D8"/>
    <w:rsid w:val="110932A9"/>
    <w:rsid w:val="110F2DD6"/>
    <w:rsid w:val="11107D8C"/>
    <w:rsid w:val="111E737C"/>
    <w:rsid w:val="114C7F4B"/>
    <w:rsid w:val="11506F9E"/>
    <w:rsid w:val="11686778"/>
    <w:rsid w:val="119235BC"/>
    <w:rsid w:val="11930DBF"/>
    <w:rsid w:val="11D84916"/>
    <w:rsid w:val="11DB4570"/>
    <w:rsid w:val="11E01EB5"/>
    <w:rsid w:val="11F96ED5"/>
    <w:rsid w:val="11FD0D0E"/>
    <w:rsid w:val="12015EA8"/>
    <w:rsid w:val="12112075"/>
    <w:rsid w:val="12146A64"/>
    <w:rsid w:val="1232658E"/>
    <w:rsid w:val="123D51E8"/>
    <w:rsid w:val="12403D21"/>
    <w:rsid w:val="125E6811"/>
    <w:rsid w:val="128B57E5"/>
    <w:rsid w:val="129402A3"/>
    <w:rsid w:val="12BD31DD"/>
    <w:rsid w:val="12DD13AC"/>
    <w:rsid w:val="12E1047E"/>
    <w:rsid w:val="12F41B54"/>
    <w:rsid w:val="13023371"/>
    <w:rsid w:val="132D5EA4"/>
    <w:rsid w:val="13343190"/>
    <w:rsid w:val="13343A7F"/>
    <w:rsid w:val="133B622B"/>
    <w:rsid w:val="1357550B"/>
    <w:rsid w:val="13773724"/>
    <w:rsid w:val="1384235E"/>
    <w:rsid w:val="13933000"/>
    <w:rsid w:val="139C112D"/>
    <w:rsid w:val="139D669D"/>
    <w:rsid w:val="13AD4C79"/>
    <w:rsid w:val="13B951C8"/>
    <w:rsid w:val="13C80EBC"/>
    <w:rsid w:val="13C949BF"/>
    <w:rsid w:val="13CA1021"/>
    <w:rsid w:val="13D43211"/>
    <w:rsid w:val="13D60FC8"/>
    <w:rsid w:val="13D75C00"/>
    <w:rsid w:val="13E30B7D"/>
    <w:rsid w:val="13E754BB"/>
    <w:rsid w:val="13ED04A7"/>
    <w:rsid w:val="13FB5DAF"/>
    <w:rsid w:val="1402132F"/>
    <w:rsid w:val="140947EE"/>
    <w:rsid w:val="141C2462"/>
    <w:rsid w:val="14413E76"/>
    <w:rsid w:val="144A0D85"/>
    <w:rsid w:val="1450192B"/>
    <w:rsid w:val="145A1D5A"/>
    <w:rsid w:val="146C12BB"/>
    <w:rsid w:val="147C6550"/>
    <w:rsid w:val="14860E19"/>
    <w:rsid w:val="148C237F"/>
    <w:rsid w:val="14A06FC1"/>
    <w:rsid w:val="14AB545D"/>
    <w:rsid w:val="14B94964"/>
    <w:rsid w:val="14D969A6"/>
    <w:rsid w:val="14F473F5"/>
    <w:rsid w:val="150E6433"/>
    <w:rsid w:val="151502CB"/>
    <w:rsid w:val="15337D09"/>
    <w:rsid w:val="155023E7"/>
    <w:rsid w:val="155D0A7F"/>
    <w:rsid w:val="15693E3E"/>
    <w:rsid w:val="1580763A"/>
    <w:rsid w:val="1585047B"/>
    <w:rsid w:val="1586427B"/>
    <w:rsid w:val="159A07D2"/>
    <w:rsid w:val="15A23EB2"/>
    <w:rsid w:val="15C06260"/>
    <w:rsid w:val="15DD4A1C"/>
    <w:rsid w:val="15FB0C10"/>
    <w:rsid w:val="1625567A"/>
    <w:rsid w:val="16263368"/>
    <w:rsid w:val="16275118"/>
    <w:rsid w:val="16417F84"/>
    <w:rsid w:val="168521B8"/>
    <w:rsid w:val="16A43C8F"/>
    <w:rsid w:val="16A5270A"/>
    <w:rsid w:val="16BE464B"/>
    <w:rsid w:val="16D61CD9"/>
    <w:rsid w:val="16E74CBD"/>
    <w:rsid w:val="1705748E"/>
    <w:rsid w:val="170A4371"/>
    <w:rsid w:val="17165A9E"/>
    <w:rsid w:val="17300AA3"/>
    <w:rsid w:val="174B31A0"/>
    <w:rsid w:val="175B1D16"/>
    <w:rsid w:val="17793E43"/>
    <w:rsid w:val="178D2029"/>
    <w:rsid w:val="1793303A"/>
    <w:rsid w:val="179C79A4"/>
    <w:rsid w:val="17CB7C49"/>
    <w:rsid w:val="17D52F7B"/>
    <w:rsid w:val="17EB75B0"/>
    <w:rsid w:val="17F5084F"/>
    <w:rsid w:val="1829310B"/>
    <w:rsid w:val="1834222F"/>
    <w:rsid w:val="184115C6"/>
    <w:rsid w:val="18440068"/>
    <w:rsid w:val="1847296F"/>
    <w:rsid w:val="18502972"/>
    <w:rsid w:val="18857041"/>
    <w:rsid w:val="18937665"/>
    <w:rsid w:val="18A5771F"/>
    <w:rsid w:val="18AF74E1"/>
    <w:rsid w:val="18D45411"/>
    <w:rsid w:val="18DA6EB6"/>
    <w:rsid w:val="18FF0AF3"/>
    <w:rsid w:val="190E7C32"/>
    <w:rsid w:val="191B17E9"/>
    <w:rsid w:val="191F38B0"/>
    <w:rsid w:val="19326962"/>
    <w:rsid w:val="19465B16"/>
    <w:rsid w:val="1951139B"/>
    <w:rsid w:val="195523E7"/>
    <w:rsid w:val="195600F1"/>
    <w:rsid w:val="19595274"/>
    <w:rsid w:val="197141ED"/>
    <w:rsid w:val="1975293B"/>
    <w:rsid w:val="19934AEB"/>
    <w:rsid w:val="199D37F0"/>
    <w:rsid w:val="19AD7663"/>
    <w:rsid w:val="19BC030D"/>
    <w:rsid w:val="19D2007F"/>
    <w:rsid w:val="19DE008F"/>
    <w:rsid w:val="19E0148D"/>
    <w:rsid w:val="19E675DB"/>
    <w:rsid w:val="1A523105"/>
    <w:rsid w:val="1A5562D2"/>
    <w:rsid w:val="1A61483A"/>
    <w:rsid w:val="1A7857C1"/>
    <w:rsid w:val="1A8A2BB0"/>
    <w:rsid w:val="1ACE7057"/>
    <w:rsid w:val="1AD6153D"/>
    <w:rsid w:val="1AD91895"/>
    <w:rsid w:val="1ADA55B5"/>
    <w:rsid w:val="1ADC1643"/>
    <w:rsid w:val="1ADF0AC1"/>
    <w:rsid w:val="1B094BB4"/>
    <w:rsid w:val="1B192659"/>
    <w:rsid w:val="1B193B18"/>
    <w:rsid w:val="1B303BF4"/>
    <w:rsid w:val="1B384A4E"/>
    <w:rsid w:val="1B3B5A5B"/>
    <w:rsid w:val="1B400993"/>
    <w:rsid w:val="1B642814"/>
    <w:rsid w:val="1B8626C9"/>
    <w:rsid w:val="1B984C1B"/>
    <w:rsid w:val="1B990040"/>
    <w:rsid w:val="1BAF3854"/>
    <w:rsid w:val="1BC1062B"/>
    <w:rsid w:val="1BC60BC5"/>
    <w:rsid w:val="1BD70C7E"/>
    <w:rsid w:val="1BD82C95"/>
    <w:rsid w:val="1BDE7082"/>
    <w:rsid w:val="1BE16AFC"/>
    <w:rsid w:val="1BEC65C0"/>
    <w:rsid w:val="1BF76A78"/>
    <w:rsid w:val="1C07146F"/>
    <w:rsid w:val="1C3441A7"/>
    <w:rsid w:val="1C3601FF"/>
    <w:rsid w:val="1C365CFE"/>
    <w:rsid w:val="1C4B2349"/>
    <w:rsid w:val="1C7C5F29"/>
    <w:rsid w:val="1C9A3562"/>
    <w:rsid w:val="1CC05CC7"/>
    <w:rsid w:val="1CCC73A9"/>
    <w:rsid w:val="1CD66AF0"/>
    <w:rsid w:val="1CD814C5"/>
    <w:rsid w:val="1CE122CF"/>
    <w:rsid w:val="1CF116E7"/>
    <w:rsid w:val="1D2F1D46"/>
    <w:rsid w:val="1D3E6064"/>
    <w:rsid w:val="1D51270F"/>
    <w:rsid w:val="1D554D2E"/>
    <w:rsid w:val="1D881796"/>
    <w:rsid w:val="1D942FC1"/>
    <w:rsid w:val="1DBD16BE"/>
    <w:rsid w:val="1DC11297"/>
    <w:rsid w:val="1DF8600F"/>
    <w:rsid w:val="1E1F62DB"/>
    <w:rsid w:val="1E2B3BCE"/>
    <w:rsid w:val="1E4B77EA"/>
    <w:rsid w:val="1E5137C3"/>
    <w:rsid w:val="1E5F399D"/>
    <w:rsid w:val="1E66096F"/>
    <w:rsid w:val="1E664171"/>
    <w:rsid w:val="1E766DF2"/>
    <w:rsid w:val="1E780410"/>
    <w:rsid w:val="1E8E5EF5"/>
    <w:rsid w:val="1E90401C"/>
    <w:rsid w:val="1EA425D8"/>
    <w:rsid w:val="1EA43F1E"/>
    <w:rsid w:val="1EA723FC"/>
    <w:rsid w:val="1EC76DC7"/>
    <w:rsid w:val="1EC85A19"/>
    <w:rsid w:val="1ECE01E1"/>
    <w:rsid w:val="1ED92D03"/>
    <w:rsid w:val="1EE64EF1"/>
    <w:rsid w:val="1EF0541B"/>
    <w:rsid w:val="1EF07E24"/>
    <w:rsid w:val="1F171A98"/>
    <w:rsid w:val="1F1B6A59"/>
    <w:rsid w:val="1F1D3619"/>
    <w:rsid w:val="1F235508"/>
    <w:rsid w:val="1F2F1AF9"/>
    <w:rsid w:val="1F311997"/>
    <w:rsid w:val="1F385EED"/>
    <w:rsid w:val="1F444220"/>
    <w:rsid w:val="1F4D339A"/>
    <w:rsid w:val="1F517B8E"/>
    <w:rsid w:val="1F583DCD"/>
    <w:rsid w:val="1F6842CB"/>
    <w:rsid w:val="1F904F2D"/>
    <w:rsid w:val="1F9C3C77"/>
    <w:rsid w:val="1FAA1AE9"/>
    <w:rsid w:val="1FAC3217"/>
    <w:rsid w:val="1FC75129"/>
    <w:rsid w:val="1FD81AFC"/>
    <w:rsid w:val="1FE31889"/>
    <w:rsid w:val="1FEC4889"/>
    <w:rsid w:val="200544C7"/>
    <w:rsid w:val="200F4543"/>
    <w:rsid w:val="202A6471"/>
    <w:rsid w:val="20600899"/>
    <w:rsid w:val="206D77FE"/>
    <w:rsid w:val="2075205C"/>
    <w:rsid w:val="20766B5D"/>
    <w:rsid w:val="207C5A77"/>
    <w:rsid w:val="208108CA"/>
    <w:rsid w:val="20935CA0"/>
    <w:rsid w:val="20A56834"/>
    <w:rsid w:val="20AA06CD"/>
    <w:rsid w:val="20B51035"/>
    <w:rsid w:val="20B53FF2"/>
    <w:rsid w:val="20CC063E"/>
    <w:rsid w:val="20D85910"/>
    <w:rsid w:val="20F451BE"/>
    <w:rsid w:val="20F815BD"/>
    <w:rsid w:val="20FC3A40"/>
    <w:rsid w:val="210114BB"/>
    <w:rsid w:val="210250DC"/>
    <w:rsid w:val="212D1323"/>
    <w:rsid w:val="2130550D"/>
    <w:rsid w:val="2140712D"/>
    <w:rsid w:val="215E6D09"/>
    <w:rsid w:val="216B7CBE"/>
    <w:rsid w:val="21737460"/>
    <w:rsid w:val="2176492F"/>
    <w:rsid w:val="217860C5"/>
    <w:rsid w:val="21857E28"/>
    <w:rsid w:val="21B97C69"/>
    <w:rsid w:val="21C86072"/>
    <w:rsid w:val="21E26D67"/>
    <w:rsid w:val="21EA0286"/>
    <w:rsid w:val="21EC5465"/>
    <w:rsid w:val="21F01798"/>
    <w:rsid w:val="21F26FDC"/>
    <w:rsid w:val="21F8598D"/>
    <w:rsid w:val="21FC4A83"/>
    <w:rsid w:val="220348F7"/>
    <w:rsid w:val="22035AF9"/>
    <w:rsid w:val="22156802"/>
    <w:rsid w:val="222728F6"/>
    <w:rsid w:val="2228517D"/>
    <w:rsid w:val="22375393"/>
    <w:rsid w:val="22417F46"/>
    <w:rsid w:val="224B424C"/>
    <w:rsid w:val="22654343"/>
    <w:rsid w:val="226709A2"/>
    <w:rsid w:val="228976EC"/>
    <w:rsid w:val="228B310C"/>
    <w:rsid w:val="22B05557"/>
    <w:rsid w:val="22C45D17"/>
    <w:rsid w:val="22FF77A2"/>
    <w:rsid w:val="23150033"/>
    <w:rsid w:val="232421E8"/>
    <w:rsid w:val="233272DB"/>
    <w:rsid w:val="23375E47"/>
    <w:rsid w:val="233D26C0"/>
    <w:rsid w:val="234E59AA"/>
    <w:rsid w:val="2376738D"/>
    <w:rsid w:val="238F48B8"/>
    <w:rsid w:val="23925C55"/>
    <w:rsid w:val="23BB37E6"/>
    <w:rsid w:val="23C553C2"/>
    <w:rsid w:val="23E311E5"/>
    <w:rsid w:val="23E733FC"/>
    <w:rsid w:val="23E863E8"/>
    <w:rsid w:val="241D53E4"/>
    <w:rsid w:val="242C6363"/>
    <w:rsid w:val="243056DA"/>
    <w:rsid w:val="24560AE2"/>
    <w:rsid w:val="24753D7B"/>
    <w:rsid w:val="24794836"/>
    <w:rsid w:val="248C391F"/>
    <w:rsid w:val="24945B0B"/>
    <w:rsid w:val="249700EF"/>
    <w:rsid w:val="24972331"/>
    <w:rsid w:val="24B92297"/>
    <w:rsid w:val="24C45694"/>
    <w:rsid w:val="24EB0386"/>
    <w:rsid w:val="24EB51B9"/>
    <w:rsid w:val="24EE205A"/>
    <w:rsid w:val="250B6210"/>
    <w:rsid w:val="251D6C78"/>
    <w:rsid w:val="25493BC7"/>
    <w:rsid w:val="254F48B6"/>
    <w:rsid w:val="25515BCE"/>
    <w:rsid w:val="25552E35"/>
    <w:rsid w:val="25781361"/>
    <w:rsid w:val="25BA3553"/>
    <w:rsid w:val="25CD3FBC"/>
    <w:rsid w:val="25DD4E13"/>
    <w:rsid w:val="25E540FF"/>
    <w:rsid w:val="25FE3FFD"/>
    <w:rsid w:val="26106F39"/>
    <w:rsid w:val="26295320"/>
    <w:rsid w:val="262A62D7"/>
    <w:rsid w:val="262C2F09"/>
    <w:rsid w:val="26533224"/>
    <w:rsid w:val="26541061"/>
    <w:rsid w:val="26553200"/>
    <w:rsid w:val="266C6465"/>
    <w:rsid w:val="26895BB9"/>
    <w:rsid w:val="26C54B9B"/>
    <w:rsid w:val="26C6512F"/>
    <w:rsid w:val="26FF3DC8"/>
    <w:rsid w:val="27341C3F"/>
    <w:rsid w:val="274A262D"/>
    <w:rsid w:val="2755406D"/>
    <w:rsid w:val="27694EEE"/>
    <w:rsid w:val="276F05D7"/>
    <w:rsid w:val="277C6089"/>
    <w:rsid w:val="27832A74"/>
    <w:rsid w:val="27A449A7"/>
    <w:rsid w:val="27AD6E8B"/>
    <w:rsid w:val="27B04B6F"/>
    <w:rsid w:val="27BC433E"/>
    <w:rsid w:val="27CE139A"/>
    <w:rsid w:val="27E63AB6"/>
    <w:rsid w:val="27F231DD"/>
    <w:rsid w:val="28182E87"/>
    <w:rsid w:val="28227F9C"/>
    <w:rsid w:val="282B4784"/>
    <w:rsid w:val="283213CA"/>
    <w:rsid w:val="285C6B52"/>
    <w:rsid w:val="285E7169"/>
    <w:rsid w:val="286058ED"/>
    <w:rsid w:val="286662A3"/>
    <w:rsid w:val="286A2F3B"/>
    <w:rsid w:val="2880022D"/>
    <w:rsid w:val="2887164E"/>
    <w:rsid w:val="288B2E18"/>
    <w:rsid w:val="288C17F1"/>
    <w:rsid w:val="289778DA"/>
    <w:rsid w:val="28A843B1"/>
    <w:rsid w:val="28EB1022"/>
    <w:rsid w:val="28EB7BAC"/>
    <w:rsid w:val="28FD1DA9"/>
    <w:rsid w:val="29146D0D"/>
    <w:rsid w:val="29326B8F"/>
    <w:rsid w:val="2936056B"/>
    <w:rsid w:val="29386E3A"/>
    <w:rsid w:val="295F01CA"/>
    <w:rsid w:val="297D2240"/>
    <w:rsid w:val="298D0F22"/>
    <w:rsid w:val="29B025A4"/>
    <w:rsid w:val="29C809FD"/>
    <w:rsid w:val="29F101FE"/>
    <w:rsid w:val="29F83E3A"/>
    <w:rsid w:val="29FC0A34"/>
    <w:rsid w:val="2A165393"/>
    <w:rsid w:val="2A320B30"/>
    <w:rsid w:val="2A460495"/>
    <w:rsid w:val="2A542476"/>
    <w:rsid w:val="2A606A48"/>
    <w:rsid w:val="2A7245E7"/>
    <w:rsid w:val="2A872DBF"/>
    <w:rsid w:val="2A9B6F1B"/>
    <w:rsid w:val="2A9E60D9"/>
    <w:rsid w:val="2AA07DD6"/>
    <w:rsid w:val="2AA665FD"/>
    <w:rsid w:val="2AAA79B8"/>
    <w:rsid w:val="2AAD1131"/>
    <w:rsid w:val="2ABD2F95"/>
    <w:rsid w:val="2AC43F9F"/>
    <w:rsid w:val="2ADF6C7F"/>
    <w:rsid w:val="2AEA6E89"/>
    <w:rsid w:val="2AEF61FA"/>
    <w:rsid w:val="2B0738F0"/>
    <w:rsid w:val="2B0E0F65"/>
    <w:rsid w:val="2B374C7F"/>
    <w:rsid w:val="2B3F420A"/>
    <w:rsid w:val="2B420A18"/>
    <w:rsid w:val="2B510311"/>
    <w:rsid w:val="2B512AA4"/>
    <w:rsid w:val="2B593E95"/>
    <w:rsid w:val="2B73625C"/>
    <w:rsid w:val="2B7D13CC"/>
    <w:rsid w:val="2B886CA9"/>
    <w:rsid w:val="2BA13AB1"/>
    <w:rsid w:val="2BA949D4"/>
    <w:rsid w:val="2BD94617"/>
    <w:rsid w:val="2BDC14B7"/>
    <w:rsid w:val="2BDD4799"/>
    <w:rsid w:val="2BE661F4"/>
    <w:rsid w:val="2C00402D"/>
    <w:rsid w:val="2C182591"/>
    <w:rsid w:val="2C281BF6"/>
    <w:rsid w:val="2C3C0C49"/>
    <w:rsid w:val="2C3F1B10"/>
    <w:rsid w:val="2C41711C"/>
    <w:rsid w:val="2C494CC5"/>
    <w:rsid w:val="2C4C4186"/>
    <w:rsid w:val="2C4C5BF6"/>
    <w:rsid w:val="2C73323A"/>
    <w:rsid w:val="2CA305D6"/>
    <w:rsid w:val="2CBE1CB5"/>
    <w:rsid w:val="2CD4046F"/>
    <w:rsid w:val="2CD41FB2"/>
    <w:rsid w:val="2CE04532"/>
    <w:rsid w:val="2CE836C2"/>
    <w:rsid w:val="2CF939AE"/>
    <w:rsid w:val="2D061D52"/>
    <w:rsid w:val="2D0A7297"/>
    <w:rsid w:val="2D127501"/>
    <w:rsid w:val="2D367ADE"/>
    <w:rsid w:val="2D3E5D39"/>
    <w:rsid w:val="2DB274B3"/>
    <w:rsid w:val="2DC87D91"/>
    <w:rsid w:val="2DD30CAC"/>
    <w:rsid w:val="2DD73448"/>
    <w:rsid w:val="2DE51AAD"/>
    <w:rsid w:val="2DE70634"/>
    <w:rsid w:val="2E031572"/>
    <w:rsid w:val="2E0401E7"/>
    <w:rsid w:val="2E05745B"/>
    <w:rsid w:val="2E1079AC"/>
    <w:rsid w:val="2E1B2ADA"/>
    <w:rsid w:val="2E1B3A12"/>
    <w:rsid w:val="2E1B7C9D"/>
    <w:rsid w:val="2E225A24"/>
    <w:rsid w:val="2E2561B5"/>
    <w:rsid w:val="2E2826E6"/>
    <w:rsid w:val="2E4761D9"/>
    <w:rsid w:val="2E503B30"/>
    <w:rsid w:val="2E6E03B6"/>
    <w:rsid w:val="2E6E553E"/>
    <w:rsid w:val="2E7F1718"/>
    <w:rsid w:val="2E8344D1"/>
    <w:rsid w:val="2E8C0A93"/>
    <w:rsid w:val="2E9F1C85"/>
    <w:rsid w:val="2EAD6133"/>
    <w:rsid w:val="2EB259EE"/>
    <w:rsid w:val="2EB60687"/>
    <w:rsid w:val="2EC05497"/>
    <w:rsid w:val="2ECE1E4D"/>
    <w:rsid w:val="2ED237F3"/>
    <w:rsid w:val="2ED608DA"/>
    <w:rsid w:val="2ED75441"/>
    <w:rsid w:val="2EDE0988"/>
    <w:rsid w:val="2EE831DD"/>
    <w:rsid w:val="2F0F563F"/>
    <w:rsid w:val="2F1115A1"/>
    <w:rsid w:val="2F1F3A4D"/>
    <w:rsid w:val="2F2371DB"/>
    <w:rsid w:val="2F262727"/>
    <w:rsid w:val="2F3819F0"/>
    <w:rsid w:val="2F4558F1"/>
    <w:rsid w:val="2F585C14"/>
    <w:rsid w:val="2F6F7987"/>
    <w:rsid w:val="2F784790"/>
    <w:rsid w:val="2F7B36A8"/>
    <w:rsid w:val="2F8A30B2"/>
    <w:rsid w:val="2F9B7AFC"/>
    <w:rsid w:val="2FAA4840"/>
    <w:rsid w:val="2FAA5E1A"/>
    <w:rsid w:val="2FAB4623"/>
    <w:rsid w:val="2FDF6214"/>
    <w:rsid w:val="2FF50229"/>
    <w:rsid w:val="300A43D0"/>
    <w:rsid w:val="30264A9E"/>
    <w:rsid w:val="302978F9"/>
    <w:rsid w:val="302E6167"/>
    <w:rsid w:val="303C3B19"/>
    <w:rsid w:val="303C6363"/>
    <w:rsid w:val="303F6650"/>
    <w:rsid w:val="304F24A5"/>
    <w:rsid w:val="307C1A65"/>
    <w:rsid w:val="3095526B"/>
    <w:rsid w:val="30A20279"/>
    <w:rsid w:val="30A84EFD"/>
    <w:rsid w:val="30A92458"/>
    <w:rsid w:val="30C032AA"/>
    <w:rsid w:val="30EC572A"/>
    <w:rsid w:val="30F25889"/>
    <w:rsid w:val="30FD79BE"/>
    <w:rsid w:val="3100405D"/>
    <w:rsid w:val="310E5168"/>
    <w:rsid w:val="3111395C"/>
    <w:rsid w:val="3114723D"/>
    <w:rsid w:val="31174211"/>
    <w:rsid w:val="31216170"/>
    <w:rsid w:val="315622FC"/>
    <w:rsid w:val="315D1164"/>
    <w:rsid w:val="315F2BB6"/>
    <w:rsid w:val="3173104B"/>
    <w:rsid w:val="317D38B1"/>
    <w:rsid w:val="317D6B35"/>
    <w:rsid w:val="319A62AF"/>
    <w:rsid w:val="31A30319"/>
    <w:rsid w:val="31B50898"/>
    <w:rsid w:val="31B62FDB"/>
    <w:rsid w:val="31DF1B8A"/>
    <w:rsid w:val="31F45A41"/>
    <w:rsid w:val="31FF4B7E"/>
    <w:rsid w:val="322E77DB"/>
    <w:rsid w:val="32983099"/>
    <w:rsid w:val="32AA5592"/>
    <w:rsid w:val="32AD61A5"/>
    <w:rsid w:val="32C750C6"/>
    <w:rsid w:val="32D86BA1"/>
    <w:rsid w:val="32DD16EB"/>
    <w:rsid w:val="32E514D5"/>
    <w:rsid w:val="32E75DA8"/>
    <w:rsid w:val="32ED4E1B"/>
    <w:rsid w:val="32F653C3"/>
    <w:rsid w:val="33052E5A"/>
    <w:rsid w:val="3310693E"/>
    <w:rsid w:val="332610BF"/>
    <w:rsid w:val="334108DC"/>
    <w:rsid w:val="334A79F3"/>
    <w:rsid w:val="33540CA5"/>
    <w:rsid w:val="33572664"/>
    <w:rsid w:val="337C27BA"/>
    <w:rsid w:val="337E58C8"/>
    <w:rsid w:val="3386250E"/>
    <w:rsid w:val="338A0B4A"/>
    <w:rsid w:val="33945AA2"/>
    <w:rsid w:val="33993C16"/>
    <w:rsid w:val="33AC2FF1"/>
    <w:rsid w:val="33B44D6A"/>
    <w:rsid w:val="33C70473"/>
    <w:rsid w:val="33E75242"/>
    <w:rsid w:val="34081C3D"/>
    <w:rsid w:val="341101EA"/>
    <w:rsid w:val="341E68F1"/>
    <w:rsid w:val="34217FBA"/>
    <w:rsid w:val="34323ACA"/>
    <w:rsid w:val="34361934"/>
    <w:rsid w:val="344A237C"/>
    <w:rsid w:val="344C38C9"/>
    <w:rsid w:val="346C064E"/>
    <w:rsid w:val="34717DC6"/>
    <w:rsid w:val="347C194D"/>
    <w:rsid w:val="34AB68EF"/>
    <w:rsid w:val="34B710DD"/>
    <w:rsid w:val="34C25E2C"/>
    <w:rsid w:val="34E73243"/>
    <w:rsid w:val="34EC57DE"/>
    <w:rsid w:val="34F4363B"/>
    <w:rsid w:val="35043039"/>
    <w:rsid w:val="3509322F"/>
    <w:rsid w:val="350A5D7E"/>
    <w:rsid w:val="351C0F48"/>
    <w:rsid w:val="351E3534"/>
    <w:rsid w:val="351F4211"/>
    <w:rsid w:val="35262532"/>
    <w:rsid w:val="352A06D1"/>
    <w:rsid w:val="353A08BE"/>
    <w:rsid w:val="3544114C"/>
    <w:rsid w:val="355D135C"/>
    <w:rsid w:val="357039DD"/>
    <w:rsid w:val="35906EE4"/>
    <w:rsid w:val="35C21CAF"/>
    <w:rsid w:val="35D22E0C"/>
    <w:rsid w:val="35D6026A"/>
    <w:rsid w:val="35E46B51"/>
    <w:rsid w:val="35E509BF"/>
    <w:rsid w:val="35E6618B"/>
    <w:rsid w:val="36487758"/>
    <w:rsid w:val="364936C7"/>
    <w:rsid w:val="3654745F"/>
    <w:rsid w:val="36582751"/>
    <w:rsid w:val="36645310"/>
    <w:rsid w:val="366C263F"/>
    <w:rsid w:val="367D53F5"/>
    <w:rsid w:val="368D5D06"/>
    <w:rsid w:val="36C35E2B"/>
    <w:rsid w:val="36C408B4"/>
    <w:rsid w:val="36CA4871"/>
    <w:rsid w:val="36E30124"/>
    <w:rsid w:val="36E47B46"/>
    <w:rsid w:val="36EA0866"/>
    <w:rsid w:val="36F7193B"/>
    <w:rsid w:val="3700324F"/>
    <w:rsid w:val="37006DA6"/>
    <w:rsid w:val="3716071A"/>
    <w:rsid w:val="3722586F"/>
    <w:rsid w:val="37362012"/>
    <w:rsid w:val="37391007"/>
    <w:rsid w:val="37506213"/>
    <w:rsid w:val="37602F7D"/>
    <w:rsid w:val="376048A1"/>
    <w:rsid w:val="376D7868"/>
    <w:rsid w:val="378C59A0"/>
    <w:rsid w:val="37A15AB9"/>
    <w:rsid w:val="37B1008C"/>
    <w:rsid w:val="37CA0B99"/>
    <w:rsid w:val="37CA176F"/>
    <w:rsid w:val="37D1690E"/>
    <w:rsid w:val="37E474EC"/>
    <w:rsid w:val="37E93735"/>
    <w:rsid w:val="382637C8"/>
    <w:rsid w:val="382A53D5"/>
    <w:rsid w:val="383652ED"/>
    <w:rsid w:val="384A38BD"/>
    <w:rsid w:val="385148F8"/>
    <w:rsid w:val="385701A2"/>
    <w:rsid w:val="38633F4E"/>
    <w:rsid w:val="386844B4"/>
    <w:rsid w:val="38AC792F"/>
    <w:rsid w:val="38BB1341"/>
    <w:rsid w:val="38D73A2D"/>
    <w:rsid w:val="38DA351E"/>
    <w:rsid w:val="38F7631F"/>
    <w:rsid w:val="3909782E"/>
    <w:rsid w:val="391E782E"/>
    <w:rsid w:val="392642AC"/>
    <w:rsid w:val="39464B68"/>
    <w:rsid w:val="397059EB"/>
    <w:rsid w:val="397A57E0"/>
    <w:rsid w:val="398028B7"/>
    <w:rsid w:val="398652E8"/>
    <w:rsid w:val="398D4871"/>
    <w:rsid w:val="399A356D"/>
    <w:rsid w:val="399C790E"/>
    <w:rsid w:val="39AD0862"/>
    <w:rsid w:val="3A074B96"/>
    <w:rsid w:val="3A077BDC"/>
    <w:rsid w:val="3A0901EA"/>
    <w:rsid w:val="3A19437E"/>
    <w:rsid w:val="3A312EB5"/>
    <w:rsid w:val="3A3A0854"/>
    <w:rsid w:val="3A4A6214"/>
    <w:rsid w:val="3A4E4899"/>
    <w:rsid w:val="3A55790B"/>
    <w:rsid w:val="3A68013D"/>
    <w:rsid w:val="3A6A57DE"/>
    <w:rsid w:val="3A707D13"/>
    <w:rsid w:val="3AB91AEA"/>
    <w:rsid w:val="3ABC3574"/>
    <w:rsid w:val="3ABD2A34"/>
    <w:rsid w:val="3AC66294"/>
    <w:rsid w:val="3AD71F6B"/>
    <w:rsid w:val="3AF1154B"/>
    <w:rsid w:val="3AF23796"/>
    <w:rsid w:val="3B173C34"/>
    <w:rsid w:val="3B1D50E8"/>
    <w:rsid w:val="3B2B5290"/>
    <w:rsid w:val="3B465AAD"/>
    <w:rsid w:val="3B4A1908"/>
    <w:rsid w:val="3B6C183F"/>
    <w:rsid w:val="3B82605A"/>
    <w:rsid w:val="3B8C3C14"/>
    <w:rsid w:val="3BC365AF"/>
    <w:rsid w:val="3BC4115E"/>
    <w:rsid w:val="3BC62916"/>
    <w:rsid w:val="3BCB15B9"/>
    <w:rsid w:val="3BCD4D79"/>
    <w:rsid w:val="3BCF3126"/>
    <w:rsid w:val="3BD2292E"/>
    <w:rsid w:val="3BE85FC8"/>
    <w:rsid w:val="3BF0761E"/>
    <w:rsid w:val="3BFF77BC"/>
    <w:rsid w:val="3C0B7004"/>
    <w:rsid w:val="3C1A6E6A"/>
    <w:rsid w:val="3C1D1C7C"/>
    <w:rsid w:val="3C2016F2"/>
    <w:rsid w:val="3C224EAA"/>
    <w:rsid w:val="3C350589"/>
    <w:rsid w:val="3C36618A"/>
    <w:rsid w:val="3C37454C"/>
    <w:rsid w:val="3C456A68"/>
    <w:rsid w:val="3C4F16C1"/>
    <w:rsid w:val="3C4F3865"/>
    <w:rsid w:val="3C5042A8"/>
    <w:rsid w:val="3C5D7DF9"/>
    <w:rsid w:val="3C5F21BE"/>
    <w:rsid w:val="3C6C130F"/>
    <w:rsid w:val="3C6D6947"/>
    <w:rsid w:val="3C7A55D0"/>
    <w:rsid w:val="3C8D2BCF"/>
    <w:rsid w:val="3C9A2A62"/>
    <w:rsid w:val="3CB36474"/>
    <w:rsid w:val="3CB84087"/>
    <w:rsid w:val="3CC31FDE"/>
    <w:rsid w:val="3CC4783A"/>
    <w:rsid w:val="3CD14649"/>
    <w:rsid w:val="3CD24B38"/>
    <w:rsid w:val="3CD9517E"/>
    <w:rsid w:val="3CDE1AE0"/>
    <w:rsid w:val="3CE575F7"/>
    <w:rsid w:val="3CFC15AE"/>
    <w:rsid w:val="3CFD0A29"/>
    <w:rsid w:val="3D062484"/>
    <w:rsid w:val="3D10063E"/>
    <w:rsid w:val="3D177553"/>
    <w:rsid w:val="3D193DF3"/>
    <w:rsid w:val="3D246E5A"/>
    <w:rsid w:val="3D331BAB"/>
    <w:rsid w:val="3D36030D"/>
    <w:rsid w:val="3D495E5D"/>
    <w:rsid w:val="3D4A1496"/>
    <w:rsid w:val="3D4E2B83"/>
    <w:rsid w:val="3D4E45E3"/>
    <w:rsid w:val="3D5524ED"/>
    <w:rsid w:val="3D5A2B02"/>
    <w:rsid w:val="3D870953"/>
    <w:rsid w:val="3DAA526A"/>
    <w:rsid w:val="3DB302F2"/>
    <w:rsid w:val="3DB54F9A"/>
    <w:rsid w:val="3DB606FB"/>
    <w:rsid w:val="3DE64CFD"/>
    <w:rsid w:val="3DE976C2"/>
    <w:rsid w:val="3DEF63BE"/>
    <w:rsid w:val="3E0842EC"/>
    <w:rsid w:val="3E3976D3"/>
    <w:rsid w:val="3E435A8E"/>
    <w:rsid w:val="3E4905DE"/>
    <w:rsid w:val="3E490FB2"/>
    <w:rsid w:val="3E5A38FA"/>
    <w:rsid w:val="3E657C5F"/>
    <w:rsid w:val="3E735B9C"/>
    <w:rsid w:val="3E7C330F"/>
    <w:rsid w:val="3E820130"/>
    <w:rsid w:val="3E9E1F7D"/>
    <w:rsid w:val="3EA24B53"/>
    <w:rsid w:val="3EDB49C2"/>
    <w:rsid w:val="3EDE48BA"/>
    <w:rsid w:val="3EDE49B2"/>
    <w:rsid w:val="3EE21E99"/>
    <w:rsid w:val="3EE34A5F"/>
    <w:rsid w:val="3EE460DE"/>
    <w:rsid w:val="3EE46C75"/>
    <w:rsid w:val="3F0644E9"/>
    <w:rsid w:val="3F0B6CAB"/>
    <w:rsid w:val="3F24498F"/>
    <w:rsid w:val="3F2A38EA"/>
    <w:rsid w:val="3F4F005D"/>
    <w:rsid w:val="3F5C238A"/>
    <w:rsid w:val="3F693230"/>
    <w:rsid w:val="3F824A84"/>
    <w:rsid w:val="3F8850B3"/>
    <w:rsid w:val="3F8D1F32"/>
    <w:rsid w:val="3F970FDB"/>
    <w:rsid w:val="3FBE3BC9"/>
    <w:rsid w:val="402E54E8"/>
    <w:rsid w:val="403B29C9"/>
    <w:rsid w:val="403B53C3"/>
    <w:rsid w:val="40704E69"/>
    <w:rsid w:val="407A57A2"/>
    <w:rsid w:val="40814873"/>
    <w:rsid w:val="40A02AED"/>
    <w:rsid w:val="40C66B1E"/>
    <w:rsid w:val="40D506EB"/>
    <w:rsid w:val="40D92496"/>
    <w:rsid w:val="40D96DD7"/>
    <w:rsid w:val="40E32E0B"/>
    <w:rsid w:val="40F5602D"/>
    <w:rsid w:val="414B4E9A"/>
    <w:rsid w:val="415347E5"/>
    <w:rsid w:val="4179452B"/>
    <w:rsid w:val="41802526"/>
    <w:rsid w:val="41907EC1"/>
    <w:rsid w:val="41AA5A16"/>
    <w:rsid w:val="41AA6FCA"/>
    <w:rsid w:val="41CF3ABC"/>
    <w:rsid w:val="41E31098"/>
    <w:rsid w:val="41EA60D8"/>
    <w:rsid w:val="421173AB"/>
    <w:rsid w:val="421604DA"/>
    <w:rsid w:val="422F7DEF"/>
    <w:rsid w:val="42321203"/>
    <w:rsid w:val="424A226E"/>
    <w:rsid w:val="42697B34"/>
    <w:rsid w:val="427310D3"/>
    <w:rsid w:val="427E642B"/>
    <w:rsid w:val="42965BBA"/>
    <w:rsid w:val="42A2426A"/>
    <w:rsid w:val="42A45543"/>
    <w:rsid w:val="42A551B5"/>
    <w:rsid w:val="42A82BE8"/>
    <w:rsid w:val="42AA7ACD"/>
    <w:rsid w:val="42AD59F0"/>
    <w:rsid w:val="42BB3022"/>
    <w:rsid w:val="42C52579"/>
    <w:rsid w:val="42C927DF"/>
    <w:rsid w:val="42CF38DF"/>
    <w:rsid w:val="42DC2B30"/>
    <w:rsid w:val="4306653D"/>
    <w:rsid w:val="430704FF"/>
    <w:rsid w:val="430E3699"/>
    <w:rsid w:val="4311502F"/>
    <w:rsid w:val="43124C8D"/>
    <w:rsid w:val="433D0BFC"/>
    <w:rsid w:val="433F610A"/>
    <w:rsid w:val="4355636B"/>
    <w:rsid w:val="4373608B"/>
    <w:rsid w:val="43760E30"/>
    <w:rsid w:val="437E013B"/>
    <w:rsid w:val="43835A34"/>
    <w:rsid w:val="43F4135D"/>
    <w:rsid w:val="43FE396A"/>
    <w:rsid w:val="441E042F"/>
    <w:rsid w:val="443950F3"/>
    <w:rsid w:val="443E7C42"/>
    <w:rsid w:val="44517EB5"/>
    <w:rsid w:val="44535D73"/>
    <w:rsid w:val="445E0466"/>
    <w:rsid w:val="446D333E"/>
    <w:rsid w:val="447A4BFE"/>
    <w:rsid w:val="449132BC"/>
    <w:rsid w:val="449D3CBD"/>
    <w:rsid w:val="44B67F44"/>
    <w:rsid w:val="44B92BFD"/>
    <w:rsid w:val="44C70D28"/>
    <w:rsid w:val="44C80F3F"/>
    <w:rsid w:val="44CA6E76"/>
    <w:rsid w:val="44EB5916"/>
    <w:rsid w:val="44F6488D"/>
    <w:rsid w:val="4502051D"/>
    <w:rsid w:val="45044A12"/>
    <w:rsid w:val="450E6E77"/>
    <w:rsid w:val="451C7198"/>
    <w:rsid w:val="4524077E"/>
    <w:rsid w:val="45282A9A"/>
    <w:rsid w:val="45285B35"/>
    <w:rsid w:val="45334A20"/>
    <w:rsid w:val="453C14B9"/>
    <w:rsid w:val="45585199"/>
    <w:rsid w:val="4589448D"/>
    <w:rsid w:val="45934CAA"/>
    <w:rsid w:val="45C25C0E"/>
    <w:rsid w:val="45E96F86"/>
    <w:rsid w:val="45FC5A69"/>
    <w:rsid w:val="460556A8"/>
    <w:rsid w:val="461E4FA6"/>
    <w:rsid w:val="463247F0"/>
    <w:rsid w:val="463A5899"/>
    <w:rsid w:val="463B4F6C"/>
    <w:rsid w:val="4646105E"/>
    <w:rsid w:val="464F2B3C"/>
    <w:rsid w:val="4654512D"/>
    <w:rsid w:val="46606872"/>
    <w:rsid w:val="46614E0D"/>
    <w:rsid w:val="46997982"/>
    <w:rsid w:val="46BC2C14"/>
    <w:rsid w:val="46BE0B91"/>
    <w:rsid w:val="46E64059"/>
    <w:rsid w:val="46F4701B"/>
    <w:rsid w:val="470348BC"/>
    <w:rsid w:val="4711691D"/>
    <w:rsid w:val="47205FEA"/>
    <w:rsid w:val="472D388D"/>
    <w:rsid w:val="4733684A"/>
    <w:rsid w:val="47481121"/>
    <w:rsid w:val="476843F5"/>
    <w:rsid w:val="476B186B"/>
    <w:rsid w:val="477A3C84"/>
    <w:rsid w:val="477D700D"/>
    <w:rsid w:val="478A42F6"/>
    <w:rsid w:val="47984A0A"/>
    <w:rsid w:val="47A54513"/>
    <w:rsid w:val="47A738C8"/>
    <w:rsid w:val="47BA40D3"/>
    <w:rsid w:val="47C1550A"/>
    <w:rsid w:val="47E52D99"/>
    <w:rsid w:val="47EB6B0E"/>
    <w:rsid w:val="47F31436"/>
    <w:rsid w:val="48071572"/>
    <w:rsid w:val="48083C5D"/>
    <w:rsid w:val="48121407"/>
    <w:rsid w:val="48246406"/>
    <w:rsid w:val="482D1C7F"/>
    <w:rsid w:val="482F1D5A"/>
    <w:rsid w:val="48376C36"/>
    <w:rsid w:val="48444BA9"/>
    <w:rsid w:val="484B4180"/>
    <w:rsid w:val="487E44EF"/>
    <w:rsid w:val="489064E3"/>
    <w:rsid w:val="48934611"/>
    <w:rsid w:val="48996789"/>
    <w:rsid w:val="48B25AE7"/>
    <w:rsid w:val="48F542D2"/>
    <w:rsid w:val="48FD06CC"/>
    <w:rsid w:val="49147DDB"/>
    <w:rsid w:val="492271EA"/>
    <w:rsid w:val="492B1670"/>
    <w:rsid w:val="4937639F"/>
    <w:rsid w:val="493B3878"/>
    <w:rsid w:val="496A2FB3"/>
    <w:rsid w:val="498613D0"/>
    <w:rsid w:val="498D2E01"/>
    <w:rsid w:val="498D3DBD"/>
    <w:rsid w:val="49B517B5"/>
    <w:rsid w:val="49D815D6"/>
    <w:rsid w:val="49D816F4"/>
    <w:rsid w:val="49FA72BE"/>
    <w:rsid w:val="49FD72F4"/>
    <w:rsid w:val="4A0A6964"/>
    <w:rsid w:val="4A247675"/>
    <w:rsid w:val="4A264531"/>
    <w:rsid w:val="4A2920CB"/>
    <w:rsid w:val="4A2E18A7"/>
    <w:rsid w:val="4A38213A"/>
    <w:rsid w:val="4A3C451C"/>
    <w:rsid w:val="4A400586"/>
    <w:rsid w:val="4A496CD7"/>
    <w:rsid w:val="4A5B01F1"/>
    <w:rsid w:val="4A7A7FC5"/>
    <w:rsid w:val="4A7B711D"/>
    <w:rsid w:val="4A84675D"/>
    <w:rsid w:val="4A8C3A1A"/>
    <w:rsid w:val="4A9F5932"/>
    <w:rsid w:val="4ACE2CEB"/>
    <w:rsid w:val="4ADE7963"/>
    <w:rsid w:val="4AF02ECB"/>
    <w:rsid w:val="4AF63C83"/>
    <w:rsid w:val="4B1646CF"/>
    <w:rsid w:val="4B7C1338"/>
    <w:rsid w:val="4B975530"/>
    <w:rsid w:val="4B996B44"/>
    <w:rsid w:val="4BA95E82"/>
    <w:rsid w:val="4BAA4032"/>
    <w:rsid w:val="4BB7755B"/>
    <w:rsid w:val="4BDA4819"/>
    <w:rsid w:val="4BE55CFC"/>
    <w:rsid w:val="4C3007F7"/>
    <w:rsid w:val="4C335E10"/>
    <w:rsid w:val="4C3B67F1"/>
    <w:rsid w:val="4C467513"/>
    <w:rsid w:val="4C4E0B3C"/>
    <w:rsid w:val="4C50744F"/>
    <w:rsid w:val="4C572817"/>
    <w:rsid w:val="4C5A1583"/>
    <w:rsid w:val="4C6369A7"/>
    <w:rsid w:val="4C644BBF"/>
    <w:rsid w:val="4C653585"/>
    <w:rsid w:val="4C691118"/>
    <w:rsid w:val="4C7D636D"/>
    <w:rsid w:val="4C7F5FEF"/>
    <w:rsid w:val="4C9959EB"/>
    <w:rsid w:val="4C9F47C4"/>
    <w:rsid w:val="4CA6102D"/>
    <w:rsid w:val="4CBC41F3"/>
    <w:rsid w:val="4CC10E85"/>
    <w:rsid w:val="4CC82FE7"/>
    <w:rsid w:val="4CCB0ABF"/>
    <w:rsid w:val="4CDE00EB"/>
    <w:rsid w:val="4CE25DB6"/>
    <w:rsid w:val="4CE809C5"/>
    <w:rsid w:val="4CEB1A1E"/>
    <w:rsid w:val="4CF040EF"/>
    <w:rsid w:val="4CFC55B3"/>
    <w:rsid w:val="4D1E6E23"/>
    <w:rsid w:val="4D2B4F19"/>
    <w:rsid w:val="4D3D0651"/>
    <w:rsid w:val="4D4D1D0E"/>
    <w:rsid w:val="4D4F0943"/>
    <w:rsid w:val="4D5A1E97"/>
    <w:rsid w:val="4D6E7F59"/>
    <w:rsid w:val="4D792A29"/>
    <w:rsid w:val="4DAA2A9B"/>
    <w:rsid w:val="4DAC41D6"/>
    <w:rsid w:val="4DC33165"/>
    <w:rsid w:val="4DC73899"/>
    <w:rsid w:val="4DCF66F9"/>
    <w:rsid w:val="4DD674A5"/>
    <w:rsid w:val="4DD7573E"/>
    <w:rsid w:val="4DE81BA5"/>
    <w:rsid w:val="4DED342F"/>
    <w:rsid w:val="4DEF0346"/>
    <w:rsid w:val="4E0E3AFA"/>
    <w:rsid w:val="4E1858BC"/>
    <w:rsid w:val="4E214745"/>
    <w:rsid w:val="4E431F05"/>
    <w:rsid w:val="4E512896"/>
    <w:rsid w:val="4E5737A4"/>
    <w:rsid w:val="4E6135E5"/>
    <w:rsid w:val="4E6B1C67"/>
    <w:rsid w:val="4E876A80"/>
    <w:rsid w:val="4E881A6F"/>
    <w:rsid w:val="4E8B5E12"/>
    <w:rsid w:val="4E93296A"/>
    <w:rsid w:val="4EB46112"/>
    <w:rsid w:val="4EB549E2"/>
    <w:rsid w:val="4ECC4E51"/>
    <w:rsid w:val="4ED227AF"/>
    <w:rsid w:val="4EF33E65"/>
    <w:rsid w:val="4EF4193D"/>
    <w:rsid w:val="4F153A2F"/>
    <w:rsid w:val="4F1816D0"/>
    <w:rsid w:val="4F430F16"/>
    <w:rsid w:val="4F4A1B00"/>
    <w:rsid w:val="4F593665"/>
    <w:rsid w:val="4F6771A9"/>
    <w:rsid w:val="4F8C770B"/>
    <w:rsid w:val="4F9A4993"/>
    <w:rsid w:val="4FA844A2"/>
    <w:rsid w:val="4FC42854"/>
    <w:rsid w:val="4FD51CBB"/>
    <w:rsid w:val="4FDF029D"/>
    <w:rsid w:val="4FE76145"/>
    <w:rsid w:val="4FF92635"/>
    <w:rsid w:val="503C1ED5"/>
    <w:rsid w:val="503C1FA1"/>
    <w:rsid w:val="5054650C"/>
    <w:rsid w:val="505E14C8"/>
    <w:rsid w:val="506257FD"/>
    <w:rsid w:val="50731582"/>
    <w:rsid w:val="50850379"/>
    <w:rsid w:val="509A2E32"/>
    <w:rsid w:val="50B170D2"/>
    <w:rsid w:val="51120212"/>
    <w:rsid w:val="515446E1"/>
    <w:rsid w:val="516119DC"/>
    <w:rsid w:val="51631263"/>
    <w:rsid w:val="51641704"/>
    <w:rsid w:val="51655D6D"/>
    <w:rsid w:val="518B01EE"/>
    <w:rsid w:val="518F35F9"/>
    <w:rsid w:val="519227B6"/>
    <w:rsid w:val="51A47477"/>
    <w:rsid w:val="51A646BE"/>
    <w:rsid w:val="51A86CBD"/>
    <w:rsid w:val="51B37EEF"/>
    <w:rsid w:val="51C47D1F"/>
    <w:rsid w:val="51CA619A"/>
    <w:rsid w:val="51D10C5E"/>
    <w:rsid w:val="51DE6E19"/>
    <w:rsid w:val="51EC2CA5"/>
    <w:rsid w:val="51F704C3"/>
    <w:rsid w:val="52184844"/>
    <w:rsid w:val="52196CD6"/>
    <w:rsid w:val="52273196"/>
    <w:rsid w:val="523731EA"/>
    <w:rsid w:val="52391CB6"/>
    <w:rsid w:val="523F42A6"/>
    <w:rsid w:val="523F5969"/>
    <w:rsid w:val="52436DC1"/>
    <w:rsid w:val="524B2422"/>
    <w:rsid w:val="526F7059"/>
    <w:rsid w:val="527C6745"/>
    <w:rsid w:val="528D53DC"/>
    <w:rsid w:val="529D59D3"/>
    <w:rsid w:val="52A54636"/>
    <w:rsid w:val="52BD2046"/>
    <w:rsid w:val="52D20B31"/>
    <w:rsid w:val="52D403EF"/>
    <w:rsid w:val="52D80B2A"/>
    <w:rsid w:val="52F16B43"/>
    <w:rsid w:val="53083AA3"/>
    <w:rsid w:val="531E0FBA"/>
    <w:rsid w:val="531F6C33"/>
    <w:rsid w:val="532F5A3F"/>
    <w:rsid w:val="5346574A"/>
    <w:rsid w:val="535059AB"/>
    <w:rsid w:val="536871EA"/>
    <w:rsid w:val="538C72E9"/>
    <w:rsid w:val="53A84A9F"/>
    <w:rsid w:val="53C53124"/>
    <w:rsid w:val="53D820C5"/>
    <w:rsid w:val="53D94927"/>
    <w:rsid w:val="53DD5528"/>
    <w:rsid w:val="53F448C8"/>
    <w:rsid w:val="53F45339"/>
    <w:rsid w:val="54095B51"/>
    <w:rsid w:val="543630E0"/>
    <w:rsid w:val="544A0DB6"/>
    <w:rsid w:val="5456191F"/>
    <w:rsid w:val="5457477E"/>
    <w:rsid w:val="545A5363"/>
    <w:rsid w:val="5469029B"/>
    <w:rsid w:val="546F00F2"/>
    <w:rsid w:val="54786028"/>
    <w:rsid w:val="54814751"/>
    <w:rsid w:val="548508DB"/>
    <w:rsid w:val="548F58A2"/>
    <w:rsid w:val="5490586C"/>
    <w:rsid w:val="54983250"/>
    <w:rsid w:val="549C3CF7"/>
    <w:rsid w:val="54A45DAC"/>
    <w:rsid w:val="54A6767D"/>
    <w:rsid w:val="54C1659F"/>
    <w:rsid w:val="54CC7DCA"/>
    <w:rsid w:val="54D55D85"/>
    <w:rsid w:val="54E125DB"/>
    <w:rsid w:val="54F6543C"/>
    <w:rsid w:val="5502747C"/>
    <w:rsid w:val="550A4C45"/>
    <w:rsid w:val="554F2951"/>
    <w:rsid w:val="55563B6B"/>
    <w:rsid w:val="55651866"/>
    <w:rsid w:val="5567153C"/>
    <w:rsid w:val="556D0395"/>
    <w:rsid w:val="55754396"/>
    <w:rsid w:val="557645CB"/>
    <w:rsid w:val="55783BA2"/>
    <w:rsid w:val="55F064F6"/>
    <w:rsid w:val="55F82D46"/>
    <w:rsid w:val="560B7934"/>
    <w:rsid w:val="56343A2B"/>
    <w:rsid w:val="56362315"/>
    <w:rsid w:val="56493897"/>
    <w:rsid w:val="5658660E"/>
    <w:rsid w:val="56830D82"/>
    <w:rsid w:val="568A7FA4"/>
    <w:rsid w:val="569158C1"/>
    <w:rsid w:val="56952F1F"/>
    <w:rsid w:val="56AC3209"/>
    <w:rsid w:val="56B5293E"/>
    <w:rsid w:val="56B741DC"/>
    <w:rsid w:val="56BD7FB8"/>
    <w:rsid w:val="56CC7516"/>
    <w:rsid w:val="56E13AAA"/>
    <w:rsid w:val="56E93737"/>
    <w:rsid w:val="56F549B0"/>
    <w:rsid w:val="570D2CE4"/>
    <w:rsid w:val="572D6D7C"/>
    <w:rsid w:val="57382C2D"/>
    <w:rsid w:val="573F7625"/>
    <w:rsid w:val="57607C5D"/>
    <w:rsid w:val="576739EC"/>
    <w:rsid w:val="576870CE"/>
    <w:rsid w:val="576D79CF"/>
    <w:rsid w:val="57815791"/>
    <w:rsid w:val="579025E4"/>
    <w:rsid w:val="57981008"/>
    <w:rsid w:val="579A3CA4"/>
    <w:rsid w:val="57B13971"/>
    <w:rsid w:val="57BE7879"/>
    <w:rsid w:val="57E8396F"/>
    <w:rsid w:val="57FC0A89"/>
    <w:rsid w:val="5806539C"/>
    <w:rsid w:val="58080028"/>
    <w:rsid w:val="580F6546"/>
    <w:rsid w:val="582F3637"/>
    <w:rsid w:val="583E54B6"/>
    <w:rsid w:val="584D2328"/>
    <w:rsid w:val="58555018"/>
    <w:rsid w:val="585B52D7"/>
    <w:rsid w:val="585C497C"/>
    <w:rsid w:val="586A6921"/>
    <w:rsid w:val="58AA650D"/>
    <w:rsid w:val="58D834CE"/>
    <w:rsid w:val="58E3620E"/>
    <w:rsid w:val="58EE43A5"/>
    <w:rsid w:val="59011906"/>
    <w:rsid w:val="590677DA"/>
    <w:rsid w:val="59232D32"/>
    <w:rsid w:val="59324A93"/>
    <w:rsid w:val="59330283"/>
    <w:rsid w:val="59483685"/>
    <w:rsid w:val="59574683"/>
    <w:rsid w:val="597E6ABE"/>
    <w:rsid w:val="598744A3"/>
    <w:rsid w:val="598B4ABD"/>
    <w:rsid w:val="59C95FE7"/>
    <w:rsid w:val="59D12D7B"/>
    <w:rsid w:val="59D24BEE"/>
    <w:rsid w:val="59D96474"/>
    <w:rsid w:val="59D97F5F"/>
    <w:rsid w:val="5A13072C"/>
    <w:rsid w:val="5A1A6B11"/>
    <w:rsid w:val="5A221467"/>
    <w:rsid w:val="5A2F7E9A"/>
    <w:rsid w:val="5A324C7E"/>
    <w:rsid w:val="5A3B4DBF"/>
    <w:rsid w:val="5A525FC1"/>
    <w:rsid w:val="5A5313B9"/>
    <w:rsid w:val="5A5B1A93"/>
    <w:rsid w:val="5A5C484E"/>
    <w:rsid w:val="5A6123EF"/>
    <w:rsid w:val="5A701EB3"/>
    <w:rsid w:val="5A895545"/>
    <w:rsid w:val="5AAA5AA7"/>
    <w:rsid w:val="5AAD771A"/>
    <w:rsid w:val="5AE10DCB"/>
    <w:rsid w:val="5AE37E88"/>
    <w:rsid w:val="5AF34C33"/>
    <w:rsid w:val="5B096120"/>
    <w:rsid w:val="5B17528B"/>
    <w:rsid w:val="5B262637"/>
    <w:rsid w:val="5B2B1823"/>
    <w:rsid w:val="5B3E3B02"/>
    <w:rsid w:val="5B487FEA"/>
    <w:rsid w:val="5B524538"/>
    <w:rsid w:val="5B566BAD"/>
    <w:rsid w:val="5B5D5D09"/>
    <w:rsid w:val="5B6879E6"/>
    <w:rsid w:val="5BA52B7A"/>
    <w:rsid w:val="5BB85E2E"/>
    <w:rsid w:val="5BF86102"/>
    <w:rsid w:val="5C0F621C"/>
    <w:rsid w:val="5C251B6A"/>
    <w:rsid w:val="5C4417DA"/>
    <w:rsid w:val="5C5872CD"/>
    <w:rsid w:val="5C681267"/>
    <w:rsid w:val="5C687F9D"/>
    <w:rsid w:val="5C723D2D"/>
    <w:rsid w:val="5CB07905"/>
    <w:rsid w:val="5CB86304"/>
    <w:rsid w:val="5CD87253"/>
    <w:rsid w:val="5CDB1300"/>
    <w:rsid w:val="5CE97CF5"/>
    <w:rsid w:val="5D016B3E"/>
    <w:rsid w:val="5D0C746D"/>
    <w:rsid w:val="5D1B3921"/>
    <w:rsid w:val="5D2E30EC"/>
    <w:rsid w:val="5D3D5B2F"/>
    <w:rsid w:val="5D4727AF"/>
    <w:rsid w:val="5D5501F2"/>
    <w:rsid w:val="5D56422B"/>
    <w:rsid w:val="5D967A6A"/>
    <w:rsid w:val="5D997094"/>
    <w:rsid w:val="5DA232D1"/>
    <w:rsid w:val="5DB0276A"/>
    <w:rsid w:val="5DF01811"/>
    <w:rsid w:val="5DFC1725"/>
    <w:rsid w:val="5E085F26"/>
    <w:rsid w:val="5E27233D"/>
    <w:rsid w:val="5E2F2226"/>
    <w:rsid w:val="5E4111A9"/>
    <w:rsid w:val="5E475194"/>
    <w:rsid w:val="5E671789"/>
    <w:rsid w:val="5E6A2D60"/>
    <w:rsid w:val="5E7D69ED"/>
    <w:rsid w:val="5E7F6E97"/>
    <w:rsid w:val="5E9B6F9B"/>
    <w:rsid w:val="5EAC18A7"/>
    <w:rsid w:val="5EBD4D58"/>
    <w:rsid w:val="5EF03005"/>
    <w:rsid w:val="5EF13622"/>
    <w:rsid w:val="5EF3528B"/>
    <w:rsid w:val="5F2E5D9F"/>
    <w:rsid w:val="5F417E0E"/>
    <w:rsid w:val="5F4A1F1B"/>
    <w:rsid w:val="5F4A55C6"/>
    <w:rsid w:val="5F6A388F"/>
    <w:rsid w:val="5F744282"/>
    <w:rsid w:val="5F7543B4"/>
    <w:rsid w:val="5F9C1BE4"/>
    <w:rsid w:val="5FC36777"/>
    <w:rsid w:val="5FD80461"/>
    <w:rsid w:val="60022F17"/>
    <w:rsid w:val="60185FA9"/>
    <w:rsid w:val="601C086A"/>
    <w:rsid w:val="602316C2"/>
    <w:rsid w:val="603713E2"/>
    <w:rsid w:val="603B2CE8"/>
    <w:rsid w:val="606625D3"/>
    <w:rsid w:val="606F3162"/>
    <w:rsid w:val="6084298C"/>
    <w:rsid w:val="60A26AC3"/>
    <w:rsid w:val="60AA06D8"/>
    <w:rsid w:val="60AB00BC"/>
    <w:rsid w:val="60B6111E"/>
    <w:rsid w:val="60C642A1"/>
    <w:rsid w:val="60E144D2"/>
    <w:rsid w:val="60E5198E"/>
    <w:rsid w:val="610E5299"/>
    <w:rsid w:val="612132B6"/>
    <w:rsid w:val="614F7714"/>
    <w:rsid w:val="615A18BE"/>
    <w:rsid w:val="615F2167"/>
    <w:rsid w:val="616048EE"/>
    <w:rsid w:val="61653414"/>
    <w:rsid w:val="617D2724"/>
    <w:rsid w:val="619E1452"/>
    <w:rsid w:val="61AB48B1"/>
    <w:rsid w:val="61B7768F"/>
    <w:rsid w:val="61BD7FB0"/>
    <w:rsid w:val="61BE5E4F"/>
    <w:rsid w:val="61DE1F1F"/>
    <w:rsid w:val="620058CC"/>
    <w:rsid w:val="6206482C"/>
    <w:rsid w:val="62147C23"/>
    <w:rsid w:val="621A2AEC"/>
    <w:rsid w:val="622E17C6"/>
    <w:rsid w:val="623D278F"/>
    <w:rsid w:val="624D069F"/>
    <w:rsid w:val="625178BB"/>
    <w:rsid w:val="625A189F"/>
    <w:rsid w:val="62626296"/>
    <w:rsid w:val="62651205"/>
    <w:rsid w:val="62674356"/>
    <w:rsid w:val="62685560"/>
    <w:rsid w:val="6275091F"/>
    <w:rsid w:val="627C557B"/>
    <w:rsid w:val="628C7A44"/>
    <w:rsid w:val="628E5653"/>
    <w:rsid w:val="629D61EC"/>
    <w:rsid w:val="62B6094A"/>
    <w:rsid w:val="62D00E03"/>
    <w:rsid w:val="62D31364"/>
    <w:rsid w:val="62D93B99"/>
    <w:rsid w:val="635555EB"/>
    <w:rsid w:val="637C5741"/>
    <w:rsid w:val="63C54498"/>
    <w:rsid w:val="63E9343E"/>
    <w:rsid w:val="63FA66D5"/>
    <w:rsid w:val="63FC1FB2"/>
    <w:rsid w:val="63FF12C6"/>
    <w:rsid w:val="640456B5"/>
    <w:rsid w:val="64051D8F"/>
    <w:rsid w:val="640F43C5"/>
    <w:rsid w:val="64105F4A"/>
    <w:rsid w:val="64341720"/>
    <w:rsid w:val="64512DAE"/>
    <w:rsid w:val="646A695C"/>
    <w:rsid w:val="646F7FCD"/>
    <w:rsid w:val="64735CFC"/>
    <w:rsid w:val="649A7664"/>
    <w:rsid w:val="64A47BA0"/>
    <w:rsid w:val="64AF3DCE"/>
    <w:rsid w:val="64D833A6"/>
    <w:rsid w:val="64EA09C2"/>
    <w:rsid w:val="64ED57E5"/>
    <w:rsid w:val="65117ECA"/>
    <w:rsid w:val="65180EC0"/>
    <w:rsid w:val="6521305C"/>
    <w:rsid w:val="6535383A"/>
    <w:rsid w:val="656A1ED0"/>
    <w:rsid w:val="657449A8"/>
    <w:rsid w:val="65753498"/>
    <w:rsid w:val="657C1693"/>
    <w:rsid w:val="65884515"/>
    <w:rsid w:val="65A22487"/>
    <w:rsid w:val="65AE4CF0"/>
    <w:rsid w:val="65B47855"/>
    <w:rsid w:val="65B652C1"/>
    <w:rsid w:val="65C22F91"/>
    <w:rsid w:val="65C604F4"/>
    <w:rsid w:val="65CF00F5"/>
    <w:rsid w:val="65DA4B96"/>
    <w:rsid w:val="65DE5BAE"/>
    <w:rsid w:val="65E04577"/>
    <w:rsid w:val="65EF7DFF"/>
    <w:rsid w:val="66135046"/>
    <w:rsid w:val="66200813"/>
    <w:rsid w:val="66322707"/>
    <w:rsid w:val="667A0598"/>
    <w:rsid w:val="667C6F02"/>
    <w:rsid w:val="6682467B"/>
    <w:rsid w:val="669022B7"/>
    <w:rsid w:val="66940A39"/>
    <w:rsid w:val="66B43DB7"/>
    <w:rsid w:val="66B4536C"/>
    <w:rsid w:val="66CA5E5F"/>
    <w:rsid w:val="66E710BA"/>
    <w:rsid w:val="66ED62BD"/>
    <w:rsid w:val="670A3373"/>
    <w:rsid w:val="67164009"/>
    <w:rsid w:val="671A520A"/>
    <w:rsid w:val="671B7213"/>
    <w:rsid w:val="67292A7D"/>
    <w:rsid w:val="673A2970"/>
    <w:rsid w:val="674B597F"/>
    <w:rsid w:val="674F6CB6"/>
    <w:rsid w:val="67514E24"/>
    <w:rsid w:val="67620408"/>
    <w:rsid w:val="677878C6"/>
    <w:rsid w:val="677D444B"/>
    <w:rsid w:val="678F1C72"/>
    <w:rsid w:val="678F3A8F"/>
    <w:rsid w:val="6796048C"/>
    <w:rsid w:val="67A01BAC"/>
    <w:rsid w:val="67A437C0"/>
    <w:rsid w:val="67B32B67"/>
    <w:rsid w:val="67CE4F0A"/>
    <w:rsid w:val="67DC2FEE"/>
    <w:rsid w:val="67E277AE"/>
    <w:rsid w:val="67E7052E"/>
    <w:rsid w:val="67F22CFF"/>
    <w:rsid w:val="67F65281"/>
    <w:rsid w:val="67F805B4"/>
    <w:rsid w:val="67F90E07"/>
    <w:rsid w:val="680509F9"/>
    <w:rsid w:val="680A2685"/>
    <w:rsid w:val="680F4EED"/>
    <w:rsid w:val="681875C8"/>
    <w:rsid w:val="6825421D"/>
    <w:rsid w:val="682A15E7"/>
    <w:rsid w:val="68486434"/>
    <w:rsid w:val="68B4479F"/>
    <w:rsid w:val="68C246F4"/>
    <w:rsid w:val="68E7020B"/>
    <w:rsid w:val="68E846FD"/>
    <w:rsid w:val="68EF6C3A"/>
    <w:rsid w:val="68FB7D69"/>
    <w:rsid w:val="690B382C"/>
    <w:rsid w:val="690E768F"/>
    <w:rsid w:val="691E1D26"/>
    <w:rsid w:val="693603AB"/>
    <w:rsid w:val="69467A9E"/>
    <w:rsid w:val="6959078C"/>
    <w:rsid w:val="69611F8C"/>
    <w:rsid w:val="69690603"/>
    <w:rsid w:val="696C4A91"/>
    <w:rsid w:val="6972432A"/>
    <w:rsid w:val="69797C2C"/>
    <w:rsid w:val="697B2AE1"/>
    <w:rsid w:val="698014F4"/>
    <w:rsid w:val="69AF6A95"/>
    <w:rsid w:val="69B211EB"/>
    <w:rsid w:val="69BE2948"/>
    <w:rsid w:val="69C24AC2"/>
    <w:rsid w:val="69CC37CF"/>
    <w:rsid w:val="69D05E78"/>
    <w:rsid w:val="69D1682B"/>
    <w:rsid w:val="69E1087F"/>
    <w:rsid w:val="6A0047F3"/>
    <w:rsid w:val="6A051933"/>
    <w:rsid w:val="6A112FF4"/>
    <w:rsid w:val="6A130B08"/>
    <w:rsid w:val="6A1D6053"/>
    <w:rsid w:val="6A2B356A"/>
    <w:rsid w:val="6A6641A9"/>
    <w:rsid w:val="6A90701E"/>
    <w:rsid w:val="6AAF7616"/>
    <w:rsid w:val="6AC21448"/>
    <w:rsid w:val="6AD5324E"/>
    <w:rsid w:val="6ADA4924"/>
    <w:rsid w:val="6ADA7CB9"/>
    <w:rsid w:val="6ADB0495"/>
    <w:rsid w:val="6AE15310"/>
    <w:rsid w:val="6AF92ED3"/>
    <w:rsid w:val="6B0A4E87"/>
    <w:rsid w:val="6B1105BA"/>
    <w:rsid w:val="6B3D6F5E"/>
    <w:rsid w:val="6B407F5A"/>
    <w:rsid w:val="6B5A41AF"/>
    <w:rsid w:val="6B6A7091"/>
    <w:rsid w:val="6B76598E"/>
    <w:rsid w:val="6B89705C"/>
    <w:rsid w:val="6BA3495E"/>
    <w:rsid w:val="6BC247A6"/>
    <w:rsid w:val="6BD92C40"/>
    <w:rsid w:val="6BE211D0"/>
    <w:rsid w:val="6BF87C20"/>
    <w:rsid w:val="6C3016AA"/>
    <w:rsid w:val="6C3D541F"/>
    <w:rsid w:val="6C415AEC"/>
    <w:rsid w:val="6C477A25"/>
    <w:rsid w:val="6C6C5C09"/>
    <w:rsid w:val="6C713545"/>
    <w:rsid w:val="6C8C74B0"/>
    <w:rsid w:val="6C903F46"/>
    <w:rsid w:val="6C9261B9"/>
    <w:rsid w:val="6CDA05DD"/>
    <w:rsid w:val="6CF27CB7"/>
    <w:rsid w:val="6CFF4FC3"/>
    <w:rsid w:val="6D012FD2"/>
    <w:rsid w:val="6D073BCB"/>
    <w:rsid w:val="6D08691D"/>
    <w:rsid w:val="6D0B5A94"/>
    <w:rsid w:val="6D277A88"/>
    <w:rsid w:val="6D2B1D59"/>
    <w:rsid w:val="6D442267"/>
    <w:rsid w:val="6D95593B"/>
    <w:rsid w:val="6DCB1EB7"/>
    <w:rsid w:val="6DCB5D7F"/>
    <w:rsid w:val="6DED486A"/>
    <w:rsid w:val="6E041113"/>
    <w:rsid w:val="6E11324D"/>
    <w:rsid w:val="6E135518"/>
    <w:rsid w:val="6E2A56A1"/>
    <w:rsid w:val="6E361F05"/>
    <w:rsid w:val="6E363CDF"/>
    <w:rsid w:val="6E3E2E47"/>
    <w:rsid w:val="6E527A2D"/>
    <w:rsid w:val="6E7B5445"/>
    <w:rsid w:val="6E847F11"/>
    <w:rsid w:val="6EB45479"/>
    <w:rsid w:val="6ECA5A5F"/>
    <w:rsid w:val="6EDB288F"/>
    <w:rsid w:val="6EF841B8"/>
    <w:rsid w:val="6EFC3550"/>
    <w:rsid w:val="6F043F0B"/>
    <w:rsid w:val="6F3E35D5"/>
    <w:rsid w:val="6F507371"/>
    <w:rsid w:val="6F584596"/>
    <w:rsid w:val="6F886E71"/>
    <w:rsid w:val="6F8E6527"/>
    <w:rsid w:val="6FA26B38"/>
    <w:rsid w:val="6FA52109"/>
    <w:rsid w:val="6FC323D9"/>
    <w:rsid w:val="6FD638B1"/>
    <w:rsid w:val="6FF27EB0"/>
    <w:rsid w:val="6FFF5CC5"/>
    <w:rsid w:val="70091AF4"/>
    <w:rsid w:val="70095EE9"/>
    <w:rsid w:val="702A324F"/>
    <w:rsid w:val="704B7DAF"/>
    <w:rsid w:val="708520C4"/>
    <w:rsid w:val="70853BCC"/>
    <w:rsid w:val="70A23903"/>
    <w:rsid w:val="70B4157B"/>
    <w:rsid w:val="70C154FD"/>
    <w:rsid w:val="70C6036D"/>
    <w:rsid w:val="70CE4A96"/>
    <w:rsid w:val="70CF039B"/>
    <w:rsid w:val="70D3493E"/>
    <w:rsid w:val="70D7108E"/>
    <w:rsid w:val="70D76741"/>
    <w:rsid w:val="70F64FF4"/>
    <w:rsid w:val="710A3270"/>
    <w:rsid w:val="71164ACF"/>
    <w:rsid w:val="71306252"/>
    <w:rsid w:val="713B0B43"/>
    <w:rsid w:val="716621C1"/>
    <w:rsid w:val="71782C7D"/>
    <w:rsid w:val="718C3DE0"/>
    <w:rsid w:val="719170E3"/>
    <w:rsid w:val="71A62055"/>
    <w:rsid w:val="71AB5F8A"/>
    <w:rsid w:val="71B24E95"/>
    <w:rsid w:val="71BB7B4E"/>
    <w:rsid w:val="71C5773E"/>
    <w:rsid w:val="71D379D7"/>
    <w:rsid w:val="71E42F3B"/>
    <w:rsid w:val="71F44D58"/>
    <w:rsid w:val="71FC4C7C"/>
    <w:rsid w:val="72251DA4"/>
    <w:rsid w:val="726B4CBB"/>
    <w:rsid w:val="72712929"/>
    <w:rsid w:val="728114C6"/>
    <w:rsid w:val="72897700"/>
    <w:rsid w:val="729446A5"/>
    <w:rsid w:val="729B764A"/>
    <w:rsid w:val="72B375F5"/>
    <w:rsid w:val="72BA6037"/>
    <w:rsid w:val="72C740ED"/>
    <w:rsid w:val="72C970E9"/>
    <w:rsid w:val="72E673CF"/>
    <w:rsid w:val="72EB533D"/>
    <w:rsid w:val="73132481"/>
    <w:rsid w:val="7325591C"/>
    <w:rsid w:val="73347DD4"/>
    <w:rsid w:val="73633AF0"/>
    <w:rsid w:val="736D44EF"/>
    <w:rsid w:val="73776CA0"/>
    <w:rsid w:val="73B35A75"/>
    <w:rsid w:val="73C97E9E"/>
    <w:rsid w:val="73D40DA2"/>
    <w:rsid w:val="73DD1180"/>
    <w:rsid w:val="73E5185B"/>
    <w:rsid w:val="741F45B5"/>
    <w:rsid w:val="742130F2"/>
    <w:rsid w:val="742C4642"/>
    <w:rsid w:val="74315D5C"/>
    <w:rsid w:val="743C59CD"/>
    <w:rsid w:val="74465350"/>
    <w:rsid w:val="746B647F"/>
    <w:rsid w:val="747542D9"/>
    <w:rsid w:val="747E3B0E"/>
    <w:rsid w:val="74800E9A"/>
    <w:rsid w:val="748F7F6F"/>
    <w:rsid w:val="749817D5"/>
    <w:rsid w:val="74AC4202"/>
    <w:rsid w:val="74B53285"/>
    <w:rsid w:val="74B746E8"/>
    <w:rsid w:val="74D67798"/>
    <w:rsid w:val="74E3277F"/>
    <w:rsid w:val="7518394C"/>
    <w:rsid w:val="751850DE"/>
    <w:rsid w:val="75193DA9"/>
    <w:rsid w:val="753022BE"/>
    <w:rsid w:val="753B0EFD"/>
    <w:rsid w:val="75530645"/>
    <w:rsid w:val="755F2C4C"/>
    <w:rsid w:val="75836CDA"/>
    <w:rsid w:val="7594489B"/>
    <w:rsid w:val="7595501B"/>
    <w:rsid w:val="759C0A8D"/>
    <w:rsid w:val="75D51CE0"/>
    <w:rsid w:val="75D62E31"/>
    <w:rsid w:val="75DF5DB2"/>
    <w:rsid w:val="75FE033A"/>
    <w:rsid w:val="762A38F1"/>
    <w:rsid w:val="762E5891"/>
    <w:rsid w:val="76391D80"/>
    <w:rsid w:val="763E0596"/>
    <w:rsid w:val="76433615"/>
    <w:rsid w:val="76466B26"/>
    <w:rsid w:val="766A7D12"/>
    <w:rsid w:val="76A67DFC"/>
    <w:rsid w:val="76B2074A"/>
    <w:rsid w:val="76EC419E"/>
    <w:rsid w:val="76F03175"/>
    <w:rsid w:val="770850B6"/>
    <w:rsid w:val="77247AA0"/>
    <w:rsid w:val="772A11C8"/>
    <w:rsid w:val="772C60B7"/>
    <w:rsid w:val="774515AC"/>
    <w:rsid w:val="77623885"/>
    <w:rsid w:val="776B46B2"/>
    <w:rsid w:val="77786793"/>
    <w:rsid w:val="777965ED"/>
    <w:rsid w:val="77817EAC"/>
    <w:rsid w:val="779D02C7"/>
    <w:rsid w:val="779D7593"/>
    <w:rsid w:val="77A5337F"/>
    <w:rsid w:val="77C37ACE"/>
    <w:rsid w:val="77C537C0"/>
    <w:rsid w:val="77C80872"/>
    <w:rsid w:val="77DC06F1"/>
    <w:rsid w:val="77E61546"/>
    <w:rsid w:val="77E974C6"/>
    <w:rsid w:val="77EA26A8"/>
    <w:rsid w:val="77F9620D"/>
    <w:rsid w:val="77FD22D0"/>
    <w:rsid w:val="78041EA2"/>
    <w:rsid w:val="78135AB1"/>
    <w:rsid w:val="782C68D4"/>
    <w:rsid w:val="78473280"/>
    <w:rsid w:val="786D43E0"/>
    <w:rsid w:val="78737430"/>
    <w:rsid w:val="78784A07"/>
    <w:rsid w:val="7886537B"/>
    <w:rsid w:val="78A11F78"/>
    <w:rsid w:val="78A5499D"/>
    <w:rsid w:val="78AF7669"/>
    <w:rsid w:val="78D15EAD"/>
    <w:rsid w:val="78D27BF1"/>
    <w:rsid w:val="78D528CE"/>
    <w:rsid w:val="78E252CB"/>
    <w:rsid w:val="78FA53C2"/>
    <w:rsid w:val="78FE6E8B"/>
    <w:rsid w:val="79004FC6"/>
    <w:rsid w:val="790620E2"/>
    <w:rsid w:val="794247C9"/>
    <w:rsid w:val="795E2273"/>
    <w:rsid w:val="79BC7D57"/>
    <w:rsid w:val="79CA5589"/>
    <w:rsid w:val="79E578D2"/>
    <w:rsid w:val="79F729CB"/>
    <w:rsid w:val="7A151346"/>
    <w:rsid w:val="7A1C4E6B"/>
    <w:rsid w:val="7A1C731F"/>
    <w:rsid w:val="7A1E221D"/>
    <w:rsid w:val="7A340D66"/>
    <w:rsid w:val="7A4363BA"/>
    <w:rsid w:val="7A46001C"/>
    <w:rsid w:val="7A4967D0"/>
    <w:rsid w:val="7A632889"/>
    <w:rsid w:val="7A686542"/>
    <w:rsid w:val="7A815634"/>
    <w:rsid w:val="7A9642E8"/>
    <w:rsid w:val="7A996458"/>
    <w:rsid w:val="7AAA668A"/>
    <w:rsid w:val="7AC42EFD"/>
    <w:rsid w:val="7ACC0EA4"/>
    <w:rsid w:val="7AD51A8A"/>
    <w:rsid w:val="7AF3075E"/>
    <w:rsid w:val="7B0913A7"/>
    <w:rsid w:val="7B1903CB"/>
    <w:rsid w:val="7B250396"/>
    <w:rsid w:val="7B2C1EB5"/>
    <w:rsid w:val="7B302DA2"/>
    <w:rsid w:val="7B4E463F"/>
    <w:rsid w:val="7B550266"/>
    <w:rsid w:val="7B887DF3"/>
    <w:rsid w:val="7BB30DF6"/>
    <w:rsid w:val="7BBE4350"/>
    <w:rsid w:val="7BC0506C"/>
    <w:rsid w:val="7BD5433F"/>
    <w:rsid w:val="7BE44AEA"/>
    <w:rsid w:val="7BF84150"/>
    <w:rsid w:val="7C111929"/>
    <w:rsid w:val="7C1643B1"/>
    <w:rsid w:val="7C183004"/>
    <w:rsid w:val="7C1954A8"/>
    <w:rsid w:val="7C201BE6"/>
    <w:rsid w:val="7C221D63"/>
    <w:rsid w:val="7C306F37"/>
    <w:rsid w:val="7C3F52F0"/>
    <w:rsid w:val="7C447A03"/>
    <w:rsid w:val="7C476839"/>
    <w:rsid w:val="7C741B8F"/>
    <w:rsid w:val="7C892BB1"/>
    <w:rsid w:val="7C950DB7"/>
    <w:rsid w:val="7CA20D5A"/>
    <w:rsid w:val="7CA751A0"/>
    <w:rsid w:val="7CA7527D"/>
    <w:rsid w:val="7CC623BD"/>
    <w:rsid w:val="7CE048DE"/>
    <w:rsid w:val="7D013F30"/>
    <w:rsid w:val="7D10614C"/>
    <w:rsid w:val="7D207A95"/>
    <w:rsid w:val="7D2F5F4B"/>
    <w:rsid w:val="7D361B5B"/>
    <w:rsid w:val="7D395C3B"/>
    <w:rsid w:val="7D42491F"/>
    <w:rsid w:val="7D487044"/>
    <w:rsid w:val="7D641E64"/>
    <w:rsid w:val="7D7047C9"/>
    <w:rsid w:val="7D7A0011"/>
    <w:rsid w:val="7D7A34CE"/>
    <w:rsid w:val="7D7E3F49"/>
    <w:rsid w:val="7D8C25A5"/>
    <w:rsid w:val="7D992132"/>
    <w:rsid w:val="7D9A1B76"/>
    <w:rsid w:val="7DA245E9"/>
    <w:rsid w:val="7DAA46C6"/>
    <w:rsid w:val="7DB54C08"/>
    <w:rsid w:val="7DB775FE"/>
    <w:rsid w:val="7DC11517"/>
    <w:rsid w:val="7DDF5BB8"/>
    <w:rsid w:val="7E1E5DFA"/>
    <w:rsid w:val="7E45318A"/>
    <w:rsid w:val="7E45572A"/>
    <w:rsid w:val="7E525688"/>
    <w:rsid w:val="7E57165F"/>
    <w:rsid w:val="7E725064"/>
    <w:rsid w:val="7EA617D8"/>
    <w:rsid w:val="7EA75276"/>
    <w:rsid w:val="7EA8267B"/>
    <w:rsid w:val="7EA96A04"/>
    <w:rsid w:val="7EB37413"/>
    <w:rsid w:val="7EC03B2D"/>
    <w:rsid w:val="7ECA7D82"/>
    <w:rsid w:val="7ECC4937"/>
    <w:rsid w:val="7EDC40C1"/>
    <w:rsid w:val="7EDD2BB7"/>
    <w:rsid w:val="7EF24838"/>
    <w:rsid w:val="7EFD157F"/>
    <w:rsid w:val="7F084B75"/>
    <w:rsid w:val="7F1262E1"/>
    <w:rsid w:val="7F2042F6"/>
    <w:rsid w:val="7F405636"/>
    <w:rsid w:val="7F4B78AB"/>
    <w:rsid w:val="7F737A53"/>
    <w:rsid w:val="7F917215"/>
    <w:rsid w:val="7F98450F"/>
    <w:rsid w:val="7FA15F27"/>
    <w:rsid w:val="7FD62EB5"/>
    <w:rsid w:val="7FEB587D"/>
    <w:rsid w:val="7FF5744B"/>
    <w:rsid w:val="7FF61A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28FE92"/>
  <w15:docId w15:val="{6059152A-99E9-4676-9757-060DDA38BD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after="160" w:line="259" w:lineRule="auto"/>
      <w:jc w:val="both"/>
    </w:pPr>
    <w:rPr>
      <w:rFonts w:eastAsiaTheme="minorEastAsia"/>
      <w:kern w:val="2"/>
      <w:sz w:val="21"/>
      <w:szCs w:val="24"/>
    </w:rPr>
  </w:style>
  <w:style w:type="paragraph" w:styleId="1">
    <w:name w:val="heading 1"/>
    <w:basedOn w:val="a"/>
    <w:next w:val="a"/>
    <w:link w:val="1Char"/>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Char"/>
    <w:qFormat/>
    <w:pPr>
      <w:widowControl/>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3">
    <w:name w:val="heading 3"/>
    <w:basedOn w:val="2"/>
    <w:next w:val="a"/>
    <w:link w:val="3Char"/>
    <w:qFormat/>
    <w:pPr>
      <w:numPr>
        <w:ilvl w:val="2"/>
        <w:numId w:val="1"/>
      </w:numPr>
      <w:tabs>
        <w:tab w:val="clear" w:pos="432"/>
      </w:tabs>
      <w:spacing w:before="260" w:after="260" w:line="416" w:lineRule="auto"/>
      <w:outlineLvl w:val="2"/>
    </w:pPr>
  </w:style>
  <w:style w:type="paragraph" w:styleId="4">
    <w:name w:val="heading 4"/>
    <w:basedOn w:val="3"/>
    <w:next w:val="a"/>
    <w:link w:val="4Char"/>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Char"/>
    <w:qFormat/>
    <w:pPr>
      <w:tabs>
        <w:tab w:val="clear" w:pos="864"/>
        <w:tab w:val="clear" w:pos="2071"/>
        <w:tab w:val="left" w:pos="1008"/>
        <w:tab w:val="left" w:pos="2383"/>
      </w:tabs>
      <w:ind w:left="2196"/>
      <w:outlineLvl w:val="4"/>
    </w:p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20"/>
    <w:qFormat/>
    <w:pPr>
      <w:widowControl/>
      <w:spacing w:before="40"/>
      <w:ind w:left="849" w:hanging="283"/>
      <w:jc w:val="left"/>
    </w:pPr>
    <w:rPr>
      <w:rFonts w:ascii="Arial" w:eastAsia="MS Mincho" w:hAnsi="Arial"/>
      <w:kern w:val="0"/>
      <w:sz w:val="20"/>
      <w:lang w:val="en-GB" w:eastAsia="en-GB"/>
    </w:rPr>
  </w:style>
  <w:style w:type="paragraph" w:styleId="20">
    <w:name w:val="List 2"/>
    <w:basedOn w:val="a3"/>
    <w:unhideWhenUsed/>
    <w:qFormat/>
    <w:pPr>
      <w:ind w:leftChars="200" w:left="100"/>
    </w:pPr>
  </w:style>
  <w:style w:type="paragraph" w:styleId="a3">
    <w:name w:val="List"/>
    <w:basedOn w:val="a"/>
    <w:unhideWhenUsed/>
    <w:qFormat/>
    <w:pPr>
      <w:ind w:left="200" w:hangingChars="200" w:hanging="200"/>
      <w:contextualSpacing/>
    </w:pPr>
  </w:style>
  <w:style w:type="paragraph" w:styleId="70">
    <w:name w:val="toc 7"/>
    <w:basedOn w:val="a"/>
    <w:next w:val="a"/>
    <w:qFormat/>
    <w:pPr>
      <w:tabs>
        <w:tab w:val="right" w:leader="dot" w:pos="9241"/>
      </w:tabs>
      <w:ind w:firstLineChars="500" w:firstLine="500"/>
      <w:jc w:val="left"/>
    </w:pPr>
    <w:rPr>
      <w:rFonts w:ascii="宋体"/>
      <w:szCs w:val="21"/>
    </w:rPr>
  </w:style>
  <w:style w:type="paragraph" w:styleId="21">
    <w:name w:val="List Number 2"/>
    <w:basedOn w:val="a4"/>
    <w:qFormat/>
    <w:pPr>
      <w:ind w:left="851"/>
    </w:pPr>
  </w:style>
  <w:style w:type="paragraph" w:styleId="a4">
    <w:name w:val="List Number"/>
    <w:basedOn w:val="a3"/>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80">
    <w:name w:val="index 8"/>
    <w:basedOn w:val="a"/>
    <w:next w:val="a"/>
    <w:qFormat/>
    <w:pPr>
      <w:ind w:left="1680" w:hanging="210"/>
      <w:jc w:val="left"/>
    </w:pPr>
    <w:rPr>
      <w:rFonts w:ascii="Calibri" w:hAnsi="Calibri"/>
      <w:sz w:val="20"/>
      <w:szCs w:val="20"/>
    </w:rPr>
  </w:style>
  <w:style w:type="paragraph" w:styleId="a6">
    <w:name w:val="caption"/>
    <w:basedOn w:val="a"/>
    <w:next w:val="a"/>
    <w:link w:val="Char"/>
    <w:qFormat/>
    <w:pPr>
      <w:spacing w:before="152"/>
    </w:pPr>
    <w:rPr>
      <w:rFonts w:ascii="Arial" w:eastAsia="黑体" w:hAnsi="Arial"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7">
    <w:name w:val="Document Map"/>
    <w:basedOn w:val="a"/>
    <w:link w:val="Char0"/>
    <w:unhideWhenUsed/>
    <w:qFormat/>
    <w:rPr>
      <w:rFonts w:ascii="宋体"/>
      <w:sz w:val="18"/>
      <w:szCs w:val="18"/>
    </w:rPr>
  </w:style>
  <w:style w:type="paragraph" w:styleId="a8">
    <w:name w:val="annotation text"/>
    <w:basedOn w:val="a"/>
    <w:link w:val="Char1"/>
    <w:unhideWhenUsed/>
    <w:qFormat/>
    <w:pPr>
      <w:jc w:val="left"/>
    </w:pPr>
  </w:style>
  <w:style w:type="paragraph" w:styleId="60">
    <w:name w:val="index 6"/>
    <w:basedOn w:val="a"/>
    <w:next w:val="a"/>
    <w:qFormat/>
    <w:pPr>
      <w:ind w:left="1260" w:hanging="210"/>
      <w:jc w:val="left"/>
    </w:pPr>
    <w:rPr>
      <w:rFonts w:ascii="Calibri" w:hAnsi="Calibri"/>
      <w:sz w:val="20"/>
      <w:szCs w:val="20"/>
    </w:rPr>
  </w:style>
  <w:style w:type="paragraph" w:styleId="a9">
    <w:name w:val="Body Text"/>
    <w:basedOn w:val="a"/>
    <w:link w:val="Char2"/>
    <w:qFormat/>
    <w:pPr>
      <w:widowControl/>
      <w:spacing w:before="40" w:after="120"/>
      <w:jc w:val="left"/>
    </w:pPr>
    <w:rPr>
      <w:rFonts w:ascii="Arial" w:eastAsia="MS Mincho" w:hAnsi="Arial"/>
      <w:kern w:val="0"/>
      <w:sz w:val="20"/>
      <w:lang w:val="en-GB" w:eastAsia="en-GB"/>
    </w:r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qFormat/>
    <w:pPr>
      <w:tabs>
        <w:tab w:val="right" w:leader="dot" w:pos="9241"/>
      </w:tabs>
      <w:ind w:firstLineChars="300" w:firstLine="300"/>
      <w:jc w:val="left"/>
    </w:pPr>
    <w:rPr>
      <w:rFonts w:ascii="宋体"/>
      <w:szCs w:val="21"/>
    </w:rPr>
  </w:style>
  <w:style w:type="paragraph" w:styleId="32">
    <w:name w:val="toc 3"/>
    <w:basedOn w:val="a"/>
    <w:next w:val="a"/>
    <w:qFormat/>
    <w:pPr>
      <w:tabs>
        <w:tab w:val="right" w:leader="dot" w:pos="9241"/>
      </w:tabs>
      <w:ind w:firstLineChars="100" w:firstLine="100"/>
      <w:jc w:val="left"/>
    </w:pPr>
    <w:rPr>
      <w:rFonts w:ascii="宋体"/>
      <w:szCs w:val="21"/>
    </w:rPr>
  </w:style>
  <w:style w:type="paragraph" w:styleId="aa">
    <w:name w:val="Plain Text"/>
    <w:basedOn w:val="a"/>
    <w:link w:val="Char3"/>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 w:val="20"/>
      <w:szCs w:val="20"/>
    </w:rPr>
  </w:style>
  <w:style w:type="paragraph" w:styleId="ab">
    <w:name w:val="endnote text"/>
    <w:basedOn w:val="a"/>
    <w:link w:val="Char4"/>
    <w:qFormat/>
    <w:pPr>
      <w:snapToGrid w:val="0"/>
      <w:jc w:val="left"/>
    </w:pPr>
  </w:style>
  <w:style w:type="paragraph" w:styleId="ac">
    <w:name w:val="Balloon Text"/>
    <w:basedOn w:val="a"/>
    <w:link w:val="Char5"/>
    <w:unhideWhenUsed/>
    <w:qFormat/>
    <w:rPr>
      <w:sz w:val="18"/>
      <w:szCs w:val="18"/>
    </w:rPr>
  </w:style>
  <w:style w:type="paragraph" w:styleId="ad">
    <w:name w:val="footer"/>
    <w:basedOn w:val="a"/>
    <w:link w:val="Char6"/>
    <w:uiPriority w:val="99"/>
    <w:qFormat/>
    <w:pPr>
      <w:tabs>
        <w:tab w:val="center" w:pos="4153"/>
        <w:tab w:val="right" w:pos="8306"/>
      </w:tabs>
      <w:snapToGrid w:val="0"/>
      <w:jc w:val="left"/>
    </w:pPr>
    <w:rPr>
      <w:sz w:val="18"/>
      <w:szCs w:val="18"/>
    </w:rPr>
  </w:style>
  <w:style w:type="paragraph" w:styleId="ae">
    <w:name w:val="header"/>
    <w:basedOn w:val="a"/>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rPr>
      <w:rFonts w:ascii="宋体"/>
      <w:szCs w:val="21"/>
    </w:rPr>
  </w:style>
  <w:style w:type="paragraph" w:styleId="42">
    <w:name w:val="toc 4"/>
    <w:basedOn w:val="a"/>
    <w:next w:val="a"/>
    <w:qFormat/>
    <w:pPr>
      <w:tabs>
        <w:tab w:val="right" w:leader="dot" w:pos="9241"/>
      </w:tabs>
      <w:ind w:firstLineChars="200" w:firstLine="200"/>
      <w:jc w:val="left"/>
    </w:pPr>
    <w:rPr>
      <w:rFonts w:ascii="宋体"/>
      <w:szCs w:val="21"/>
    </w:rPr>
  </w:style>
  <w:style w:type="paragraph" w:styleId="af">
    <w:name w:val="index heading"/>
    <w:basedOn w:val="a"/>
    <w:next w:val="11"/>
    <w:qFormat/>
    <w:pPr>
      <w:spacing w:before="120" w:after="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szCs w:val="21"/>
    </w:rPr>
  </w:style>
  <w:style w:type="paragraph" w:customStyle="1" w:styleId="af0">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rPr>
  </w:style>
  <w:style w:type="paragraph" w:styleId="af1">
    <w:name w:val="footnote text"/>
    <w:basedOn w:val="a"/>
    <w:link w:val="Char8"/>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2">
    <w:name w:val="table of figures"/>
    <w:basedOn w:val="a"/>
    <w:next w:val="a"/>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23">
    <w:name w:val="toc 2"/>
    <w:basedOn w:val="a"/>
    <w:next w:val="a"/>
    <w:uiPriority w:val="39"/>
    <w:qFormat/>
    <w:pPr>
      <w:tabs>
        <w:tab w:val="right" w:leader="dot" w:pos="9242"/>
      </w:tabs>
    </w:pPr>
    <w:rPr>
      <w:rFonts w:ascii="宋体"/>
      <w:szCs w:val="21"/>
    </w:rPr>
  </w:style>
  <w:style w:type="paragraph" w:styleId="91">
    <w:name w:val="toc 9"/>
    <w:basedOn w:val="a"/>
    <w:next w:val="a"/>
    <w:qFormat/>
    <w:pPr>
      <w:ind w:left="1470"/>
      <w:jc w:val="left"/>
    </w:pPr>
    <w:rPr>
      <w:sz w:val="20"/>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 w:val="20"/>
      <w:szCs w:val="20"/>
    </w:rPr>
  </w:style>
  <w:style w:type="paragraph" w:styleId="af4">
    <w:name w:val="annotation subject"/>
    <w:basedOn w:val="a8"/>
    <w:next w:val="a8"/>
    <w:link w:val="Char9"/>
    <w:semiHidden/>
    <w:qFormat/>
    <w:pPr>
      <w:widowControl/>
      <w:spacing w:before="40"/>
    </w:pPr>
    <w:rPr>
      <w:rFonts w:ascii="Arial" w:eastAsia="MS Mincho" w:hAnsi="Arial"/>
      <w:b/>
      <w:bCs/>
      <w:kern w:val="0"/>
      <w:sz w:val="20"/>
      <w:szCs w:val="20"/>
      <w:lang w:val="en-GB" w:eastAsia="en-GB"/>
    </w:rPr>
  </w:style>
  <w:style w:type="table" w:styleId="af5">
    <w:name w:val="Table Grid"/>
    <w:basedOn w:val="a1"/>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Strong"/>
    <w:basedOn w:val="a0"/>
    <w:uiPriority w:val="22"/>
    <w:qFormat/>
    <w:rPr>
      <w:b/>
    </w:rPr>
  </w:style>
  <w:style w:type="character" w:styleId="af7">
    <w:name w:val="endnote reference"/>
    <w:basedOn w:val="a0"/>
    <w:qFormat/>
    <w:rPr>
      <w:vertAlign w:val="superscript"/>
    </w:rPr>
  </w:style>
  <w:style w:type="character" w:styleId="af8">
    <w:name w:val="page number"/>
    <w:basedOn w:val="a0"/>
    <w:qFormat/>
  </w:style>
  <w:style w:type="character" w:styleId="af9">
    <w:name w:val="FollowedHyperlink"/>
    <w:basedOn w:val="a0"/>
    <w:qFormat/>
    <w:rPr>
      <w:color w:val="800080"/>
      <w:u w:val="single"/>
    </w:rPr>
  </w:style>
  <w:style w:type="character" w:styleId="afa">
    <w:name w:val="Emphasis"/>
    <w:qFormat/>
    <w:rPr>
      <w:i/>
      <w:iCs/>
    </w:rPr>
  </w:style>
  <w:style w:type="character" w:styleId="afb">
    <w:name w:val="Hyperlink"/>
    <w:basedOn w:val="a0"/>
    <w:uiPriority w:val="99"/>
    <w:qFormat/>
    <w:rPr>
      <w:color w:val="0000FF"/>
      <w:spacing w:val="0"/>
      <w:w w:val="100"/>
      <w:szCs w:val="21"/>
      <w:u w:val="single"/>
      <w:lang w:val="en-US" w:eastAsia="zh-CN"/>
    </w:rPr>
  </w:style>
  <w:style w:type="character" w:styleId="afc">
    <w:name w:val="annotation reference"/>
    <w:qFormat/>
    <w:rPr>
      <w:sz w:val="16"/>
    </w:rPr>
  </w:style>
  <w:style w:type="character" w:styleId="afd">
    <w:name w:val="footnote reference"/>
    <w:basedOn w:val="a0"/>
    <w:qFormat/>
    <w:rPr>
      <w:vertAlign w:val="superscript"/>
    </w:rPr>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sz w:val="20"/>
      <w:lang w:val="en-GB" w:eastAsia="en-GB"/>
    </w:r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Char5">
    <w:name w:val="批注框文本 Char"/>
    <w:basedOn w:val="a0"/>
    <w:link w:val="ac"/>
    <w:qFormat/>
    <w:rPr>
      <w:kern w:val="2"/>
      <w:sz w:val="18"/>
      <w:szCs w:val="18"/>
    </w:rPr>
  </w:style>
  <w:style w:type="paragraph" w:styleId="afe">
    <w:name w:val="List Paragraph"/>
    <w:basedOn w:val="a"/>
    <w:link w:val="Chara"/>
    <w:uiPriority w:val="99"/>
    <w:unhideWhenUsed/>
    <w:qFormat/>
    <w:pPr>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qFormat/>
    <w:rPr>
      <w:b/>
      <w:bCs/>
      <w:kern w:val="44"/>
      <w:sz w:val="44"/>
      <w:szCs w:val="44"/>
    </w:rPr>
  </w:style>
  <w:style w:type="character" w:customStyle="1" w:styleId="2Char">
    <w:name w:val="标题 2 Char"/>
    <w:basedOn w:val="a0"/>
    <w:link w:val="2"/>
    <w:qFormat/>
    <w:rPr>
      <w:rFonts w:ascii="Arial" w:eastAsia="MS Mincho" w:hAnsi="Arial"/>
      <w:sz w:val="32"/>
      <w:szCs w:val="32"/>
      <w:lang w:val="en-GB"/>
    </w:rPr>
  </w:style>
  <w:style w:type="character" w:customStyle="1" w:styleId="3Char">
    <w:name w:val="标题 3 Char"/>
    <w:basedOn w:val="a0"/>
    <w:link w:val="3"/>
    <w:qFormat/>
    <w:rPr>
      <w:b/>
      <w:bCs/>
      <w:kern w:val="2"/>
      <w:sz w:val="32"/>
      <w:szCs w:val="32"/>
    </w:rPr>
  </w:style>
  <w:style w:type="character" w:customStyle="1" w:styleId="4Char">
    <w:name w:val="标题 4 Char"/>
    <w:basedOn w:val="a0"/>
    <w:link w:val="4"/>
    <w:qFormat/>
    <w:rPr>
      <w:rFonts w:ascii="Arial" w:eastAsia="黑体" w:hAnsi="Arial"/>
      <w:b/>
      <w:kern w:val="2"/>
      <w:sz w:val="28"/>
      <w:szCs w:val="24"/>
    </w:rPr>
  </w:style>
  <w:style w:type="character" w:customStyle="1" w:styleId="5Char">
    <w:name w:val="标题 5 Char"/>
    <w:basedOn w:val="a0"/>
    <w:link w:val="5"/>
    <w:qFormat/>
    <w:rPr>
      <w:b/>
      <w:kern w:val="2"/>
      <w:sz w:val="28"/>
      <w:szCs w:val="24"/>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9">
    <w:name w:val="批注主题 Char"/>
    <w:basedOn w:val="Charb"/>
    <w:link w:val="af4"/>
    <w:semiHidden/>
    <w:qFormat/>
    <w:rPr>
      <w:rFonts w:ascii="Arial" w:eastAsia="MS Mincho" w:hAnsi="Arial"/>
      <w:b/>
      <w:bCs/>
      <w:lang w:val="en-GB" w:eastAsia="en-GB"/>
    </w:rPr>
  </w:style>
  <w:style w:type="character" w:customStyle="1" w:styleId="Charb">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3"/>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0"/>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uiPriority w:val="99"/>
    <w:qFormat/>
    <w:rPr>
      <w:kern w:val="2"/>
      <w:sz w:val="18"/>
      <w:szCs w:val="18"/>
    </w:rPr>
  </w:style>
  <w:style w:type="character" w:styleId="aff">
    <w:name w:val="Placeholder Text"/>
    <w:uiPriority w:val="99"/>
    <w:semiHidden/>
    <w:qFormat/>
    <w:rPr>
      <w:color w:val="808080"/>
    </w:rPr>
  </w:style>
  <w:style w:type="character" w:customStyle="1" w:styleId="CharChar0">
    <w:name w:val="附录公式 Char Char"/>
    <w:basedOn w:val="CharChar"/>
    <w:link w:val="aff0"/>
    <w:qFormat/>
    <w:rPr>
      <w:rFonts w:ascii="宋体"/>
      <w:sz w:val="21"/>
    </w:rPr>
  </w:style>
  <w:style w:type="paragraph" w:customStyle="1" w:styleId="aff0">
    <w:name w:val="附录公式"/>
    <w:basedOn w:val="af0"/>
    <w:next w:val="af0"/>
    <w:link w:val="CharChar0"/>
    <w:qFormat/>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f1"/>
    <w:qFormat/>
    <w:rPr>
      <w:rFonts w:ascii="宋体" w:hAnsi="宋体"/>
      <w:kern w:val="2"/>
      <w:sz w:val="18"/>
      <w:szCs w:val="18"/>
    </w:rPr>
  </w:style>
  <w:style w:type="paragraph" w:customStyle="1" w:styleId="aff1">
    <w:name w:val="首示例"/>
    <w:next w:val="af0"/>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2">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EmailDiscussion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paragraph" w:customStyle="1" w:styleId="EmailDiscussion2">
    <w:name w:val="EmailDiscussion2"/>
    <w:basedOn w:val="Doc-text2"/>
    <w:qFormat/>
  </w:style>
  <w:style w:type="character" w:customStyle="1" w:styleId="Char7">
    <w:name w:val="页眉 Char"/>
    <w:link w:val="ae"/>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ff3">
    <w:name w:val="其他发布部门"/>
    <w:basedOn w:val="aff4"/>
    <w:qFormat/>
    <w:pPr>
      <w:spacing w:line="0" w:lineRule="atLeast"/>
    </w:pPr>
    <w:rPr>
      <w:rFonts w:ascii="黑体" w:eastAsia="黑体"/>
      <w:b w:val="0"/>
    </w:rPr>
  </w:style>
  <w:style w:type="paragraph" w:customStyle="1" w:styleId="aff4">
    <w:name w:val="发布部门"/>
    <w:next w:val="af0"/>
    <w:qFormat/>
    <w:pPr>
      <w:spacing w:after="160" w:line="259" w:lineRule="auto"/>
      <w:jc w:val="center"/>
    </w:pPr>
    <w:rPr>
      <w:rFonts w:ascii="宋体" w:eastAsiaTheme="minorEastAsia"/>
      <w:b/>
      <w:spacing w:val="20"/>
      <w:w w:val="135"/>
      <w:sz w:val="28"/>
    </w:rPr>
  </w:style>
  <w:style w:type="paragraph" w:customStyle="1" w:styleId="aff5">
    <w:name w:val="示例"/>
    <w:next w:val="aff6"/>
    <w:qFormat/>
    <w:pPr>
      <w:widowControl w:val="0"/>
      <w:spacing w:after="160" w:line="259" w:lineRule="auto"/>
      <w:ind w:left="360" w:hanging="360"/>
      <w:jc w:val="both"/>
    </w:pPr>
    <w:rPr>
      <w:rFonts w:ascii="宋体" w:eastAsiaTheme="minorEastAsia"/>
      <w:sz w:val="18"/>
      <w:szCs w:val="18"/>
    </w:rPr>
  </w:style>
  <w:style w:type="paragraph" w:customStyle="1" w:styleId="aff6">
    <w:name w:val="示例内容"/>
    <w:qFormat/>
    <w:pPr>
      <w:spacing w:after="160" w:line="259" w:lineRule="auto"/>
      <w:ind w:firstLineChars="200" w:firstLine="200"/>
    </w:pPr>
    <w:rPr>
      <w:rFonts w:ascii="宋体" w:eastAsiaTheme="minorEastAsia"/>
      <w:sz w:val="18"/>
      <w:szCs w:val="18"/>
    </w:rPr>
  </w:style>
  <w:style w:type="paragraph" w:customStyle="1" w:styleId="aff7">
    <w:name w:val="附录数字编号列项（二级）"/>
    <w:qFormat/>
    <w:pPr>
      <w:tabs>
        <w:tab w:val="left" w:pos="363"/>
        <w:tab w:val="left" w:pos="840"/>
      </w:tabs>
      <w:spacing w:after="160" w:line="259" w:lineRule="auto"/>
      <w:ind w:firstLine="363"/>
    </w:pPr>
    <w:rPr>
      <w:rFonts w:ascii="宋体" w:eastAsiaTheme="minorEastAsia"/>
      <w:sz w:val="21"/>
    </w:rPr>
  </w:style>
  <w:style w:type="paragraph" w:customStyle="1" w:styleId="aff8">
    <w:name w:val="标准书眉_奇数页"/>
    <w:next w:val="a"/>
    <w:qFormat/>
    <w:pPr>
      <w:tabs>
        <w:tab w:val="center" w:pos="4154"/>
        <w:tab w:val="right" w:pos="8306"/>
      </w:tabs>
      <w:spacing w:after="220" w:line="259" w:lineRule="auto"/>
      <w:jc w:val="right"/>
    </w:pPr>
    <w:rPr>
      <w:rFonts w:ascii="黑体" w:eastAsia="黑体"/>
      <w:sz w:val="21"/>
      <w:szCs w:val="21"/>
    </w:rPr>
  </w:style>
  <w:style w:type="paragraph" w:customStyle="1" w:styleId="aff9">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ffa">
    <w:name w:val="三级条标题"/>
    <w:basedOn w:val="affb"/>
    <w:next w:val="af0"/>
    <w:qFormat/>
    <w:pPr>
      <w:outlineLvl w:val="4"/>
    </w:pPr>
  </w:style>
  <w:style w:type="paragraph" w:customStyle="1" w:styleId="affb">
    <w:name w:val="二级条标题"/>
    <w:basedOn w:val="affc"/>
    <w:next w:val="af0"/>
    <w:qFormat/>
    <w:pPr>
      <w:spacing w:beforeLines="0" w:afterLines="0"/>
      <w:outlineLvl w:val="3"/>
    </w:pPr>
  </w:style>
  <w:style w:type="paragraph" w:customStyle="1" w:styleId="affc">
    <w:name w:val="一级条标题"/>
    <w:next w:val="af0"/>
    <w:qFormat/>
    <w:pPr>
      <w:spacing w:beforeLines="50" w:afterLines="50" w:after="160" w:line="259" w:lineRule="auto"/>
      <w:outlineLvl w:val="2"/>
    </w:pPr>
    <w:rPr>
      <w:rFonts w:ascii="黑体" w:eastAsia="黑体"/>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ffd">
    <w:name w:val="附录一级条标题"/>
    <w:basedOn w:val="affe"/>
    <w:next w:val="af0"/>
    <w:qFormat/>
    <w:pPr>
      <w:tabs>
        <w:tab w:val="left" w:pos="720"/>
      </w:tabs>
      <w:autoSpaceDN w:val="0"/>
      <w:spacing w:beforeLines="50" w:afterLines="50"/>
      <w:ind w:left="720" w:hanging="720"/>
      <w:outlineLvl w:val="2"/>
    </w:pPr>
  </w:style>
  <w:style w:type="paragraph" w:customStyle="1" w:styleId="affe">
    <w:name w:val="附录章标题"/>
    <w:next w:val="af0"/>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rPr>
  </w:style>
  <w:style w:type="paragraph" w:customStyle="1" w:styleId="afff">
    <w:name w:val="四级条标题"/>
    <w:basedOn w:val="affa"/>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f0">
    <w:name w:val="章标题"/>
    <w:next w:val="af0"/>
    <w:qFormat/>
    <w:pPr>
      <w:spacing w:beforeLines="100" w:afterLines="100" w:after="160" w:line="259" w:lineRule="auto"/>
      <w:jc w:val="both"/>
      <w:outlineLvl w:val="1"/>
    </w:pPr>
    <w:rPr>
      <w:rFonts w:ascii="黑体" w:eastAsia="黑体"/>
      <w:sz w:val="21"/>
    </w:rPr>
  </w:style>
  <w:style w:type="paragraph" w:customStyle="1" w:styleId="afff1">
    <w:name w:val="正文表标题"/>
    <w:next w:val="af0"/>
    <w:qFormat/>
    <w:pPr>
      <w:tabs>
        <w:tab w:val="left" w:pos="0"/>
        <w:tab w:val="left" w:pos="360"/>
      </w:tabs>
      <w:spacing w:beforeLines="50" w:afterLines="50" w:after="160" w:line="259" w:lineRule="auto"/>
      <w:ind w:left="720" w:hanging="357"/>
      <w:jc w:val="center"/>
    </w:pPr>
    <w:rPr>
      <w:rFonts w:ascii="黑体" w:eastAsia="黑体"/>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2">
    <w:name w:val="注："/>
    <w:next w:val="af0"/>
    <w:qFormat/>
    <w:pPr>
      <w:widowControl w:val="0"/>
      <w:autoSpaceDE w:val="0"/>
      <w:autoSpaceDN w:val="0"/>
      <w:spacing w:after="160" w:line="259" w:lineRule="auto"/>
      <w:jc w:val="both"/>
    </w:pPr>
    <w:rPr>
      <w:rFonts w:ascii="宋体" w:eastAsiaTheme="minorEastAsia"/>
      <w:sz w:val="18"/>
      <w:szCs w:val="18"/>
    </w:rPr>
  </w:style>
  <w:style w:type="paragraph" w:customStyle="1" w:styleId="afff3">
    <w:name w:val="附录五级条标题"/>
    <w:basedOn w:val="afff4"/>
    <w:next w:val="af0"/>
    <w:qFormat/>
    <w:pPr>
      <w:tabs>
        <w:tab w:val="left" w:pos="1296"/>
      </w:tabs>
      <w:ind w:left="1296" w:hanging="1296"/>
      <w:outlineLvl w:val="6"/>
    </w:pPr>
  </w:style>
  <w:style w:type="paragraph" w:customStyle="1" w:styleId="afff4">
    <w:name w:val="附录四级条标题"/>
    <w:basedOn w:val="afff5"/>
    <w:next w:val="af0"/>
    <w:qFormat/>
    <w:pPr>
      <w:outlineLvl w:val="5"/>
    </w:pPr>
  </w:style>
  <w:style w:type="paragraph" w:customStyle="1" w:styleId="afff5">
    <w:name w:val="附录三级条标题"/>
    <w:basedOn w:val="afff6"/>
    <w:next w:val="af0"/>
    <w:qFormat/>
    <w:pPr>
      <w:tabs>
        <w:tab w:val="left" w:pos="1008"/>
      </w:tabs>
      <w:ind w:left="1008" w:hanging="1008"/>
      <w:outlineLvl w:val="4"/>
    </w:pPr>
  </w:style>
  <w:style w:type="paragraph" w:customStyle="1" w:styleId="afff6">
    <w:name w:val="附录二级条标题"/>
    <w:basedOn w:val="a"/>
    <w:next w:val="af0"/>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7">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8">
    <w:name w:val="一级无"/>
    <w:basedOn w:val="affc"/>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9">
    <w:name w:val="附录四级无"/>
    <w:basedOn w:val="afff4"/>
    <w:qFormat/>
    <w:pPr>
      <w:tabs>
        <w:tab w:val="clear" w:pos="360"/>
        <w:tab w:val="left" w:pos="1151"/>
      </w:tabs>
      <w:spacing w:beforeLines="0" w:afterLines="0"/>
      <w:ind w:left="1151" w:hanging="1151"/>
    </w:pPr>
    <w:rPr>
      <w:rFonts w:ascii="宋体" w:eastAsia="宋体"/>
      <w:szCs w:val="21"/>
    </w:rPr>
  </w:style>
  <w:style w:type="paragraph" w:customStyle="1" w:styleId="afffa">
    <w:name w:val="实施日期"/>
    <w:basedOn w:val="afffb"/>
    <w:qFormat/>
    <w:pPr>
      <w:jc w:val="right"/>
    </w:pPr>
  </w:style>
  <w:style w:type="paragraph" w:customStyle="1" w:styleId="afffb">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5">
    <w:name w:val="封面标准文稿类别2"/>
    <w:basedOn w:val="afffc"/>
    <w:qFormat/>
  </w:style>
  <w:style w:type="paragraph" w:customStyle="1" w:styleId="afffc">
    <w:name w:val="封面标准文稿类别"/>
    <w:basedOn w:val="afffd"/>
    <w:qFormat/>
    <w:pPr>
      <w:spacing w:line="240" w:lineRule="auto"/>
    </w:pPr>
    <w:rPr>
      <w:sz w:val="24"/>
    </w:rPr>
  </w:style>
  <w:style w:type="paragraph" w:customStyle="1" w:styleId="afffd">
    <w:name w:val="封面一致性程度标识"/>
    <w:basedOn w:val="afffe"/>
    <w:qFormat/>
    <w:pPr>
      <w:spacing w:before="440"/>
    </w:pPr>
    <w:rPr>
      <w:rFonts w:ascii="宋体" w:eastAsia="宋体"/>
    </w:rPr>
  </w:style>
  <w:style w:type="paragraph" w:customStyle="1" w:styleId="afffe">
    <w:name w:val="封面标准英文名称"/>
    <w:basedOn w:val="affff"/>
    <w:qFormat/>
    <w:pPr>
      <w:spacing w:before="370" w:line="400" w:lineRule="exact"/>
    </w:pPr>
    <w:rPr>
      <w:rFonts w:ascii="Times New Roman"/>
      <w:sz w:val="28"/>
      <w:szCs w:val="28"/>
    </w:rPr>
  </w:style>
  <w:style w:type="paragraph" w:customStyle="1" w:styleId="affff">
    <w:name w:val="封面标准名称"/>
    <w:qFormat/>
    <w:pPr>
      <w:widowControl w:val="0"/>
      <w:spacing w:after="160" w:line="680" w:lineRule="exact"/>
      <w:jc w:val="center"/>
      <w:textAlignment w:val="center"/>
    </w:pPr>
    <w:rPr>
      <w:rFonts w:ascii="黑体" w:eastAsia="黑体"/>
      <w:sz w:val="52"/>
    </w:rPr>
  </w:style>
  <w:style w:type="paragraph" w:customStyle="1" w:styleId="affff0">
    <w:name w:val="五级条标题"/>
    <w:basedOn w:val="afff"/>
    <w:next w:val="af0"/>
    <w:qFormat/>
    <w:pPr>
      <w:outlineLvl w:val="6"/>
    </w:pPr>
  </w:style>
  <w:style w:type="paragraph" w:customStyle="1" w:styleId="affff1">
    <w:name w:val="封面标准代替信息"/>
    <w:qFormat/>
    <w:pPr>
      <w:spacing w:before="57" w:after="160" w:line="280" w:lineRule="exact"/>
      <w:jc w:val="right"/>
    </w:pPr>
    <w:rPr>
      <w:rFonts w:ascii="宋体" w:eastAsiaTheme="minorEastAsia"/>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e"/>
    <w:qFormat/>
  </w:style>
  <w:style w:type="paragraph" w:customStyle="1" w:styleId="27">
    <w:name w:val="封面标准号2"/>
    <w:qFormat/>
    <w:pPr>
      <w:spacing w:before="357" w:after="160" w:line="280" w:lineRule="exact"/>
      <w:jc w:val="right"/>
    </w:pPr>
    <w:rPr>
      <w:rFonts w:ascii="黑体" w:eastAsia="黑体"/>
      <w:sz w:val="28"/>
      <w:szCs w:val="28"/>
    </w:rPr>
  </w:style>
  <w:style w:type="paragraph" w:customStyle="1" w:styleId="28">
    <w:name w:val="封面一致性程度标识2"/>
    <w:basedOn w:val="afffd"/>
    <w:qFormat/>
  </w:style>
  <w:style w:type="paragraph" w:customStyle="1" w:styleId="affff2">
    <w:name w:val="注×："/>
    <w:qFormat/>
    <w:pPr>
      <w:widowControl w:val="0"/>
      <w:autoSpaceDE w:val="0"/>
      <w:autoSpaceDN w:val="0"/>
      <w:spacing w:after="160" w:line="259" w:lineRule="auto"/>
      <w:ind w:left="1287" w:hanging="360"/>
      <w:jc w:val="both"/>
    </w:pPr>
    <w:rPr>
      <w:rFonts w:ascii="宋体" w:eastAsiaTheme="minorEastAsia"/>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ff3">
    <w:name w:val="三级无"/>
    <w:basedOn w:val="affa"/>
    <w:qFormat/>
    <w:rPr>
      <w:rFonts w:ascii="宋体" w:eastAsia="宋体"/>
    </w:rPr>
  </w:style>
  <w:style w:type="paragraph" w:customStyle="1" w:styleId="affff4">
    <w:name w:val="条文脚注"/>
    <w:basedOn w:val="af1"/>
    <w:qFormat/>
    <w:pPr>
      <w:jc w:val="both"/>
    </w:pPr>
  </w:style>
  <w:style w:type="paragraph" w:customStyle="1" w:styleId="affff5">
    <w:name w:val="其他标准标志"/>
    <w:basedOn w:val="affff6"/>
    <w:qFormat/>
    <w:rPr>
      <w:w w:val="130"/>
    </w:rPr>
  </w:style>
  <w:style w:type="paragraph" w:customStyle="1" w:styleId="affff6">
    <w:name w:val="标准标志"/>
    <w:next w:val="a"/>
    <w:qFormat/>
    <w:pPr>
      <w:shd w:val="solid" w:color="FFFFFF" w:fill="FFFFFF"/>
      <w:spacing w:after="160" w:line="0" w:lineRule="atLeast"/>
      <w:jc w:val="right"/>
    </w:pPr>
    <w:rPr>
      <w:rFonts w:eastAsiaTheme="minorEastAsia"/>
      <w:b/>
      <w:w w:val="170"/>
      <w:sz w:val="96"/>
      <w:szCs w:val="96"/>
    </w:rPr>
  </w:style>
  <w:style w:type="paragraph" w:customStyle="1" w:styleId="Agreement">
    <w:name w:val="Agreement"/>
    <w:basedOn w:val="a"/>
    <w:next w:val="Doc-text2"/>
    <w:uiPriority w:val="99"/>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ff7">
    <w:name w:val="标准书眉一"/>
    <w:qFormat/>
    <w:pPr>
      <w:spacing w:after="160" w:line="259" w:lineRule="auto"/>
      <w:jc w:val="both"/>
    </w:pPr>
    <w:rPr>
      <w:rFonts w:eastAsiaTheme="minorEastAsia"/>
    </w:rPr>
  </w:style>
  <w:style w:type="paragraph" w:customStyle="1" w:styleId="affff8">
    <w:name w:val="附录五级无"/>
    <w:basedOn w:val="afff3"/>
    <w:qFormat/>
    <w:pPr>
      <w:tabs>
        <w:tab w:val="clear" w:pos="360"/>
      </w:tabs>
      <w:spacing w:beforeLines="0" w:afterLines="0"/>
    </w:pPr>
    <w:rPr>
      <w:rFonts w:ascii="宋体" w:eastAsia="宋体"/>
      <w:szCs w:val="21"/>
    </w:rPr>
  </w:style>
  <w:style w:type="paragraph" w:customStyle="1" w:styleId="affff9">
    <w:name w:val="图的脚注"/>
    <w:next w:val="af0"/>
    <w:qFormat/>
    <w:pPr>
      <w:widowControl w:val="0"/>
      <w:spacing w:after="160" w:line="259" w:lineRule="auto"/>
      <w:ind w:leftChars="200" w:left="840" w:hangingChars="200" w:hanging="420"/>
      <w:jc w:val="both"/>
    </w:pPr>
    <w:rPr>
      <w:rFonts w:ascii="宋体" w:eastAsiaTheme="minorEastAsia"/>
      <w:sz w:val="18"/>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ffa">
    <w:name w:val="编号列项（三级）"/>
    <w:qFormat/>
    <w:pPr>
      <w:spacing w:after="160" w:line="259" w:lineRule="auto"/>
    </w:pPr>
    <w:rPr>
      <w:rFonts w:ascii="宋体" w:eastAsiaTheme="minorEastAsia"/>
      <w:sz w:val="21"/>
    </w:rPr>
  </w:style>
  <w:style w:type="paragraph" w:customStyle="1" w:styleId="affffb">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c">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d">
    <w:name w:val="其他标准称谓"/>
    <w:next w:val="a"/>
    <w:qFormat/>
    <w:pPr>
      <w:spacing w:after="160" w:line="0" w:lineRule="atLeast"/>
      <w:jc w:val="distribute"/>
    </w:pPr>
    <w:rPr>
      <w:rFonts w:ascii="黑体" w:eastAsia="黑体" w:hAnsi="宋体"/>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ffe">
    <w:name w:val="示例后文字"/>
    <w:basedOn w:val="af0"/>
    <w:next w:val="af0"/>
    <w:qFormat/>
    <w:pPr>
      <w:ind w:firstLine="360"/>
    </w:pPr>
    <w:rPr>
      <w:sz w:val="18"/>
    </w:rPr>
  </w:style>
  <w:style w:type="paragraph" w:customStyle="1" w:styleId="afffff">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ff0">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ff1">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2">
    <w:name w:val="正文图标题"/>
    <w:next w:val="af0"/>
    <w:qFormat/>
    <w:pPr>
      <w:tabs>
        <w:tab w:val="left" w:pos="1304"/>
      </w:tabs>
      <w:spacing w:beforeLines="50" w:afterLines="50" w:after="16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ff3">
    <w:name w:val="其他实施日期"/>
    <w:basedOn w:val="afffa"/>
    <w:qFormat/>
  </w:style>
  <w:style w:type="paragraph" w:customStyle="1" w:styleId="afffff4">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5">
    <w:name w:val="四级无"/>
    <w:basedOn w:val="afff"/>
    <w:qFormat/>
    <w:rPr>
      <w:rFonts w:ascii="宋体" w:eastAsia="宋体"/>
    </w:rPr>
  </w:style>
  <w:style w:type="paragraph" w:customStyle="1" w:styleId="afffff6">
    <w:name w:val="示例×："/>
    <w:basedOn w:val="afff0"/>
    <w:qFormat/>
    <w:pPr>
      <w:spacing w:beforeLines="0" w:afterLines="0"/>
      <w:ind w:firstLine="397"/>
      <w:outlineLvl w:val="9"/>
    </w:pPr>
    <w:rPr>
      <w:rFonts w:ascii="宋体" w:eastAsia="宋体"/>
      <w:sz w:val="18"/>
      <w:szCs w:val="18"/>
    </w:rPr>
  </w:style>
  <w:style w:type="paragraph" w:customStyle="1" w:styleId="B5">
    <w:name w:val="B5"/>
    <w:basedOn w:val="53"/>
    <w:qFormat/>
  </w:style>
  <w:style w:type="paragraph" w:customStyle="1" w:styleId="afffff7">
    <w:name w:val="其他发布日期"/>
    <w:basedOn w:val="afffb"/>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ff8">
    <w:name w:val="注×：（正文）"/>
    <w:qFormat/>
    <w:pPr>
      <w:spacing w:after="160" w:line="259" w:lineRule="auto"/>
      <w:ind w:firstLine="363"/>
      <w:jc w:val="both"/>
    </w:pPr>
    <w:rPr>
      <w:rFonts w:ascii="宋体" w:eastAsiaTheme="minorEastAsia"/>
      <w:sz w:val="18"/>
      <w:szCs w:val="18"/>
    </w:rPr>
  </w:style>
  <w:style w:type="paragraph" w:customStyle="1" w:styleId="afffff9">
    <w:name w:val="附录表标号"/>
    <w:basedOn w:val="a"/>
    <w:next w:val="af0"/>
    <w:qFormat/>
    <w:pPr>
      <w:spacing w:line="14" w:lineRule="exact"/>
      <w:ind w:left="811" w:hanging="448"/>
      <w:jc w:val="center"/>
      <w:outlineLvl w:val="0"/>
    </w:pPr>
    <w:rPr>
      <w:color w:val="FFFFFF"/>
    </w:rPr>
  </w:style>
  <w:style w:type="paragraph" w:customStyle="1" w:styleId="afffffa">
    <w:name w:val="附录图标题"/>
    <w:basedOn w:val="a"/>
    <w:next w:val="af0"/>
    <w:qFormat/>
    <w:pPr>
      <w:tabs>
        <w:tab w:val="left" w:pos="363"/>
      </w:tabs>
      <w:spacing w:beforeLines="50" w:afterLines="50"/>
      <w:jc w:val="center"/>
    </w:pPr>
    <w:rPr>
      <w:rFonts w:ascii="黑体" w:eastAsia="黑体"/>
      <w:szCs w:val="21"/>
    </w:rPr>
  </w:style>
  <w:style w:type="paragraph" w:customStyle="1" w:styleId="afffffb">
    <w:name w:val="附录标题"/>
    <w:basedOn w:val="af0"/>
    <w:next w:val="af0"/>
    <w:qFormat/>
    <w:pPr>
      <w:ind w:firstLineChars="0" w:firstLine="0"/>
      <w:jc w:val="center"/>
    </w:pPr>
    <w:rPr>
      <w:rFonts w:ascii="黑体" w:eastAsia="黑体"/>
    </w:rPr>
  </w:style>
  <w:style w:type="paragraph" w:customStyle="1" w:styleId="afffffc">
    <w:name w:val="数字编号列项（二级）"/>
    <w:qFormat/>
    <w:pPr>
      <w:tabs>
        <w:tab w:val="left" w:pos="1260"/>
      </w:tabs>
      <w:spacing w:after="160" w:line="259" w:lineRule="auto"/>
      <w:ind w:left="1190" w:hanging="567"/>
      <w:jc w:val="both"/>
    </w:pPr>
    <w:rPr>
      <w:rFonts w:ascii="宋体" w:eastAsiaTheme="minorEastAsia"/>
      <w:sz w:val="21"/>
    </w:rPr>
  </w:style>
  <w:style w:type="paragraph" w:customStyle="1" w:styleId="afffffd">
    <w:name w:val="标准书眉_偶数页"/>
    <w:basedOn w:val="aff8"/>
    <w:next w:val="a"/>
    <w:qFormat/>
    <w:pPr>
      <w:jc w:val="left"/>
    </w:pPr>
  </w:style>
  <w:style w:type="paragraph" w:customStyle="1" w:styleId="afffffe">
    <w:name w:val="附录三级无"/>
    <w:basedOn w:val="aff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
    <w:name w:val="字母编号列项（一级）"/>
    <w:qFormat/>
    <w:pPr>
      <w:tabs>
        <w:tab w:val="left" w:pos="840"/>
      </w:tabs>
      <w:spacing w:after="160" w:line="259" w:lineRule="auto"/>
      <w:ind w:left="623" w:hanging="425"/>
      <w:jc w:val="both"/>
    </w:pPr>
    <w:rPr>
      <w:rFonts w:ascii="宋体" w:eastAsiaTheme="minorEastAsia"/>
      <w:sz w:val="21"/>
    </w:rPr>
  </w:style>
  <w:style w:type="paragraph" w:customStyle="1" w:styleId="affffff0">
    <w:name w:val="附录字母编号列项（一级）"/>
    <w:qFormat/>
    <w:pPr>
      <w:tabs>
        <w:tab w:val="left" w:pos="839"/>
      </w:tabs>
      <w:spacing w:after="160" w:line="259" w:lineRule="auto"/>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ff1">
    <w:name w:val="目次、索引正文"/>
    <w:qFormat/>
    <w:pPr>
      <w:spacing w:after="160" w:line="320" w:lineRule="exact"/>
      <w:jc w:val="both"/>
    </w:pPr>
    <w:rPr>
      <w:rFonts w:ascii="宋体" w:eastAsiaTheme="minorEastAsia"/>
      <w:sz w:val="21"/>
    </w:rPr>
  </w:style>
  <w:style w:type="paragraph" w:customStyle="1" w:styleId="affffff2">
    <w:name w:val="标准称谓"/>
    <w:next w:val="a"/>
    <w:qFormat/>
    <w:pPr>
      <w:widowControl w:val="0"/>
      <w:kinsoku w:val="0"/>
      <w:overflowPunct w:val="0"/>
      <w:autoSpaceDE w:val="0"/>
      <w:autoSpaceDN w:val="0"/>
      <w:spacing w:after="160" w:line="0" w:lineRule="atLeast"/>
      <w:jc w:val="distribute"/>
    </w:pPr>
    <w:rPr>
      <w:rFonts w:ascii="宋体" w:eastAsiaTheme="minorEastAsia"/>
      <w:b/>
      <w:bCs/>
      <w:spacing w:val="20"/>
      <w:w w:val="148"/>
      <w:sz w:val="48"/>
    </w:rPr>
  </w:style>
  <w:style w:type="paragraph" w:customStyle="1" w:styleId="affffff3">
    <w:name w:val="二级无"/>
    <w:basedOn w:val="affb"/>
    <w:qFormat/>
    <w:rPr>
      <w:rFonts w:ascii="宋体" w:eastAsia="宋体"/>
    </w:rPr>
  </w:style>
  <w:style w:type="paragraph" w:customStyle="1" w:styleId="affffff4">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5">
    <w:name w:val="注：（正文）"/>
    <w:basedOn w:val="afff2"/>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6">
    <w:name w:val="终结线"/>
    <w:basedOn w:val="a"/>
    <w:qFormat/>
  </w:style>
  <w:style w:type="paragraph" w:customStyle="1" w:styleId="affffff7">
    <w:name w:val="五级无"/>
    <w:basedOn w:val="affff0"/>
    <w:qFormat/>
    <w:rPr>
      <w:rFonts w:ascii="宋体" w:eastAsia="宋体"/>
    </w:rPr>
  </w:style>
  <w:style w:type="paragraph" w:customStyle="1" w:styleId="affffff8">
    <w:name w:val="正文公式编号制表符"/>
    <w:basedOn w:val="af0"/>
    <w:next w:val="af0"/>
    <w:qFormat/>
    <w:pPr>
      <w:ind w:firstLineChars="0" w:firstLine="0"/>
    </w:pPr>
  </w:style>
  <w:style w:type="paragraph" w:customStyle="1" w:styleId="affffff9">
    <w:name w:val="列项——（一级）"/>
    <w:qFormat/>
    <w:pPr>
      <w:widowControl w:val="0"/>
      <w:tabs>
        <w:tab w:val="left" w:pos="839"/>
      </w:tabs>
      <w:spacing w:after="160" w:line="259" w:lineRule="auto"/>
      <w:ind w:left="839" w:hanging="419"/>
      <w:jc w:val="both"/>
    </w:pPr>
    <w:rPr>
      <w:rFonts w:ascii="宋体" w:eastAsiaTheme="minorEastAsia"/>
      <w:sz w:val="21"/>
    </w:rPr>
  </w:style>
  <w:style w:type="paragraph" w:customStyle="1" w:styleId="29">
    <w:name w:val="封面标准文稿编辑信息2"/>
    <w:basedOn w:val="affffffa"/>
    <w:qFormat/>
  </w:style>
  <w:style w:type="paragraph" w:customStyle="1" w:styleId="affffffa">
    <w:name w:val="封面标准文稿编辑信息"/>
    <w:basedOn w:val="aff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ffb">
    <w:name w:val="列项●（二级）"/>
    <w:qFormat/>
    <w:pPr>
      <w:tabs>
        <w:tab w:val="left" w:pos="760"/>
        <w:tab w:val="left" w:pos="840"/>
      </w:tabs>
      <w:spacing w:after="160" w:line="259" w:lineRule="auto"/>
      <w:ind w:left="839" w:hanging="419"/>
      <w:jc w:val="both"/>
    </w:pPr>
    <w:rPr>
      <w:rFonts w:ascii="宋体" w:eastAsiaTheme="minorEastAsia"/>
      <w:sz w:val="21"/>
    </w:rPr>
  </w:style>
  <w:style w:type="paragraph" w:customStyle="1" w:styleId="2a">
    <w:name w:val="封面标准名称2"/>
    <w:basedOn w:val="affff"/>
    <w:qFormat/>
    <w:pPr>
      <w:spacing w:beforeLines="630"/>
    </w:pPr>
  </w:style>
  <w:style w:type="paragraph" w:customStyle="1" w:styleId="affffffc">
    <w:name w:val="前言、引言标题"/>
    <w:next w:val="af0"/>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d">
    <w:name w:val="附录表标题"/>
    <w:basedOn w:val="a"/>
    <w:next w:val="af0"/>
    <w:qFormat/>
    <w:pPr>
      <w:tabs>
        <w:tab w:val="left" w:pos="180"/>
      </w:tabs>
      <w:spacing w:beforeLines="50" w:afterLines="50"/>
      <w:jc w:val="center"/>
    </w:pPr>
    <w:rPr>
      <w:rFonts w:ascii="黑体" w:eastAsia="黑体"/>
      <w:szCs w:val="21"/>
    </w:rPr>
  </w:style>
  <w:style w:type="paragraph" w:customStyle="1" w:styleId="affffffe">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
    <w:name w:val="标准书脚_奇数页"/>
    <w:qFormat/>
    <w:pPr>
      <w:spacing w:before="120" w:after="160" w:line="259" w:lineRule="auto"/>
      <w:ind w:right="198"/>
      <w:jc w:val="right"/>
    </w:pPr>
    <w:rPr>
      <w:rFonts w:ascii="宋体" w:eastAsiaTheme="minorEastAsia"/>
      <w:sz w:val="18"/>
      <w:szCs w:val="18"/>
    </w:rPr>
  </w:style>
  <w:style w:type="paragraph" w:customStyle="1" w:styleId="afffffff0">
    <w:name w:val="附录二级无"/>
    <w:basedOn w:val="afff6"/>
    <w:qFormat/>
    <w:pPr>
      <w:tabs>
        <w:tab w:val="clear" w:pos="360"/>
      </w:tabs>
      <w:spacing w:beforeLines="0" w:afterLines="0"/>
    </w:pPr>
    <w:rPr>
      <w:rFonts w:ascii="宋体" w:eastAsia="宋体"/>
      <w:szCs w:val="21"/>
    </w:rPr>
  </w:style>
  <w:style w:type="paragraph" w:customStyle="1" w:styleId="afffffff1">
    <w:name w:val="附录一级无"/>
    <w:basedOn w:val="affd"/>
    <w:qFormat/>
    <w:pPr>
      <w:tabs>
        <w:tab w:val="clear" w:pos="360"/>
      </w:tabs>
      <w:spacing w:beforeLines="0" w:afterLines="0"/>
    </w:pPr>
    <w:rPr>
      <w:rFonts w:ascii="宋体" w:eastAsia="宋体"/>
      <w:szCs w:val="21"/>
    </w:rPr>
  </w:style>
  <w:style w:type="paragraph" w:customStyle="1" w:styleId="afffffff2">
    <w:name w:val="列项说明数字编号"/>
    <w:qFormat/>
    <w:pPr>
      <w:spacing w:after="160" w:line="259" w:lineRule="auto"/>
      <w:ind w:leftChars="400" w:left="600" w:hangingChars="200" w:hanging="200"/>
    </w:pPr>
    <w:rPr>
      <w:rFonts w:ascii="宋体" w:eastAsiaTheme="minorEastAsia"/>
      <w:sz w:val="21"/>
    </w:rPr>
  </w:style>
  <w:style w:type="paragraph" w:customStyle="1" w:styleId="afffffff3">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4">
    <w:name w:val="封面正文"/>
    <w:qFormat/>
    <w:pPr>
      <w:spacing w:after="160" w:line="259" w:lineRule="auto"/>
      <w:jc w:val="both"/>
    </w:pPr>
    <w:rPr>
      <w:rFonts w:eastAsiaTheme="minorEastAsia"/>
    </w:r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ff5">
    <w:name w:val="标准书脚_偶数页"/>
    <w:qFormat/>
    <w:pPr>
      <w:spacing w:before="120" w:after="160" w:line="259" w:lineRule="auto"/>
      <w:ind w:left="221"/>
    </w:pPr>
    <w:rPr>
      <w:rFonts w:ascii="宋体" w:eastAsiaTheme="minorEastAsia"/>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a">
    <w:name w:val="列出段落 Char"/>
    <w:link w:val="afe"/>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paragraph" w:customStyle="1" w:styleId="Reference">
    <w:name w:val="Reference"/>
    <w:basedOn w:val="a"/>
    <w:qFormat/>
    <w:pPr>
      <w:numPr>
        <w:numId w:val="3"/>
      </w:numPr>
    </w:pPr>
  </w:style>
  <w:style w:type="paragraph" w:customStyle="1" w:styleId="PatAppl">
    <w:name w:val="Pat Appl"/>
    <w:basedOn w:val="a"/>
    <w:qFormat/>
    <w:pPr>
      <w:tabs>
        <w:tab w:val="left" w:pos="1080"/>
      </w:tabs>
      <w:adjustRightInd w:val="0"/>
      <w:spacing w:line="360" w:lineRule="auto"/>
      <w:jc w:val="left"/>
      <w:textAlignment w:val="baseline"/>
    </w:pPr>
    <w:rPr>
      <w:bCs/>
      <w:kern w:val="0"/>
      <w:sz w:val="24"/>
      <w:lang w:eastAsia="en-US"/>
    </w:rPr>
  </w:style>
  <w:style w:type="paragraph" w:customStyle="1" w:styleId="CRCoverPage">
    <w:name w:val="CR Cover Page"/>
    <w:qFormat/>
    <w:pPr>
      <w:spacing w:after="120"/>
    </w:pPr>
    <w:rPr>
      <w:rFonts w:ascii="Arial" w:eastAsia="Times New Roman" w:hAnsi="Arial"/>
      <w:lang w:val="en-GB" w:eastAsia="ko-KR"/>
    </w:rPr>
  </w:style>
  <w:style w:type="paragraph" w:customStyle="1" w:styleId="Source">
    <w:name w:val="Source"/>
    <w:basedOn w:val="a"/>
    <w:qFormat/>
    <w:pPr>
      <w:spacing w:after="60"/>
      <w:ind w:left="1985" w:hanging="1985"/>
    </w:pPr>
    <w:rPr>
      <w:rFonts w:ascii="Arial" w:hAnsi="Arial" w:cs="Arial"/>
      <w:b/>
      <w:lang w:eastAsia="en-US"/>
    </w:rPr>
  </w:style>
  <w:style w:type="table" w:customStyle="1" w:styleId="13">
    <w:name w:val="网格型1"/>
    <w:basedOn w:val="a1"/>
    <w:uiPriority w:val="39"/>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修订1"/>
    <w:hidden/>
    <w:uiPriority w:val="99"/>
    <w:semiHidden/>
    <w:qFormat/>
    <w:rPr>
      <w:rFonts w:eastAsiaTheme="minorEastAsia"/>
      <w:kern w:val="2"/>
      <w:sz w:val="21"/>
      <w:szCs w:val="24"/>
    </w:rPr>
  </w:style>
  <w:style w:type="character" w:customStyle="1" w:styleId="CRCoverPageZchn">
    <w:name w:val="CR Cover Page Zchn"/>
    <w:basedOn w:val="a0"/>
    <w:qFormat/>
    <w:rPr>
      <w:rFonts w:ascii="Arial" w:hAnsi="Arial" w:cs="Arial"/>
      <w:lang w:val="en-US" w:eastAsia="en-US"/>
    </w:rPr>
  </w:style>
  <w:style w:type="paragraph" w:customStyle="1" w:styleId="Default">
    <w:name w:val="Default"/>
    <w:uiPriority w:val="99"/>
    <w:unhideWhenUsed/>
    <w:qFormat/>
    <w:pPr>
      <w:widowControl w:val="0"/>
      <w:autoSpaceDE w:val="0"/>
      <w:autoSpaceDN w:val="0"/>
      <w:adjustRightInd w:val="0"/>
    </w:pPr>
    <w:rPr>
      <w:rFonts w:ascii="Segoe UI" w:eastAsia="Segoe UI" w:hAnsi="Segoe UI" w:hint="eastAsi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__2.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png"/><Relationship Id="rId10" Type="http://schemas.openxmlformats.org/officeDocument/2006/relationships/package" Target="embeddings/Microsoft_Visio___1.vsdx"/><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3.vsdx"/></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CB68EDC-9C08-44D7-9492-2AEE42BD11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2177</Words>
  <Characters>12409</Characters>
  <Application>Microsoft Office Word</Application>
  <DocSecurity>0</DocSecurity>
  <Lines>103</Lines>
  <Paragraphs>29</Paragraphs>
  <ScaleCrop>false</ScaleCrop>
  <Company>www.zte.com.cn</Company>
  <LinksUpToDate>false</LinksUpToDate>
  <CharactersWithSpaces>14557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cp:lastModifiedBy>
  <cp:revision>2</cp:revision>
  <cp:lastPrinted>2113-01-01T00:00:00Z</cp:lastPrinted>
  <dcterms:created xsi:type="dcterms:W3CDTF">2022-08-10T06:44:00Z</dcterms:created>
  <dcterms:modified xsi:type="dcterms:W3CDTF">2022-08-10T06:44:00Z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