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1A27D" w14:textId="4242E969" w:rsidR="00ED7F06" w:rsidRDefault="007E6B9A">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#11</w:t>
      </w:r>
      <w:r>
        <w:rPr>
          <w:rFonts w:eastAsia="宋体" w:hint="eastAsia"/>
          <w:b/>
          <w:szCs w:val="22"/>
          <w:lang w:val="en-US" w:eastAsia="zh-CN" w:bidi="ar"/>
        </w:rPr>
        <w:t>9</w:t>
      </w:r>
      <w:r>
        <w:rPr>
          <w:rFonts w:eastAsia="宋体"/>
          <w:b/>
          <w:szCs w:val="22"/>
          <w:lang w:val="en-US" w:eastAsia="zh-CN" w:bidi="ar"/>
        </w:rPr>
        <w:t xml:space="preserve"> electronic</w:t>
      </w:r>
      <w:r>
        <w:rPr>
          <w:rFonts w:eastAsia="宋体"/>
          <w:b/>
          <w:szCs w:val="22"/>
          <w:lang w:val="en-US" w:eastAsia="zh-CN" w:bidi="ar"/>
        </w:rPr>
        <w:tab/>
        <w:t>R2-220</w:t>
      </w:r>
      <w:r w:rsidR="006B5A1C">
        <w:rPr>
          <w:rFonts w:eastAsia="宋体"/>
          <w:b/>
          <w:szCs w:val="22"/>
          <w:lang w:val="en-US" w:eastAsia="zh-CN" w:bidi="ar"/>
        </w:rPr>
        <w:t>7161</w:t>
      </w:r>
    </w:p>
    <w:p w14:paraId="0B7382A9" w14:textId="77777777" w:rsidR="00ED7F06" w:rsidRDefault="007E6B9A">
      <w:pPr>
        <w:pStyle w:val="af3"/>
        <w:tabs>
          <w:tab w:val="right" w:pos="9645"/>
        </w:tabs>
        <w:spacing w:before="0" w:beforeAutospacing="0" w:after="0" w:afterAutospacing="0"/>
        <w:jc w:val="both"/>
        <w:rPr>
          <w:b/>
          <w:szCs w:val="22"/>
          <w:lang w:val="en-US" w:eastAsia="zh-CN"/>
        </w:rPr>
      </w:pPr>
      <w:r>
        <w:rPr>
          <w:rFonts w:eastAsia="宋体"/>
          <w:b/>
          <w:szCs w:val="22"/>
          <w:lang w:val="de" w:eastAsia="zh-CN" w:bidi="ar"/>
        </w:rPr>
        <w:t>Online,</w:t>
      </w:r>
      <w:r>
        <w:rPr>
          <w:rFonts w:eastAsia="宋体"/>
          <w:b/>
          <w:szCs w:val="22"/>
          <w:lang w:val="en-US" w:eastAsia="zh-CN" w:bidi="ar"/>
        </w:rPr>
        <w:t xml:space="preserve"> </w:t>
      </w:r>
      <w:r>
        <w:rPr>
          <w:rFonts w:eastAsia="宋体" w:hint="eastAsia"/>
          <w:b/>
          <w:szCs w:val="22"/>
          <w:lang w:val="en-US" w:eastAsia="zh-CN" w:bidi="ar"/>
        </w:rPr>
        <w:t>Aug</w:t>
      </w:r>
      <w:r>
        <w:rPr>
          <w:rFonts w:eastAsia="宋体"/>
          <w:b/>
          <w:szCs w:val="22"/>
          <w:lang w:val="en-US" w:eastAsia="zh-CN" w:bidi="ar"/>
        </w:rPr>
        <w:t xml:space="preserve"> </w:t>
      </w:r>
      <w:r>
        <w:rPr>
          <w:rFonts w:eastAsia="宋体" w:hint="eastAsia"/>
          <w:b/>
          <w:szCs w:val="22"/>
          <w:lang w:val="en-US" w:eastAsia="zh-CN" w:bidi="ar"/>
        </w:rPr>
        <w:t>17</w:t>
      </w:r>
      <w:r>
        <w:rPr>
          <w:rFonts w:eastAsia="宋体"/>
          <w:b/>
          <w:szCs w:val="22"/>
          <w:lang w:val="de" w:eastAsia="zh-CN" w:bidi="ar"/>
        </w:rPr>
        <w:t xml:space="preserve">th – </w:t>
      </w:r>
      <w:r>
        <w:rPr>
          <w:rFonts w:eastAsia="宋体"/>
          <w:b/>
          <w:szCs w:val="22"/>
          <w:lang w:val="en-US" w:eastAsia="zh-CN" w:bidi="ar"/>
        </w:rPr>
        <w:t>2</w:t>
      </w:r>
      <w:r>
        <w:rPr>
          <w:rFonts w:eastAsia="宋体" w:hint="eastAsia"/>
          <w:b/>
          <w:szCs w:val="22"/>
          <w:lang w:val="en-US" w:eastAsia="zh-CN" w:bidi="ar"/>
        </w:rPr>
        <w:t>6</w:t>
      </w:r>
      <w:r>
        <w:rPr>
          <w:rFonts w:eastAsia="宋体"/>
          <w:b/>
          <w:szCs w:val="22"/>
          <w:lang w:val="en-US" w:eastAsia="zh-CN" w:bidi="ar"/>
        </w:rPr>
        <w:t>th</w:t>
      </w:r>
      <w:r>
        <w:rPr>
          <w:rFonts w:eastAsia="宋体"/>
          <w:b/>
          <w:szCs w:val="22"/>
          <w:lang w:val="de" w:eastAsia="zh-CN" w:bidi="ar"/>
        </w:rPr>
        <w:t>, 202</w:t>
      </w:r>
      <w:r>
        <w:rPr>
          <w:rFonts w:eastAsia="宋体"/>
          <w:b/>
          <w:szCs w:val="22"/>
          <w:lang w:val="en-US" w:eastAsia="zh-CN" w:bidi="ar"/>
        </w:rPr>
        <w:t>2</w:t>
      </w:r>
    </w:p>
    <w:p w14:paraId="69683A93" w14:textId="77777777" w:rsidR="00ED7F06" w:rsidRDefault="00ED7F06">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14:paraId="5E9C078C" w14:textId="77777777" w:rsidR="00ED7F06" w:rsidRDefault="007E6B9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14:paraId="22DA6026" w14:textId="77777777" w:rsidR="00ED7F06" w:rsidRDefault="007E6B9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Clarification on the IDC scope </w:t>
      </w:r>
    </w:p>
    <w:p w14:paraId="2EA766ED" w14:textId="77777777" w:rsidR="00ED7F06" w:rsidRDefault="007E6B9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8.10.1</w:t>
      </w:r>
    </w:p>
    <w:p w14:paraId="672452C2" w14:textId="77777777" w:rsidR="00ED7F06" w:rsidRDefault="007E6B9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7787D34F" w14:textId="77777777" w:rsidR="00ED7F06" w:rsidRDefault="007E6B9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0C2810D" w14:textId="42CA2003" w:rsidR="007C4A36" w:rsidRDefault="007E6B9A">
      <w:r>
        <w:rPr>
          <w:rFonts w:hint="eastAsia"/>
        </w:rPr>
        <w:t>About IDC reporting, in Rel15/16, the legacy FDM scheme as in LTE has been agreed for NR</w:t>
      </w:r>
      <w:r w:rsidR="007C4A36">
        <w:t>,</w:t>
      </w:r>
      <w:r>
        <w:rPr>
          <w:rFonts w:hint="eastAsia"/>
        </w:rPr>
        <w:t xml:space="preserve"> including</w:t>
      </w:r>
      <w:r w:rsidR="007C4A36">
        <w:t>:</w:t>
      </w:r>
      <w:r>
        <w:rPr>
          <w:rFonts w:hint="eastAsia"/>
        </w:rPr>
        <w:t xml:space="preserve"> </w:t>
      </w:r>
    </w:p>
    <w:p w14:paraId="30DD933C" w14:textId="53E42396" w:rsidR="007C4A36" w:rsidRDefault="007C4A36" w:rsidP="00A85882">
      <w:pPr>
        <w:pStyle w:val="afe"/>
        <w:numPr>
          <w:ilvl w:val="0"/>
          <w:numId w:val="7"/>
        </w:numPr>
        <w:ind w:firstLineChars="0"/>
      </w:pPr>
      <w:r>
        <w:rPr>
          <w:rFonts w:hint="eastAsia"/>
        </w:rPr>
        <w:t>EUTRA</w:t>
      </w:r>
      <w:r w:rsidR="007E6B9A">
        <w:rPr>
          <w:rFonts w:hint="eastAsia"/>
        </w:rPr>
        <w:t xml:space="preserve">-NR band combination reporting to </w:t>
      </w:r>
      <w:proofErr w:type="spellStart"/>
      <w:r w:rsidR="007E6B9A">
        <w:rPr>
          <w:rFonts w:hint="eastAsia"/>
        </w:rPr>
        <w:t>eNB</w:t>
      </w:r>
      <w:proofErr w:type="spellEnd"/>
      <w:r w:rsidR="007E6B9A">
        <w:rPr>
          <w:rFonts w:hint="eastAsia"/>
        </w:rPr>
        <w:t xml:space="preserve"> for EN-DC case</w:t>
      </w:r>
      <w:r>
        <w:t>;</w:t>
      </w:r>
    </w:p>
    <w:p w14:paraId="3F663186" w14:textId="177D8F6E" w:rsidR="00ED7F06" w:rsidRDefault="007E6B9A" w:rsidP="00A85882">
      <w:pPr>
        <w:pStyle w:val="afe"/>
        <w:numPr>
          <w:ilvl w:val="0"/>
          <w:numId w:val="7"/>
        </w:numPr>
        <w:ind w:firstLineChars="0"/>
      </w:pPr>
      <w:r>
        <w:rPr>
          <w:rFonts w:hint="eastAsia"/>
        </w:rPr>
        <w:t xml:space="preserve">NR carrier or NR carrier combination reporting to </w:t>
      </w:r>
      <w:proofErr w:type="spellStart"/>
      <w:r>
        <w:rPr>
          <w:rFonts w:hint="eastAsia"/>
        </w:rPr>
        <w:t>gNB</w:t>
      </w:r>
      <w:proofErr w:type="spellEnd"/>
      <w:r>
        <w:rPr>
          <w:rFonts w:hint="eastAsia"/>
        </w:rPr>
        <w:t xml:space="preserve"> for NR single CC/CA and NR-DC case</w:t>
      </w:r>
      <w:r w:rsidR="007C4A36">
        <w:t>s</w:t>
      </w:r>
      <w:r>
        <w:rPr>
          <w:rFonts w:hint="eastAsia"/>
        </w:rPr>
        <w:t>.</w:t>
      </w:r>
    </w:p>
    <w:p w14:paraId="23E24048" w14:textId="79F80EDE" w:rsidR="00A85882" w:rsidRDefault="007E6B9A">
      <w:r>
        <w:rPr>
          <w:rFonts w:hint="eastAsia"/>
        </w:rPr>
        <w:t>In Rel-18, the IDC would be further enhanced as described in the WID from both FDM and TDM aspect</w:t>
      </w:r>
      <w:r w:rsidR="007C4A36">
        <w:t>s</w:t>
      </w:r>
      <w:r w:rsidR="00330DFB">
        <w:t xml:space="preserve"> [1]</w:t>
      </w:r>
      <w:r>
        <w:rPr>
          <w:rFonts w:hint="eastAsia"/>
        </w:rPr>
        <w:t xml:space="preserve">. </w:t>
      </w:r>
    </w:p>
    <w:tbl>
      <w:tblPr>
        <w:tblStyle w:val="af5"/>
        <w:tblW w:w="0" w:type="auto"/>
        <w:tblLook w:val="04A0" w:firstRow="1" w:lastRow="0" w:firstColumn="1" w:lastColumn="0" w:noHBand="0" w:noVBand="1"/>
      </w:tblPr>
      <w:tblGrid>
        <w:gridCol w:w="9771"/>
      </w:tblGrid>
      <w:tr w:rsidR="00A85882" w14:paraId="2786EDAC" w14:textId="77777777" w:rsidTr="00A85882">
        <w:tc>
          <w:tcPr>
            <w:tcW w:w="9771" w:type="dxa"/>
          </w:tcPr>
          <w:p w14:paraId="00E5973D" w14:textId="77777777" w:rsidR="006B0675" w:rsidRPr="00CD6619" w:rsidRDefault="006B0675" w:rsidP="006B0675">
            <w:r w:rsidRPr="00CD6619">
              <w:t xml:space="preserve">This WI expects to address </w:t>
            </w:r>
            <w:r>
              <w:t>i</w:t>
            </w:r>
            <w:r w:rsidRPr="00CD6619">
              <w:t xml:space="preserve">nterference between 3GPP (including various MR-DC architectures, i.e. NR-DC and EN-DC) and </w:t>
            </w:r>
            <w:r>
              <w:t>non-3GPP</w:t>
            </w:r>
            <w:r w:rsidRPr="00CD6619">
              <w:t xml:space="preserve"> RAT (e.g. </w:t>
            </w:r>
            <w:proofErr w:type="spellStart"/>
            <w:r w:rsidRPr="00CD6619">
              <w:t>WiFi</w:t>
            </w:r>
            <w:proofErr w:type="spellEnd"/>
            <w:r w:rsidRPr="00CD6619">
              <w:t>).</w:t>
            </w:r>
          </w:p>
          <w:p w14:paraId="7E589BE0" w14:textId="77777777" w:rsidR="00A85882" w:rsidRDefault="00A85882" w:rsidP="00A85882">
            <w:pPr>
              <w:pStyle w:val="afe"/>
              <w:widowControl/>
              <w:numPr>
                <w:ilvl w:val="0"/>
                <w:numId w:val="8"/>
              </w:numPr>
              <w:overflowPunct w:val="0"/>
              <w:autoSpaceDE w:val="0"/>
              <w:autoSpaceDN w:val="0"/>
              <w:adjustRightInd w:val="0"/>
              <w:spacing w:after="180" w:line="240" w:lineRule="auto"/>
              <w:ind w:firstLineChars="0"/>
              <w:contextualSpacing/>
              <w:jc w:val="left"/>
              <w:textAlignment w:val="baseline"/>
            </w:pPr>
            <w:r w:rsidRPr="00CD6619">
              <w:t>Enhancements to FDM solution, to allow more granular indication of affected frequencies (e.g. granularity of BWP or PRB level). (RAN2)</w:t>
            </w:r>
          </w:p>
          <w:p w14:paraId="2860C9A7" w14:textId="77777777" w:rsidR="00A85882" w:rsidRPr="00CD6619" w:rsidRDefault="00A85882" w:rsidP="00A85882">
            <w:pPr>
              <w:pStyle w:val="afe"/>
              <w:ind w:firstLineChars="350" w:firstLine="735"/>
            </w:pPr>
            <w:r w:rsidRPr="00CD6619">
              <w:t xml:space="preserve">Note: Enhancements to FDM solution is </w:t>
            </w:r>
            <w:r>
              <w:t>prioritized</w:t>
            </w:r>
            <w:r w:rsidRPr="00CD6619">
              <w:t>.</w:t>
            </w:r>
          </w:p>
          <w:p w14:paraId="2424C717" w14:textId="77777777" w:rsidR="00A85882" w:rsidRDefault="00A85882" w:rsidP="00A85882">
            <w:pPr>
              <w:pStyle w:val="afe"/>
              <w:widowControl/>
              <w:numPr>
                <w:ilvl w:val="0"/>
                <w:numId w:val="8"/>
              </w:numPr>
              <w:overflowPunct w:val="0"/>
              <w:autoSpaceDE w:val="0"/>
              <w:autoSpaceDN w:val="0"/>
              <w:adjustRightInd w:val="0"/>
              <w:spacing w:after="180" w:line="240" w:lineRule="auto"/>
              <w:ind w:firstLineChars="0"/>
              <w:contextualSpacing/>
              <w:jc w:val="left"/>
              <w:textAlignment w:val="baseline"/>
            </w:pPr>
            <w:r w:rsidRPr="00CD6619">
              <w:t>Introduction of TDM solution (e.g. indication of UE preferred TDM pattern for UL/DL). (RAN2</w:t>
            </w:r>
            <w:r>
              <w:t>, RAN4</w:t>
            </w:r>
            <w:r w:rsidRPr="00CD6619">
              <w:t>).</w:t>
            </w:r>
            <w:r w:rsidRPr="00CD6619">
              <w:br/>
              <w:t>Note: The TDM solution is considered complementary to the FDM solution.</w:t>
            </w:r>
          </w:p>
          <w:p w14:paraId="1A3DCA58" w14:textId="77777777" w:rsidR="00A85882" w:rsidRPr="00CD6619" w:rsidRDefault="00A85882" w:rsidP="00A85882">
            <w:pPr>
              <w:pStyle w:val="afe"/>
              <w:widowControl/>
              <w:overflowPunct w:val="0"/>
              <w:autoSpaceDE w:val="0"/>
              <w:autoSpaceDN w:val="0"/>
              <w:adjustRightInd w:val="0"/>
              <w:spacing w:after="180" w:line="240" w:lineRule="auto"/>
              <w:ind w:left="720" w:firstLineChars="0" w:firstLine="0"/>
              <w:contextualSpacing/>
              <w:jc w:val="left"/>
              <w:textAlignment w:val="baseline"/>
            </w:pPr>
          </w:p>
          <w:p w14:paraId="4EA192BB" w14:textId="4F88533B" w:rsidR="00A85882" w:rsidRDefault="00A85882" w:rsidP="00A85882">
            <w:pPr>
              <w:pStyle w:val="afe"/>
              <w:widowControl/>
              <w:numPr>
                <w:ilvl w:val="0"/>
                <w:numId w:val="8"/>
              </w:numPr>
              <w:overflowPunct w:val="0"/>
              <w:autoSpaceDE w:val="0"/>
              <w:autoSpaceDN w:val="0"/>
              <w:adjustRightInd w:val="0"/>
              <w:spacing w:after="180" w:line="240" w:lineRule="auto"/>
              <w:ind w:firstLineChars="0"/>
              <w:contextualSpacing/>
              <w:jc w:val="left"/>
              <w:textAlignment w:val="baseline"/>
            </w:pPr>
            <w:r>
              <w:t>Specify RRM requirements for TDM solution (RAN4)</w:t>
            </w:r>
          </w:p>
        </w:tc>
      </w:tr>
    </w:tbl>
    <w:p w14:paraId="4E86BB85" w14:textId="39C8DCCE" w:rsidR="00ED7F06" w:rsidRDefault="007E6B9A">
      <w:r>
        <w:rPr>
          <w:rFonts w:hint="eastAsia"/>
        </w:rPr>
        <w:t>Before any discussion on the detail enhancement scheme, we would like to have some clarification on the R18 IDC scope in this paper.</w:t>
      </w:r>
    </w:p>
    <w:p w14:paraId="21D4AEFE" w14:textId="77777777" w:rsidR="00ED7F06" w:rsidRDefault="007E6B9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7749F94C" w14:textId="4DE74C23" w:rsidR="00ED7F06" w:rsidRDefault="007E6B9A">
      <w:pPr>
        <w:overflowPunct w:val="0"/>
        <w:autoSpaceDE w:val="0"/>
        <w:autoSpaceDN w:val="0"/>
        <w:adjustRightInd w:val="0"/>
        <w:spacing w:after="180"/>
      </w:pPr>
      <w:r>
        <w:rPr>
          <w:rFonts w:hint="eastAsia"/>
        </w:rPr>
        <w:t>In this chapter, for FDM discussion, we first list which kind of IDC interference scenarios have been reported within the legacy FDM signaling, then to discuss whether to include all of the other IDC interference scenarios. For TDM discussion, we would like to confirm which TDM solution shall be taken as baseline.</w:t>
      </w:r>
    </w:p>
    <w:p w14:paraId="6BEDCD32" w14:textId="77777777" w:rsidR="00ED7F06" w:rsidRDefault="007E6B9A">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2.1 FDM IDC reporting</w:t>
      </w:r>
    </w:p>
    <w:p w14:paraId="1CE5E948" w14:textId="72360A48" w:rsidR="00ED7F06" w:rsidRDefault="007E6B9A">
      <w:pPr>
        <w:rPr>
          <w:rFonts w:eastAsia="宋体" w:cs="Arial"/>
          <w:color w:val="000000"/>
          <w:kern w:val="0"/>
          <w:szCs w:val="22"/>
        </w:rPr>
      </w:pPr>
      <w:r>
        <w:rPr>
          <w:rFonts w:eastAsia="宋体" w:cs="Arial" w:hint="eastAsia"/>
          <w:color w:val="000000"/>
          <w:kern w:val="0"/>
          <w:szCs w:val="22"/>
        </w:rPr>
        <w:t xml:space="preserve">For FDM solution, in </w:t>
      </w:r>
      <w:r w:rsidR="007C4A36">
        <w:rPr>
          <w:rFonts w:eastAsia="宋体" w:cs="Arial" w:hint="eastAsia"/>
          <w:color w:val="000000"/>
          <w:kern w:val="0"/>
          <w:szCs w:val="22"/>
        </w:rPr>
        <w:t>Rel</w:t>
      </w:r>
      <w:r w:rsidR="007C4A36">
        <w:rPr>
          <w:rFonts w:eastAsia="宋体" w:cs="Arial"/>
          <w:color w:val="000000"/>
          <w:kern w:val="0"/>
          <w:szCs w:val="22"/>
        </w:rPr>
        <w:t>-</w:t>
      </w:r>
      <w:r>
        <w:rPr>
          <w:rFonts w:eastAsia="宋体" w:cs="Arial" w:hint="eastAsia"/>
          <w:color w:val="000000"/>
          <w:kern w:val="0"/>
          <w:szCs w:val="22"/>
        </w:rPr>
        <w:t xml:space="preserve">11, the UE would report the affected carriers together with interference direction. Then it was further enhanced to cover UL CA case, in which some UL band combination that may cause IDC interference to </w:t>
      </w:r>
      <w:r>
        <w:rPr>
          <w:rFonts w:eastAsia="宋体" w:cs="Arial" w:hint="eastAsia"/>
          <w:color w:val="000000"/>
          <w:kern w:val="0"/>
          <w:szCs w:val="22"/>
        </w:rPr>
        <w:lastRenderedPageBreak/>
        <w:t>the non-3gpp RAT would also be reported together with the victim system Type.</w:t>
      </w:r>
    </w:p>
    <w:p w14:paraId="3B333B36" w14:textId="6EF8796B" w:rsidR="00ED7F06" w:rsidRDefault="007E6B9A">
      <w:pPr>
        <w:overflowPunct w:val="0"/>
        <w:autoSpaceDE w:val="0"/>
        <w:autoSpaceDN w:val="0"/>
        <w:adjustRightInd w:val="0"/>
        <w:spacing w:after="180"/>
      </w:pPr>
      <w:r>
        <w:rPr>
          <w:rFonts w:hint="eastAsia"/>
        </w:rPr>
        <w:t>In Rel</w:t>
      </w:r>
      <w:r w:rsidR="007C4A36">
        <w:t>-</w:t>
      </w:r>
      <w:r>
        <w:rPr>
          <w:rFonts w:hint="eastAsia"/>
        </w:rPr>
        <w:t xml:space="preserve">15, the IDC for the EN-DC case was </w:t>
      </w:r>
      <w:r w:rsidR="007C4A36">
        <w:t>specified</w:t>
      </w:r>
      <w:r>
        <w:rPr>
          <w:rFonts w:hint="eastAsia"/>
        </w:rPr>
        <w:t>, in which the UE can report the IDC interference cause</w:t>
      </w:r>
      <w:r w:rsidR="006243EA">
        <w:t>d</w:t>
      </w:r>
      <w:r>
        <w:rPr>
          <w:rFonts w:hint="eastAsia"/>
        </w:rPr>
        <w:t xml:space="preserve"> by EN-DC combination to the </w:t>
      </w:r>
      <w:proofErr w:type="spellStart"/>
      <w:r>
        <w:rPr>
          <w:rFonts w:hint="eastAsia"/>
        </w:rPr>
        <w:t>eNB</w:t>
      </w:r>
      <w:proofErr w:type="spellEnd"/>
      <w:r>
        <w:rPr>
          <w:rFonts w:hint="eastAsia"/>
        </w:rPr>
        <w:t xml:space="preserve">. Furthermore, in </w:t>
      </w:r>
      <w:r w:rsidR="007C4A36">
        <w:rPr>
          <w:rFonts w:hint="eastAsia"/>
        </w:rPr>
        <w:t>Rel</w:t>
      </w:r>
      <w:r w:rsidR="007C4A36">
        <w:t>-</w:t>
      </w:r>
      <w:r>
        <w:rPr>
          <w:rFonts w:hint="eastAsia"/>
        </w:rPr>
        <w:t xml:space="preserve">16, the IDC scheme was extended to NR, the UE would report the NR carrier or NR carrier combination that affected by the IDC interference to the </w:t>
      </w:r>
      <w:proofErr w:type="spellStart"/>
      <w:r>
        <w:rPr>
          <w:rFonts w:hint="eastAsia"/>
        </w:rPr>
        <w:t>gNB</w:t>
      </w:r>
      <w:proofErr w:type="spellEnd"/>
      <w:r>
        <w:rPr>
          <w:rFonts w:hint="eastAsia"/>
        </w:rPr>
        <w:t>.</w:t>
      </w:r>
    </w:p>
    <w:p w14:paraId="3773481B" w14:textId="77777777" w:rsidR="00ED7F06" w:rsidRDefault="007E6B9A">
      <w:r>
        <w:rPr>
          <w:rFonts w:hint="eastAsia"/>
        </w:rPr>
        <w:t>According to the above description, there are 3 different IDC interference types.</w:t>
      </w:r>
    </w:p>
    <w:p w14:paraId="5CA20435" w14:textId="77777777" w:rsidR="00ED7F06" w:rsidRDefault="007E6B9A">
      <w:pPr>
        <w:numPr>
          <w:ilvl w:val="0"/>
          <w:numId w:val="5"/>
        </w:numPr>
        <w:overflowPunct w:val="0"/>
        <w:autoSpaceDE w:val="0"/>
        <w:autoSpaceDN w:val="0"/>
        <w:adjustRightInd w:val="0"/>
        <w:spacing w:after="180"/>
        <w:rPr>
          <w:rFonts w:eastAsia="宋体"/>
        </w:rPr>
      </w:pPr>
      <w:r>
        <w:rPr>
          <w:rFonts w:eastAsia="宋体" w:hint="eastAsia"/>
        </w:rPr>
        <w:t>Type 1: (potential) interference from/to a single frequency</w:t>
      </w:r>
    </w:p>
    <w:p w14:paraId="4E883B45" w14:textId="12EFE1A5" w:rsidR="00ED7F06" w:rsidRDefault="007E6B9A">
      <w:pPr>
        <w:numPr>
          <w:ilvl w:val="0"/>
          <w:numId w:val="5"/>
        </w:numPr>
        <w:overflowPunct w:val="0"/>
        <w:autoSpaceDE w:val="0"/>
        <w:autoSpaceDN w:val="0"/>
        <w:adjustRightInd w:val="0"/>
        <w:spacing w:after="180"/>
        <w:rPr>
          <w:rFonts w:eastAsia="宋体"/>
        </w:rPr>
      </w:pPr>
      <w:r>
        <w:rPr>
          <w:rFonts w:eastAsia="宋体" w:hint="eastAsia"/>
        </w:rPr>
        <w:t xml:space="preserve">Type 2: (potential) interference caused by </w:t>
      </w:r>
      <w:r w:rsidR="006243EA">
        <w:rPr>
          <w:rFonts w:eastAsia="宋体" w:hint="eastAsia"/>
        </w:rPr>
        <w:t xml:space="preserve">UL CA or </w:t>
      </w:r>
      <w:r>
        <w:rPr>
          <w:rFonts w:eastAsia="宋体" w:hint="eastAsia"/>
        </w:rPr>
        <w:t xml:space="preserve">3GPP intra- RAT UL DC to non-3gpp RAT </w:t>
      </w:r>
    </w:p>
    <w:p w14:paraId="5B56B3FC" w14:textId="17B02E04" w:rsidR="00ED7F06" w:rsidRDefault="007E6B9A">
      <w:pPr>
        <w:numPr>
          <w:ilvl w:val="0"/>
          <w:numId w:val="5"/>
        </w:numPr>
        <w:overflowPunct w:val="0"/>
        <w:autoSpaceDE w:val="0"/>
        <w:autoSpaceDN w:val="0"/>
        <w:adjustRightInd w:val="0"/>
        <w:spacing w:after="180"/>
        <w:rPr>
          <w:rFonts w:eastAsia="宋体"/>
        </w:rPr>
      </w:pPr>
      <w:r>
        <w:rPr>
          <w:rFonts w:eastAsia="宋体" w:hint="eastAsia"/>
        </w:rPr>
        <w:t>Type 2a: (potential) interference caused by 3GPP inter- RAT UL DC (</w:t>
      </w:r>
      <w:r w:rsidR="007C4A36">
        <w:rPr>
          <w:rFonts w:eastAsia="宋体" w:hint="eastAsia"/>
        </w:rPr>
        <w:t>EUTRA</w:t>
      </w:r>
      <w:r>
        <w:rPr>
          <w:rFonts w:eastAsia="宋体" w:hint="eastAsia"/>
        </w:rPr>
        <w:t>+NR) to non-3gpp RAT</w:t>
      </w:r>
    </w:p>
    <w:p w14:paraId="6CBA69C9" w14:textId="77777777" w:rsidR="00ED7F06" w:rsidRDefault="007E6B9A">
      <w:r>
        <w:rPr>
          <w:rFonts w:hint="eastAsia"/>
        </w:rPr>
        <w:t>If we also take the network node type into consideration, the below cases have been covered by the legacy FDM IDC reporting as shown in the Table 1:</w:t>
      </w:r>
    </w:p>
    <w:p w14:paraId="46792F2B" w14:textId="77777777" w:rsidR="00ED7F06" w:rsidRDefault="007E6B9A">
      <w:pPr>
        <w:jc w:val="center"/>
        <w:rPr>
          <w:b/>
          <w:bCs/>
        </w:rPr>
      </w:pPr>
      <w:r>
        <w:rPr>
          <w:rFonts w:hint="eastAsia"/>
          <w:b/>
          <w:bCs/>
        </w:rPr>
        <w:t>Table 1: Legacy IDC Interference Reporting Types</w:t>
      </w:r>
    </w:p>
    <w:tbl>
      <w:tblPr>
        <w:tblStyle w:val="af5"/>
        <w:tblW w:w="0" w:type="auto"/>
        <w:tblLook w:val="04A0" w:firstRow="1" w:lastRow="0" w:firstColumn="1" w:lastColumn="0" w:noHBand="0" w:noVBand="1"/>
      </w:tblPr>
      <w:tblGrid>
        <w:gridCol w:w="1574"/>
        <w:gridCol w:w="2674"/>
        <w:gridCol w:w="2977"/>
        <w:gridCol w:w="2546"/>
      </w:tblGrid>
      <w:tr w:rsidR="00ED7F06" w14:paraId="61554770" w14:textId="77777777" w:rsidTr="006243EA">
        <w:trPr>
          <w:trHeight w:val="1498"/>
        </w:trPr>
        <w:tc>
          <w:tcPr>
            <w:tcW w:w="1574" w:type="dxa"/>
            <w:tcBorders>
              <w:tl2br w:val="single" w:sz="4" w:space="0" w:color="auto"/>
            </w:tcBorders>
          </w:tcPr>
          <w:p w14:paraId="321354DF" w14:textId="4C3ADD99" w:rsidR="00ED7F06" w:rsidRDefault="006243EA">
            <w:pPr>
              <w:overflowPunct w:val="0"/>
              <w:autoSpaceDE w:val="0"/>
              <w:autoSpaceDN w:val="0"/>
              <w:adjustRightInd w:val="0"/>
              <w:snapToGrid w:val="0"/>
              <w:spacing w:after="180" w:line="240" w:lineRule="auto"/>
              <w:jc w:val="center"/>
              <w:rPr>
                <w:rFonts w:eastAsia="宋体"/>
              </w:rPr>
            </w:pPr>
            <w:r>
              <w:rPr>
                <w:rFonts w:eastAsia="宋体"/>
              </w:rPr>
              <w:t xml:space="preserve">   </w:t>
            </w:r>
            <w:r>
              <w:rPr>
                <w:rFonts w:eastAsia="宋体" w:hint="eastAsia"/>
              </w:rPr>
              <w:t xml:space="preserve">Interference </w:t>
            </w:r>
            <w:r>
              <w:rPr>
                <w:rFonts w:eastAsia="宋体"/>
              </w:rPr>
              <w:t xml:space="preserve">    </w:t>
            </w:r>
            <w:r>
              <w:rPr>
                <w:rFonts w:eastAsia="宋体" w:hint="eastAsia"/>
              </w:rPr>
              <w:t>types</w:t>
            </w:r>
          </w:p>
          <w:p w14:paraId="120ACB78" w14:textId="6983B6F9" w:rsidR="006243EA" w:rsidRDefault="007E6B9A" w:rsidP="006243EA">
            <w:pPr>
              <w:overflowPunct w:val="0"/>
              <w:autoSpaceDE w:val="0"/>
              <w:autoSpaceDN w:val="0"/>
              <w:adjustRightInd w:val="0"/>
              <w:snapToGrid w:val="0"/>
              <w:spacing w:after="180" w:line="240" w:lineRule="auto"/>
              <w:rPr>
                <w:rFonts w:eastAsia="宋体"/>
              </w:rPr>
            </w:pPr>
            <w:r>
              <w:rPr>
                <w:rFonts w:eastAsia="宋体" w:hint="eastAsia"/>
              </w:rPr>
              <w:t>Netw</w:t>
            </w:r>
            <w:r w:rsidR="006243EA">
              <w:rPr>
                <w:rFonts w:eastAsia="宋体" w:hint="eastAsia"/>
              </w:rPr>
              <w:t>o</w:t>
            </w:r>
            <w:r>
              <w:rPr>
                <w:rFonts w:eastAsia="宋体" w:hint="eastAsia"/>
              </w:rPr>
              <w:t xml:space="preserve">rk </w:t>
            </w:r>
          </w:p>
          <w:p w14:paraId="189BE385" w14:textId="09540868" w:rsidR="00ED7F06" w:rsidRDefault="007E6B9A" w:rsidP="006243EA">
            <w:pPr>
              <w:overflowPunct w:val="0"/>
              <w:autoSpaceDE w:val="0"/>
              <w:autoSpaceDN w:val="0"/>
              <w:adjustRightInd w:val="0"/>
              <w:snapToGrid w:val="0"/>
              <w:spacing w:after="180" w:line="240" w:lineRule="auto"/>
              <w:rPr>
                <w:rFonts w:eastAsia="宋体"/>
              </w:rPr>
            </w:pPr>
            <w:r>
              <w:rPr>
                <w:rFonts w:eastAsia="宋体" w:hint="eastAsia"/>
              </w:rPr>
              <w:t>node</w:t>
            </w:r>
          </w:p>
        </w:tc>
        <w:tc>
          <w:tcPr>
            <w:tcW w:w="2674" w:type="dxa"/>
          </w:tcPr>
          <w:p w14:paraId="2F7429F4" w14:textId="77777777" w:rsidR="00ED7F06" w:rsidRDefault="007E6B9A">
            <w:pPr>
              <w:overflowPunct w:val="0"/>
              <w:autoSpaceDE w:val="0"/>
              <w:autoSpaceDN w:val="0"/>
              <w:adjustRightInd w:val="0"/>
              <w:spacing w:after="180"/>
              <w:jc w:val="center"/>
              <w:rPr>
                <w:rFonts w:eastAsia="宋体"/>
              </w:rPr>
            </w:pPr>
            <w:r>
              <w:rPr>
                <w:rFonts w:eastAsia="宋体" w:hint="eastAsia"/>
              </w:rPr>
              <w:t>Type 1</w:t>
            </w:r>
          </w:p>
          <w:p w14:paraId="167A37CE" w14:textId="77777777" w:rsidR="00ED7F06" w:rsidRDefault="007E6B9A">
            <w:pPr>
              <w:overflowPunct w:val="0"/>
              <w:autoSpaceDE w:val="0"/>
              <w:autoSpaceDN w:val="0"/>
              <w:adjustRightInd w:val="0"/>
              <w:spacing w:after="180"/>
              <w:jc w:val="center"/>
              <w:rPr>
                <w:rFonts w:eastAsia="宋体"/>
              </w:rPr>
            </w:pPr>
            <w:r>
              <w:rPr>
                <w:rFonts w:eastAsia="宋体" w:hint="eastAsia"/>
              </w:rPr>
              <w:t>(potential) interference from/to a single frequency</w:t>
            </w:r>
          </w:p>
        </w:tc>
        <w:tc>
          <w:tcPr>
            <w:tcW w:w="2977" w:type="dxa"/>
          </w:tcPr>
          <w:p w14:paraId="69BB9C38" w14:textId="77777777" w:rsidR="00ED7F06" w:rsidRDefault="007E6B9A">
            <w:pPr>
              <w:overflowPunct w:val="0"/>
              <w:autoSpaceDE w:val="0"/>
              <w:autoSpaceDN w:val="0"/>
              <w:adjustRightInd w:val="0"/>
              <w:spacing w:after="180"/>
              <w:jc w:val="center"/>
              <w:rPr>
                <w:rFonts w:eastAsia="宋体"/>
              </w:rPr>
            </w:pPr>
            <w:r>
              <w:rPr>
                <w:rFonts w:eastAsia="宋体" w:hint="eastAsia"/>
              </w:rPr>
              <w:t>Type 2</w:t>
            </w:r>
          </w:p>
          <w:p w14:paraId="5D650DFF" w14:textId="77777777" w:rsidR="00ED7F06" w:rsidRDefault="007E6B9A">
            <w:pPr>
              <w:overflowPunct w:val="0"/>
              <w:autoSpaceDE w:val="0"/>
              <w:autoSpaceDN w:val="0"/>
              <w:adjustRightInd w:val="0"/>
              <w:spacing w:after="180"/>
              <w:jc w:val="center"/>
              <w:rPr>
                <w:rFonts w:eastAsia="宋体"/>
              </w:rPr>
            </w:pPr>
            <w:r>
              <w:rPr>
                <w:rFonts w:eastAsia="宋体" w:hint="eastAsia"/>
              </w:rPr>
              <w:t>(potential) interference by intra-3gpp RAT CA/DC BC</w:t>
            </w:r>
          </w:p>
        </w:tc>
        <w:tc>
          <w:tcPr>
            <w:tcW w:w="2546" w:type="dxa"/>
          </w:tcPr>
          <w:p w14:paraId="08D6E0EF" w14:textId="77777777" w:rsidR="00ED7F06" w:rsidRDefault="007E6B9A">
            <w:pPr>
              <w:overflowPunct w:val="0"/>
              <w:autoSpaceDE w:val="0"/>
              <w:autoSpaceDN w:val="0"/>
              <w:adjustRightInd w:val="0"/>
              <w:spacing w:after="180"/>
              <w:jc w:val="center"/>
              <w:rPr>
                <w:rFonts w:eastAsia="宋体"/>
              </w:rPr>
            </w:pPr>
            <w:r>
              <w:rPr>
                <w:rFonts w:eastAsia="宋体" w:hint="eastAsia"/>
              </w:rPr>
              <w:t>Type 2a</w:t>
            </w:r>
          </w:p>
          <w:p w14:paraId="367FD684" w14:textId="77777777" w:rsidR="00ED7F06" w:rsidRDefault="007E6B9A">
            <w:pPr>
              <w:overflowPunct w:val="0"/>
              <w:autoSpaceDE w:val="0"/>
              <w:autoSpaceDN w:val="0"/>
              <w:adjustRightInd w:val="0"/>
              <w:spacing w:after="180"/>
              <w:jc w:val="center"/>
              <w:rPr>
                <w:rFonts w:eastAsia="宋体"/>
              </w:rPr>
            </w:pPr>
            <w:r>
              <w:rPr>
                <w:rFonts w:eastAsia="宋体" w:hint="eastAsia"/>
              </w:rPr>
              <w:t>(potential) interference by inter-3gpp RAT DC BC</w:t>
            </w:r>
          </w:p>
        </w:tc>
      </w:tr>
      <w:tr w:rsidR="00ED7F06" w14:paraId="68E5C758" w14:textId="77777777" w:rsidTr="006243EA">
        <w:trPr>
          <w:trHeight w:val="553"/>
        </w:trPr>
        <w:tc>
          <w:tcPr>
            <w:tcW w:w="1574" w:type="dxa"/>
            <w:vMerge w:val="restart"/>
          </w:tcPr>
          <w:p w14:paraId="1FA28A73" w14:textId="77777777" w:rsidR="00ED7F06" w:rsidRDefault="007E6B9A">
            <w:pPr>
              <w:overflowPunct w:val="0"/>
              <w:autoSpaceDE w:val="0"/>
              <w:autoSpaceDN w:val="0"/>
              <w:adjustRightInd w:val="0"/>
              <w:spacing w:after="180"/>
              <w:rPr>
                <w:rFonts w:eastAsia="宋体"/>
              </w:rPr>
            </w:pPr>
            <w:proofErr w:type="spellStart"/>
            <w:r>
              <w:rPr>
                <w:rFonts w:eastAsia="宋体" w:hint="eastAsia"/>
              </w:rPr>
              <w:t>eNB</w:t>
            </w:r>
            <w:proofErr w:type="spellEnd"/>
            <w:r>
              <w:rPr>
                <w:rFonts w:eastAsia="宋体" w:hint="eastAsia"/>
              </w:rPr>
              <w:t xml:space="preserve"> (Note 1)</w:t>
            </w:r>
          </w:p>
        </w:tc>
        <w:tc>
          <w:tcPr>
            <w:tcW w:w="2674" w:type="dxa"/>
          </w:tcPr>
          <w:p w14:paraId="39A633CC" w14:textId="205F062B" w:rsidR="00ED7F06" w:rsidRDefault="007E6B9A" w:rsidP="007C4A36">
            <w:pPr>
              <w:overflowPunct w:val="0"/>
              <w:autoSpaceDE w:val="0"/>
              <w:autoSpaceDN w:val="0"/>
              <w:adjustRightInd w:val="0"/>
              <w:spacing w:after="180"/>
              <w:rPr>
                <w:rFonts w:eastAsia="宋体"/>
              </w:rPr>
            </w:pPr>
            <w:r>
              <w:rPr>
                <w:rFonts w:eastAsia="宋体" w:hint="eastAsia"/>
              </w:rPr>
              <w:t xml:space="preserve">IDC on </w:t>
            </w:r>
            <w:r w:rsidR="007C4A36">
              <w:rPr>
                <w:rFonts w:eastAsia="宋体" w:hint="eastAsia"/>
              </w:rPr>
              <w:t>EUTRA</w:t>
            </w:r>
            <w:r>
              <w:rPr>
                <w:rFonts w:eastAsia="宋体" w:hint="eastAsia"/>
              </w:rPr>
              <w:t xml:space="preserve"> single carrier</w:t>
            </w:r>
          </w:p>
        </w:tc>
        <w:tc>
          <w:tcPr>
            <w:tcW w:w="2977" w:type="dxa"/>
          </w:tcPr>
          <w:p w14:paraId="381DE0AB" w14:textId="787C5ABD" w:rsidR="00ED7F06" w:rsidRDefault="007E6B9A" w:rsidP="007C4A36">
            <w:pPr>
              <w:overflowPunct w:val="0"/>
              <w:autoSpaceDE w:val="0"/>
              <w:autoSpaceDN w:val="0"/>
              <w:adjustRightInd w:val="0"/>
              <w:spacing w:after="180"/>
              <w:rPr>
                <w:rFonts w:eastAsia="宋体"/>
              </w:rPr>
            </w:pPr>
            <w:r>
              <w:rPr>
                <w:rFonts w:eastAsia="宋体" w:hint="eastAsia"/>
              </w:rPr>
              <w:t xml:space="preserve">IDC caused by </w:t>
            </w:r>
            <w:r w:rsidR="007C4A36">
              <w:rPr>
                <w:rFonts w:eastAsia="宋体" w:hint="eastAsia"/>
              </w:rPr>
              <w:t>EUTRA</w:t>
            </w:r>
            <w:r>
              <w:rPr>
                <w:rFonts w:eastAsia="宋体" w:hint="eastAsia"/>
              </w:rPr>
              <w:t xml:space="preserve"> UL CA</w:t>
            </w:r>
          </w:p>
        </w:tc>
        <w:tc>
          <w:tcPr>
            <w:tcW w:w="2546" w:type="dxa"/>
            <w:vMerge w:val="restart"/>
          </w:tcPr>
          <w:p w14:paraId="6D40C581" w14:textId="55B1EA90" w:rsidR="00ED7F06" w:rsidRDefault="007E6B9A" w:rsidP="007C4A36">
            <w:pPr>
              <w:overflowPunct w:val="0"/>
              <w:autoSpaceDE w:val="0"/>
              <w:autoSpaceDN w:val="0"/>
              <w:adjustRightInd w:val="0"/>
              <w:spacing w:after="180"/>
              <w:rPr>
                <w:rFonts w:eastAsia="宋体"/>
              </w:rPr>
            </w:pPr>
            <w:r>
              <w:rPr>
                <w:rFonts w:eastAsia="宋体" w:hint="eastAsia"/>
              </w:rPr>
              <w:t xml:space="preserve">IDC caused by </w:t>
            </w:r>
            <w:r w:rsidR="007C4A36">
              <w:rPr>
                <w:rFonts w:eastAsia="宋体" w:hint="eastAsia"/>
              </w:rPr>
              <w:t>EUTRA</w:t>
            </w:r>
            <w:r>
              <w:rPr>
                <w:rFonts w:eastAsia="宋体" w:hint="eastAsia"/>
              </w:rPr>
              <w:t xml:space="preserve"> and NR band combination</w:t>
            </w:r>
          </w:p>
        </w:tc>
      </w:tr>
      <w:tr w:rsidR="00ED7F06" w14:paraId="128E1E79" w14:textId="77777777" w:rsidTr="006243EA">
        <w:trPr>
          <w:trHeight w:val="667"/>
        </w:trPr>
        <w:tc>
          <w:tcPr>
            <w:tcW w:w="1574" w:type="dxa"/>
            <w:vMerge/>
          </w:tcPr>
          <w:p w14:paraId="521D60F2" w14:textId="77777777" w:rsidR="00ED7F06" w:rsidRDefault="00ED7F06">
            <w:pPr>
              <w:overflowPunct w:val="0"/>
              <w:autoSpaceDE w:val="0"/>
              <w:autoSpaceDN w:val="0"/>
              <w:adjustRightInd w:val="0"/>
              <w:spacing w:after="180"/>
            </w:pPr>
          </w:p>
        </w:tc>
        <w:tc>
          <w:tcPr>
            <w:tcW w:w="2674" w:type="dxa"/>
          </w:tcPr>
          <w:p w14:paraId="4C1D05EB" w14:textId="2580715A" w:rsidR="00ED7F06" w:rsidRDefault="007E6B9A" w:rsidP="007C4A36">
            <w:pPr>
              <w:overflowPunct w:val="0"/>
              <w:autoSpaceDE w:val="0"/>
              <w:autoSpaceDN w:val="0"/>
              <w:adjustRightInd w:val="0"/>
              <w:spacing w:after="180"/>
              <w:rPr>
                <w:rFonts w:eastAsia="宋体"/>
                <w:color w:val="FF0000"/>
              </w:rPr>
            </w:pPr>
            <w:r>
              <w:rPr>
                <w:rFonts w:eastAsia="宋体" w:hint="eastAsia"/>
                <w:color w:val="FF0000"/>
              </w:rPr>
              <w:t>FFS: IDC on NR single carrier (Note 2)</w:t>
            </w:r>
          </w:p>
        </w:tc>
        <w:tc>
          <w:tcPr>
            <w:tcW w:w="2977" w:type="dxa"/>
          </w:tcPr>
          <w:p w14:paraId="1078F8B1" w14:textId="4B8957C5" w:rsidR="00ED7F06" w:rsidRDefault="007E6B9A" w:rsidP="007C4A36">
            <w:pPr>
              <w:overflowPunct w:val="0"/>
              <w:autoSpaceDE w:val="0"/>
              <w:autoSpaceDN w:val="0"/>
              <w:adjustRightInd w:val="0"/>
              <w:spacing w:after="180"/>
              <w:rPr>
                <w:rFonts w:eastAsia="宋体"/>
                <w:color w:val="FF0000"/>
              </w:rPr>
            </w:pPr>
            <w:r>
              <w:rPr>
                <w:rFonts w:eastAsia="宋体" w:hint="eastAsia"/>
                <w:color w:val="FF0000"/>
              </w:rPr>
              <w:t>FFS: IDC caused by  NR UL CA (Note 2)</w:t>
            </w:r>
          </w:p>
        </w:tc>
        <w:tc>
          <w:tcPr>
            <w:tcW w:w="2546" w:type="dxa"/>
            <w:vMerge/>
          </w:tcPr>
          <w:p w14:paraId="0BE95C7F" w14:textId="77777777" w:rsidR="00ED7F06" w:rsidRDefault="00ED7F06">
            <w:pPr>
              <w:overflowPunct w:val="0"/>
              <w:autoSpaceDE w:val="0"/>
              <w:autoSpaceDN w:val="0"/>
              <w:adjustRightInd w:val="0"/>
              <w:spacing w:after="180"/>
              <w:rPr>
                <w:rFonts w:eastAsia="宋体"/>
              </w:rPr>
            </w:pPr>
          </w:p>
        </w:tc>
      </w:tr>
      <w:tr w:rsidR="00ED7F06" w14:paraId="27515488" w14:textId="77777777" w:rsidTr="006243EA">
        <w:tc>
          <w:tcPr>
            <w:tcW w:w="1574" w:type="dxa"/>
            <w:vMerge w:val="restart"/>
          </w:tcPr>
          <w:p w14:paraId="7133D37B" w14:textId="12C6BABA" w:rsidR="00ED7F06" w:rsidRDefault="006243EA" w:rsidP="006243EA">
            <w:pPr>
              <w:overflowPunct w:val="0"/>
              <w:autoSpaceDE w:val="0"/>
              <w:autoSpaceDN w:val="0"/>
              <w:adjustRightInd w:val="0"/>
              <w:spacing w:after="180"/>
              <w:rPr>
                <w:rFonts w:eastAsia="宋体"/>
              </w:rPr>
            </w:pPr>
            <w:proofErr w:type="spellStart"/>
            <w:r>
              <w:rPr>
                <w:rFonts w:eastAsia="宋体" w:hint="eastAsia"/>
              </w:rPr>
              <w:t>g</w:t>
            </w:r>
            <w:r>
              <w:rPr>
                <w:rFonts w:eastAsia="宋体"/>
              </w:rPr>
              <w:t>NB</w:t>
            </w:r>
            <w:proofErr w:type="spellEnd"/>
            <w:r w:rsidR="007E6B9A">
              <w:rPr>
                <w:rFonts w:eastAsia="宋体" w:hint="eastAsia"/>
              </w:rPr>
              <w:t xml:space="preserve"> (Note 1)</w:t>
            </w:r>
          </w:p>
        </w:tc>
        <w:tc>
          <w:tcPr>
            <w:tcW w:w="2674" w:type="dxa"/>
          </w:tcPr>
          <w:p w14:paraId="6C45197B" w14:textId="6EF904BE" w:rsidR="00ED7F06" w:rsidRDefault="007E6B9A" w:rsidP="007C4A36">
            <w:pPr>
              <w:overflowPunct w:val="0"/>
              <w:autoSpaceDE w:val="0"/>
              <w:autoSpaceDN w:val="0"/>
              <w:adjustRightInd w:val="0"/>
              <w:spacing w:after="180"/>
              <w:rPr>
                <w:rFonts w:eastAsia="宋体"/>
              </w:rPr>
            </w:pPr>
            <w:r>
              <w:rPr>
                <w:rFonts w:eastAsia="宋体" w:hint="eastAsia"/>
              </w:rPr>
              <w:t>IDC on NR single carrier</w:t>
            </w:r>
          </w:p>
        </w:tc>
        <w:tc>
          <w:tcPr>
            <w:tcW w:w="2977" w:type="dxa"/>
          </w:tcPr>
          <w:p w14:paraId="31EF7101" w14:textId="77777777" w:rsidR="00ED7F06" w:rsidRDefault="007E6B9A">
            <w:pPr>
              <w:overflowPunct w:val="0"/>
              <w:autoSpaceDE w:val="0"/>
              <w:autoSpaceDN w:val="0"/>
              <w:adjustRightInd w:val="0"/>
              <w:spacing w:after="180"/>
              <w:rPr>
                <w:rFonts w:eastAsia="宋体"/>
              </w:rPr>
            </w:pPr>
            <w:r>
              <w:rPr>
                <w:rFonts w:eastAsia="宋体" w:hint="eastAsia"/>
              </w:rPr>
              <w:t>IDC caused by NR UL CA or DC</w:t>
            </w:r>
          </w:p>
        </w:tc>
        <w:tc>
          <w:tcPr>
            <w:tcW w:w="2546" w:type="dxa"/>
            <w:vMerge w:val="restart"/>
          </w:tcPr>
          <w:p w14:paraId="49CF0DCD" w14:textId="77777777" w:rsidR="00ED7F06" w:rsidRDefault="007E6B9A">
            <w:pPr>
              <w:overflowPunct w:val="0"/>
              <w:autoSpaceDE w:val="0"/>
              <w:autoSpaceDN w:val="0"/>
              <w:adjustRightInd w:val="0"/>
              <w:spacing w:after="180"/>
              <w:rPr>
                <w:rFonts w:eastAsia="宋体"/>
              </w:rPr>
            </w:pPr>
            <w:r>
              <w:rPr>
                <w:rFonts w:eastAsia="宋体" w:hint="eastAsia"/>
                <w:color w:val="FF0000"/>
              </w:rPr>
              <w:t>No IDC reporting</w:t>
            </w:r>
          </w:p>
        </w:tc>
      </w:tr>
      <w:tr w:rsidR="00ED7F06" w14:paraId="4072736E" w14:textId="77777777" w:rsidTr="006243EA">
        <w:tc>
          <w:tcPr>
            <w:tcW w:w="1574" w:type="dxa"/>
            <w:vMerge/>
          </w:tcPr>
          <w:p w14:paraId="76249DD3" w14:textId="77777777" w:rsidR="00ED7F06" w:rsidRDefault="00ED7F06">
            <w:pPr>
              <w:overflowPunct w:val="0"/>
              <w:autoSpaceDE w:val="0"/>
              <w:autoSpaceDN w:val="0"/>
              <w:adjustRightInd w:val="0"/>
              <w:spacing w:after="180"/>
              <w:rPr>
                <w:rFonts w:eastAsia="宋体"/>
              </w:rPr>
            </w:pPr>
          </w:p>
        </w:tc>
        <w:tc>
          <w:tcPr>
            <w:tcW w:w="2674" w:type="dxa"/>
          </w:tcPr>
          <w:p w14:paraId="75C79F3C" w14:textId="15BD0572" w:rsidR="00ED7F06" w:rsidRDefault="007E6B9A" w:rsidP="007C4A36">
            <w:pPr>
              <w:overflowPunct w:val="0"/>
              <w:autoSpaceDE w:val="0"/>
              <w:autoSpaceDN w:val="0"/>
              <w:adjustRightInd w:val="0"/>
              <w:spacing w:after="180"/>
              <w:rPr>
                <w:rFonts w:eastAsia="宋体"/>
                <w:color w:val="FF0000"/>
              </w:rPr>
            </w:pPr>
            <w:r>
              <w:rPr>
                <w:rFonts w:eastAsia="宋体" w:hint="eastAsia"/>
                <w:color w:val="FF0000"/>
              </w:rPr>
              <w:t xml:space="preserve">No IDC reporting on </w:t>
            </w:r>
            <w:r w:rsidR="007C4A36">
              <w:rPr>
                <w:rFonts w:eastAsia="宋体" w:hint="eastAsia"/>
                <w:color w:val="FF0000"/>
              </w:rPr>
              <w:t>EUTRA</w:t>
            </w:r>
            <w:r>
              <w:rPr>
                <w:rFonts w:eastAsia="宋体" w:hint="eastAsia"/>
                <w:color w:val="FF0000"/>
              </w:rPr>
              <w:t xml:space="preserve"> single carrier</w:t>
            </w:r>
          </w:p>
        </w:tc>
        <w:tc>
          <w:tcPr>
            <w:tcW w:w="2977" w:type="dxa"/>
          </w:tcPr>
          <w:p w14:paraId="0634BD1B" w14:textId="0F869B9E" w:rsidR="00ED7F06" w:rsidRDefault="007E6B9A">
            <w:pPr>
              <w:overflowPunct w:val="0"/>
              <w:autoSpaceDE w:val="0"/>
              <w:autoSpaceDN w:val="0"/>
              <w:adjustRightInd w:val="0"/>
              <w:spacing w:after="180"/>
              <w:rPr>
                <w:rFonts w:eastAsia="宋体"/>
                <w:color w:val="FF0000"/>
              </w:rPr>
            </w:pPr>
            <w:r>
              <w:rPr>
                <w:rFonts w:eastAsia="宋体" w:hint="eastAsia"/>
                <w:color w:val="FF0000"/>
              </w:rPr>
              <w:t xml:space="preserve">NO IDC reporting that  caused by </w:t>
            </w:r>
            <w:r w:rsidR="007C4A36">
              <w:rPr>
                <w:rFonts w:eastAsia="宋体" w:hint="eastAsia"/>
                <w:color w:val="FF0000"/>
              </w:rPr>
              <w:t>EUTRA</w:t>
            </w:r>
            <w:r>
              <w:rPr>
                <w:rFonts w:eastAsia="宋体" w:hint="eastAsia"/>
                <w:color w:val="FF0000"/>
              </w:rPr>
              <w:t xml:space="preserve"> UL CA or DC</w:t>
            </w:r>
          </w:p>
        </w:tc>
        <w:tc>
          <w:tcPr>
            <w:tcW w:w="2546" w:type="dxa"/>
            <w:vMerge/>
          </w:tcPr>
          <w:p w14:paraId="30477579" w14:textId="77777777" w:rsidR="00ED7F06" w:rsidRDefault="00ED7F06">
            <w:pPr>
              <w:overflowPunct w:val="0"/>
              <w:autoSpaceDE w:val="0"/>
              <w:autoSpaceDN w:val="0"/>
              <w:adjustRightInd w:val="0"/>
              <w:spacing w:after="180"/>
              <w:rPr>
                <w:rFonts w:eastAsia="宋体"/>
              </w:rPr>
            </w:pPr>
          </w:p>
        </w:tc>
      </w:tr>
      <w:tr w:rsidR="00ED7F06" w14:paraId="30F93320" w14:textId="77777777" w:rsidTr="006243EA">
        <w:tc>
          <w:tcPr>
            <w:tcW w:w="9771" w:type="dxa"/>
            <w:gridSpan w:val="4"/>
          </w:tcPr>
          <w:p w14:paraId="01C31FF3" w14:textId="13903861" w:rsidR="00ED7F06" w:rsidRPr="006243EA" w:rsidRDefault="007E6B9A">
            <w:pPr>
              <w:overflowPunct w:val="0"/>
              <w:autoSpaceDE w:val="0"/>
              <w:autoSpaceDN w:val="0"/>
              <w:adjustRightInd w:val="0"/>
              <w:spacing w:after="180"/>
              <w:rPr>
                <w:rFonts w:eastAsia="宋体"/>
                <w:sz w:val="18"/>
                <w:szCs w:val="18"/>
              </w:rPr>
            </w:pPr>
            <w:r w:rsidRPr="006243EA">
              <w:rPr>
                <w:rFonts w:eastAsia="宋体" w:hint="eastAsia"/>
                <w:sz w:val="18"/>
                <w:szCs w:val="18"/>
              </w:rPr>
              <w:t xml:space="preserve">Note 1: For the case with </w:t>
            </w:r>
            <w:proofErr w:type="spellStart"/>
            <w:r w:rsidRPr="006243EA">
              <w:rPr>
                <w:rFonts w:eastAsia="宋体" w:hint="eastAsia"/>
                <w:sz w:val="18"/>
                <w:szCs w:val="18"/>
              </w:rPr>
              <w:t>eNB</w:t>
            </w:r>
            <w:proofErr w:type="spellEnd"/>
            <w:r w:rsidRPr="006243EA">
              <w:rPr>
                <w:rFonts w:eastAsia="宋体" w:hint="eastAsia"/>
                <w:sz w:val="18"/>
                <w:szCs w:val="18"/>
              </w:rPr>
              <w:t xml:space="preserve"> as network node, the UE can work at </w:t>
            </w:r>
            <w:r w:rsidR="007C4A36" w:rsidRPr="006243EA">
              <w:rPr>
                <w:rFonts w:eastAsia="宋体" w:hint="eastAsia"/>
                <w:sz w:val="18"/>
                <w:szCs w:val="18"/>
              </w:rPr>
              <w:t>EUTRA</w:t>
            </w:r>
            <w:r w:rsidRPr="006243EA">
              <w:rPr>
                <w:rFonts w:eastAsia="宋体" w:hint="eastAsia"/>
                <w:sz w:val="18"/>
                <w:szCs w:val="18"/>
              </w:rPr>
              <w:t xml:space="preserve"> single carrier, or </w:t>
            </w:r>
            <w:r w:rsidR="007C4A36" w:rsidRPr="006243EA">
              <w:rPr>
                <w:rFonts w:eastAsia="宋体" w:hint="eastAsia"/>
                <w:sz w:val="18"/>
                <w:szCs w:val="18"/>
              </w:rPr>
              <w:t>EUTRA</w:t>
            </w:r>
            <w:r w:rsidRPr="006243EA">
              <w:rPr>
                <w:rFonts w:eastAsia="宋体" w:hint="eastAsia"/>
                <w:sz w:val="18"/>
                <w:szCs w:val="18"/>
              </w:rPr>
              <w:t xml:space="preserve"> UL CA or (NG)EN-DC, for the case with </w:t>
            </w:r>
            <w:proofErr w:type="spellStart"/>
            <w:r w:rsidRPr="006243EA">
              <w:rPr>
                <w:rFonts w:eastAsia="宋体" w:hint="eastAsia"/>
                <w:sz w:val="18"/>
                <w:szCs w:val="18"/>
              </w:rPr>
              <w:t>gNB</w:t>
            </w:r>
            <w:proofErr w:type="spellEnd"/>
            <w:r w:rsidRPr="006243EA">
              <w:rPr>
                <w:rFonts w:eastAsia="宋体" w:hint="eastAsia"/>
                <w:sz w:val="18"/>
                <w:szCs w:val="18"/>
              </w:rPr>
              <w:t xml:space="preserve"> as network node, the UE can work at NR single carrier, or NR UL CA or NR-DC, NE-DC</w:t>
            </w:r>
          </w:p>
          <w:p w14:paraId="35AD70B7" w14:textId="6ABCF936" w:rsidR="00ED7F06" w:rsidRPr="006243EA" w:rsidRDefault="007E6B9A">
            <w:pPr>
              <w:overflowPunct w:val="0"/>
              <w:autoSpaceDE w:val="0"/>
              <w:autoSpaceDN w:val="0"/>
              <w:adjustRightInd w:val="0"/>
              <w:spacing w:after="180"/>
              <w:rPr>
                <w:rFonts w:eastAsia="宋体"/>
                <w:sz w:val="18"/>
                <w:szCs w:val="18"/>
              </w:rPr>
            </w:pPr>
            <w:r w:rsidRPr="006243EA">
              <w:rPr>
                <w:rFonts w:eastAsia="宋体" w:hint="eastAsia"/>
                <w:sz w:val="18"/>
                <w:szCs w:val="18"/>
              </w:rPr>
              <w:t>Note 2: Though the current signaling can support NR single car</w:t>
            </w:r>
            <w:r w:rsidR="006243EA" w:rsidRPr="006243EA">
              <w:rPr>
                <w:rFonts w:eastAsia="宋体" w:hint="eastAsia"/>
                <w:sz w:val="18"/>
                <w:szCs w:val="18"/>
              </w:rPr>
              <w:t xml:space="preserve">rier/NR UL CA reporting to the </w:t>
            </w:r>
            <w:proofErr w:type="spellStart"/>
            <w:r w:rsidR="006243EA" w:rsidRPr="006243EA">
              <w:rPr>
                <w:rFonts w:eastAsia="宋体"/>
                <w:sz w:val="18"/>
                <w:szCs w:val="18"/>
              </w:rPr>
              <w:t>e</w:t>
            </w:r>
            <w:r w:rsidRPr="006243EA">
              <w:rPr>
                <w:rFonts w:eastAsia="宋体" w:hint="eastAsia"/>
                <w:sz w:val="18"/>
                <w:szCs w:val="18"/>
              </w:rPr>
              <w:t>NB</w:t>
            </w:r>
            <w:proofErr w:type="spellEnd"/>
            <w:r w:rsidRPr="006243EA">
              <w:rPr>
                <w:rFonts w:eastAsia="宋体" w:hint="eastAsia"/>
                <w:sz w:val="18"/>
                <w:szCs w:val="18"/>
              </w:rPr>
              <w:t xml:space="preserve"> for the EN-DC case, the trigger condition in 36331 as below may not be </w:t>
            </w:r>
            <w:r w:rsidR="006243EA" w:rsidRPr="006243EA">
              <w:rPr>
                <w:rFonts w:eastAsia="宋体"/>
                <w:sz w:val="18"/>
                <w:szCs w:val="18"/>
              </w:rPr>
              <w:t>satisfied</w:t>
            </w:r>
            <w:r w:rsidRPr="006243EA">
              <w:rPr>
                <w:rFonts w:eastAsia="宋体" w:hint="eastAsia"/>
                <w:sz w:val="18"/>
                <w:szCs w:val="18"/>
              </w:rPr>
              <w:t xml:space="preserve"> if the IDC is only caused by NR single cc or NR </w:t>
            </w:r>
            <w:r w:rsidR="006243EA" w:rsidRPr="006243EA">
              <w:rPr>
                <w:rFonts w:eastAsia="宋体"/>
                <w:sz w:val="18"/>
                <w:szCs w:val="18"/>
              </w:rPr>
              <w:t>CA</w:t>
            </w:r>
            <w:r w:rsidRPr="006243EA">
              <w:rPr>
                <w:rFonts w:eastAsia="宋体" w:hint="eastAsia"/>
                <w:sz w:val="18"/>
                <w:szCs w:val="18"/>
              </w:rPr>
              <w:t>:</w:t>
            </w:r>
          </w:p>
          <w:p w14:paraId="59C9E23D" w14:textId="77777777" w:rsidR="00ED7F06" w:rsidRDefault="007E6B9A">
            <w:pPr>
              <w:overflowPunct w:val="0"/>
              <w:autoSpaceDE w:val="0"/>
              <w:autoSpaceDN w:val="0"/>
              <w:adjustRightInd w:val="0"/>
              <w:spacing w:after="180"/>
              <w:rPr>
                <w:rFonts w:eastAsia="宋体"/>
              </w:rPr>
            </w:pPr>
            <w:r w:rsidRPr="006243EA">
              <w:rPr>
                <w:rFonts w:eastAsia="Times New Roman"/>
                <w:i/>
                <w:iCs/>
                <w:sz w:val="18"/>
                <w:szCs w:val="18"/>
                <w:lang w:val="en-GB"/>
              </w:rPr>
              <w:t xml:space="preserve">if configured to provide IDC indications for MR-DC, and if on one or more supported MR-DC combination </w:t>
            </w:r>
            <w:r w:rsidRPr="006243EA">
              <w:rPr>
                <w:rFonts w:eastAsia="Times New Roman"/>
                <w:i/>
                <w:iCs/>
                <w:color w:val="FF0000"/>
                <w:sz w:val="18"/>
                <w:szCs w:val="18"/>
                <w:lang w:val="en-GB"/>
              </w:rPr>
              <w:t xml:space="preserve">comprising of at least one E-UTRA carrier frequency for which a measurement object is configured and at least one NR carrier frequency included in </w:t>
            </w:r>
            <w:proofErr w:type="spellStart"/>
            <w:r w:rsidRPr="006243EA">
              <w:rPr>
                <w:rFonts w:eastAsia="Times New Roman"/>
                <w:i/>
                <w:iCs/>
                <w:color w:val="FF0000"/>
                <w:sz w:val="18"/>
                <w:szCs w:val="18"/>
                <w:lang w:val="en-GB"/>
              </w:rPr>
              <w:t>candidateServingFreqListNR</w:t>
            </w:r>
            <w:proofErr w:type="spellEnd"/>
            <w:r w:rsidRPr="006243EA">
              <w:rPr>
                <w:rFonts w:eastAsia="Times New Roman"/>
                <w:i/>
                <w:iCs/>
                <w:color w:val="FF0000"/>
                <w:sz w:val="18"/>
                <w:szCs w:val="18"/>
                <w:lang w:val="en-GB"/>
              </w:rPr>
              <w:t>,</w:t>
            </w:r>
          </w:p>
        </w:tc>
      </w:tr>
    </w:tbl>
    <w:p w14:paraId="02E7ABBF" w14:textId="47B75F7A" w:rsidR="006B0675" w:rsidRDefault="007E6B9A" w:rsidP="002D32AF">
      <w:r>
        <w:rPr>
          <w:rFonts w:hint="eastAsia"/>
        </w:rPr>
        <w:t xml:space="preserve">Based on the Table 1, </w:t>
      </w:r>
      <w:r w:rsidR="006B0675">
        <w:t>we can get the below two observations:</w:t>
      </w:r>
    </w:p>
    <w:p w14:paraId="5AAECBCA" w14:textId="74C7D05C" w:rsidR="006B0675" w:rsidRDefault="006B0675" w:rsidP="006B0675">
      <w:pPr>
        <w:rPr>
          <w:b/>
          <w:bCs/>
        </w:rPr>
      </w:pPr>
      <w:r w:rsidRPr="006B0675">
        <w:rPr>
          <w:b/>
        </w:rPr>
        <w:t>Observation 1</w:t>
      </w:r>
      <w:r>
        <w:rPr>
          <w:b/>
        </w:rPr>
        <w:t>:</w:t>
      </w:r>
      <w:r w:rsidRPr="006B0675">
        <w:rPr>
          <w:b/>
          <w:bCs/>
        </w:rPr>
        <w:t xml:space="preserve"> F</w:t>
      </w:r>
      <w:r w:rsidRPr="006B0675">
        <w:rPr>
          <w:rFonts w:hint="eastAsia"/>
          <w:b/>
        </w:rPr>
        <w:t>or the case</w:t>
      </w:r>
      <w:r w:rsidRPr="006B0675">
        <w:rPr>
          <w:b/>
        </w:rPr>
        <w:t xml:space="preserve"> with </w:t>
      </w:r>
      <w:proofErr w:type="spellStart"/>
      <w:r w:rsidRPr="006B0675">
        <w:rPr>
          <w:b/>
        </w:rPr>
        <w:t>gNB</w:t>
      </w:r>
      <w:proofErr w:type="spellEnd"/>
      <w:r w:rsidRPr="006B0675">
        <w:rPr>
          <w:b/>
        </w:rPr>
        <w:t xml:space="preserve"> as network node (e.g. </w:t>
      </w:r>
      <w:r w:rsidRPr="006B0675">
        <w:rPr>
          <w:rFonts w:hint="eastAsia"/>
          <w:b/>
        </w:rPr>
        <w:t>the UE is working at NR single carrier, NR UL CA, NR-DC or NE-DC</w:t>
      </w:r>
      <w:r w:rsidRPr="006B0675">
        <w:rPr>
          <w:b/>
        </w:rPr>
        <w:t>)</w:t>
      </w:r>
      <w:r w:rsidRPr="006B0675">
        <w:rPr>
          <w:rFonts w:hint="eastAsia"/>
          <w:b/>
        </w:rPr>
        <w:t>,</w:t>
      </w:r>
      <w:r>
        <w:rPr>
          <w:rFonts w:hint="eastAsia"/>
          <w:b/>
          <w:bCs/>
        </w:rPr>
        <w:t xml:space="preserve"> </w:t>
      </w:r>
      <w:r>
        <w:rPr>
          <w:b/>
          <w:bCs/>
        </w:rPr>
        <w:t>the current spec doesn’t support the</w:t>
      </w:r>
      <w:r>
        <w:rPr>
          <w:rFonts w:hint="eastAsia"/>
          <w:b/>
          <w:bCs/>
        </w:rPr>
        <w:t xml:space="preserve"> IDC interference with the EUTRA carrier </w:t>
      </w:r>
      <w:r>
        <w:rPr>
          <w:b/>
          <w:bCs/>
        </w:rPr>
        <w:lastRenderedPageBreak/>
        <w:t>(inc</w:t>
      </w:r>
      <w:r>
        <w:rPr>
          <w:rFonts w:hint="eastAsia"/>
          <w:b/>
          <w:bCs/>
        </w:rPr>
        <w:t>luding EUTRA single carrier, EUTRA UL CA and NR-EUTRA band combination</w:t>
      </w:r>
      <w:r>
        <w:rPr>
          <w:b/>
          <w:bCs/>
        </w:rPr>
        <w:t xml:space="preserve">) </w:t>
      </w:r>
      <w:r w:rsidR="00981E5E">
        <w:rPr>
          <w:b/>
          <w:bCs/>
        </w:rPr>
        <w:t xml:space="preserve">reporting </w:t>
      </w:r>
      <w:bookmarkStart w:id="2" w:name="_GoBack"/>
      <w:bookmarkEnd w:id="2"/>
      <w:r>
        <w:rPr>
          <w:rFonts w:hint="eastAsia"/>
          <w:b/>
          <w:bCs/>
        </w:rPr>
        <w:t xml:space="preserve">to the </w:t>
      </w:r>
      <w:proofErr w:type="spellStart"/>
      <w:r>
        <w:rPr>
          <w:rFonts w:hint="eastAsia"/>
          <w:b/>
          <w:bCs/>
        </w:rPr>
        <w:t>gNB</w:t>
      </w:r>
      <w:proofErr w:type="spellEnd"/>
      <w:r>
        <w:rPr>
          <w:rFonts w:hint="eastAsia"/>
          <w:b/>
          <w:bCs/>
        </w:rPr>
        <w:t xml:space="preserve"> node</w:t>
      </w:r>
      <w:r>
        <w:rPr>
          <w:b/>
          <w:bCs/>
        </w:rPr>
        <w:t>.</w:t>
      </w:r>
    </w:p>
    <w:p w14:paraId="2E855727" w14:textId="1F819264" w:rsidR="006B0675" w:rsidRPr="006B0675" w:rsidRDefault="006B0675" w:rsidP="006B0675">
      <w:pPr>
        <w:rPr>
          <w:b/>
        </w:rPr>
      </w:pPr>
      <w:r w:rsidRPr="006B0675">
        <w:rPr>
          <w:b/>
        </w:rPr>
        <w:t xml:space="preserve">Observation 2: For </w:t>
      </w:r>
      <w:r w:rsidRPr="006B0675">
        <w:rPr>
          <w:rFonts w:hint="eastAsia"/>
          <w:b/>
        </w:rPr>
        <w:t>the case</w:t>
      </w:r>
      <w:r w:rsidRPr="006B0675">
        <w:rPr>
          <w:b/>
        </w:rPr>
        <w:t xml:space="preserve"> with </w:t>
      </w:r>
      <w:proofErr w:type="spellStart"/>
      <w:r w:rsidRPr="006B0675">
        <w:rPr>
          <w:b/>
        </w:rPr>
        <w:t>eNB</w:t>
      </w:r>
      <w:proofErr w:type="spellEnd"/>
      <w:r w:rsidRPr="006B0675">
        <w:rPr>
          <w:b/>
        </w:rPr>
        <w:t xml:space="preserve"> as network node (e.g. </w:t>
      </w:r>
      <w:r w:rsidRPr="006B0675">
        <w:rPr>
          <w:rFonts w:hint="eastAsia"/>
          <w:b/>
        </w:rPr>
        <w:t xml:space="preserve">the UE is working at </w:t>
      </w:r>
      <w:r w:rsidRPr="006B0675">
        <w:rPr>
          <w:rFonts w:eastAsia="宋体" w:hint="eastAsia"/>
          <w:b/>
          <w:bCs/>
        </w:rPr>
        <w:t>EUTRA single carrier, or EUTRA UL CA or (NG)EN-DC</w:t>
      </w:r>
      <w:r w:rsidRPr="006B0675">
        <w:rPr>
          <w:b/>
        </w:rPr>
        <w:t>)</w:t>
      </w:r>
      <w:r w:rsidRPr="006B0675">
        <w:rPr>
          <w:rFonts w:hint="eastAsia"/>
          <w:b/>
        </w:rPr>
        <w:t>,</w:t>
      </w:r>
      <w:r w:rsidRPr="006B0675">
        <w:rPr>
          <w:b/>
        </w:rPr>
        <w:t xml:space="preserve"> it’s not clear whether the UE would report the IDC interference with NR carrier (including </w:t>
      </w:r>
      <w:r w:rsidRPr="006B0675">
        <w:rPr>
          <w:rFonts w:hint="eastAsia"/>
          <w:b/>
          <w:bCs/>
        </w:rPr>
        <w:t>NR single carrier or NR CA</w:t>
      </w:r>
      <w:r w:rsidRPr="006B0675">
        <w:rPr>
          <w:b/>
          <w:bCs/>
        </w:rPr>
        <w:t>/DC</w:t>
      </w:r>
      <w:r w:rsidRPr="006B0675">
        <w:rPr>
          <w:b/>
        </w:rPr>
        <w:t xml:space="preserve">) to the </w:t>
      </w:r>
      <w:proofErr w:type="spellStart"/>
      <w:r w:rsidRPr="006B0675">
        <w:rPr>
          <w:b/>
        </w:rPr>
        <w:t>eNB</w:t>
      </w:r>
      <w:proofErr w:type="spellEnd"/>
      <w:r w:rsidRPr="006B0675">
        <w:rPr>
          <w:b/>
        </w:rPr>
        <w:t xml:space="preserve"> node with the current spec</w:t>
      </w:r>
      <w:r w:rsidR="00130A6C">
        <w:rPr>
          <w:b/>
        </w:rPr>
        <w:t>.</w:t>
      </w:r>
    </w:p>
    <w:p w14:paraId="1D03115D" w14:textId="02C1EA9B" w:rsidR="00130A6C" w:rsidRPr="00130A6C" w:rsidRDefault="007E6B9A">
      <w:r>
        <w:rPr>
          <w:rFonts w:hint="eastAsia"/>
        </w:rPr>
        <w:t xml:space="preserve">Considering that the UE may handover between </w:t>
      </w:r>
      <w:r w:rsidR="007C4A36">
        <w:rPr>
          <w:rFonts w:hint="eastAsia"/>
        </w:rPr>
        <w:t>EUTRA</w:t>
      </w:r>
      <w:r>
        <w:rPr>
          <w:rFonts w:hint="eastAsia"/>
        </w:rPr>
        <w:t xml:space="preserve"> and NR, for the case</w:t>
      </w:r>
      <w:r w:rsidR="000B46A5">
        <w:t xml:space="preserve"> with </w:t>
      </w:r>
      <w:proofErr w:type="spellStart"/>
      <w:r w:rsidR="000B46A5">
        <w:t>gNB</w:t>
      </w:r>
      <w:proofErr w:type="spellEnd"/>
      <w:r w:rsidR="000B46A5">
        <w:t xml:space="preserve"> as network node (e.g. </w:t>
      </w:r>
      <w:r>
        <w:rPr>
          <w:rFonts w:hint="eastAsia"/>
        </w:rPr>
        <w:t>the UE is working at NR single carrier, NR UL CA, NR-DC or NE-DC</w:t>
      </w:r>
      <w:r w:rsidR="000B46A5">
        <w:t>)</w:t>
      </w:r>
      <w:r>
        <w:rPr>
          <w:rFonts w:hint="eastAsia"/>
        </w:rPr>
        <w:t xml:space="preserve">, if the network has configured </w:t>
      </w:r>
      <w:r w:rsidR="007C4A36">
        <w:rPr>
          <w:rFonts w:hint="eastAsia"/>
        </w:rPr>
        <w:t>EUTRA</w:t>
      </w:r>
      <w:r>
        <w:rPr>
          <w:rFonts w:hint="eastAsia"/>
        </w:rPr>
        <w:t xml:space="preserve"> measurement ob</w:t>
      </w:r>
      <w:r w:rsidR="006243EA">
        <w:rPr>
          <w:rFonts w:hint="eastAsia"/>
        </w:rPr>
        <w:t>jects, the UE can also report</w:t>
      </w:r>
      <w:r>
        <w:rPr>
          <w:rFonts w:hint="eastAsia"/>
        </w:rPr>
        <w:t xml:space="preserve"> the IDC interference that affected by the frequency for which a measurement object is configured.</w:t>
      </w:r>
      <w:r w:rsidR="000B46A5">
        <w:t xml:space="preserve"> Similarly, </w:t>
      </w:r>
      <w:r w:rsidR="006B0675">
        <w:t>f</w:t>
      </w:r>
      <w:r w:rsidR="000B46A5">
        <w:rPr>
          <w:rFonts w:hint="eastAsia"/>
        </w:rPr>
        <w:t>or t</w:t>
      </w:r>
      <w:r w:rsidR="000B46A5" w:rsidRPr="000B46A5">
        <w:rPr>
          <w:rFonts w:hint="eastAsia"/>
        </w:rPr>
        <w:t>he case</w:t>
      </w:r>
      <w:r w:rsidR="000B46A5" w:rsidRPr="000B46A5">
        <w:t xml:space="preserve"> with </w:t>
      </w:r>
      <w:proofErr w:type="spellStart"/>
      <w:r w:rsidR="000B46A5" w:rsidRPr="000B46A5">
        <w:t>eNB</w:t>
      </w:r>
      <w:proofErr w:type="spellEnd"/>
      <w:r w:rsidR="000B46A5" w:rsidRPr="000B46A5">
        <w:t xml:space="preserve"> as network node (e.g. </w:t>
      </w:r>
      <w:r w:rsidR="000B46A5" w:rsidRPr="000B46A5">
        <w:rPr>
          <w:rFonts w:hint="eastAsia"/>
        </w:rPr>
        <w:t xml:space="preserve">the UE is working at </w:t>
      </w:r>
      <w:r w:rsidR="000B46A5" w:rsidRPr="000B46A5">
        <w:rPr>
          <w:rFonts w:eastAsia="宋体" w:hint="eastAsia"/>
          <w:bCs/>
        </w:rPr>
        <w:t>EUTRA single carrier, or EUTRA UL CA or (NG</w:t>
      </w:r>
      <w:proofErr w:type="gramStart"/>
      <w:r w:rsidR="000B46A5" w:rsidRPr="000B46A5">
        <w:rPr>
          <w:rFonts w:eastAsia="宋体" w:hint="eastAsia"/>
          <w:bCs/>
        </w:rPr>
        <w:t>)EN</w:t>
      </w:r>
      <w:proofErr w:type="gramEnd"/>
      <w:r w:rsidR="000B46A5" w:rsidRPr="000B46A5">
        <w:rPr>
          <w:rFonts w:eastAsia="宋体" w:hint="eastAsia"/>
          <w:bCs/>
        </w:rPr>
        <w:t>-DC</w:t>
      </w:r>
      <w:r w:rsidR="000B46A5" w:rsidRPr="000B46A5">
        <w:t>)</w:t>
      </w:r>
      <w:r w:rsidR="000B46A5" w:rsidRPr="000B46A5">
        <w:rPr>
          <w:rFonts w:hint="eastAsia"/>
        </w:rPr>
        <w:t xml:space="preserve">, </w:t>
      </w:r>
      <w:r w:rsidR="000B46A5">
        <w:t>the network can also ask the UE to report the IDC that caused by NR (e.g. NR single carrier, NR CA/DC).</w:t>
      </w:r>
      <w:r w:rsidR="006B0675">
        <w:t xml:space="preserve"> Furthermore in the WID, it also </w:t>
      </w:r>
      <w:r w:rsidR="00130A6C">
        <w:t>mentioned that “</w:t>
      </w:r>
      <w:r w:rsidR="00130A6C" w:rsidRPr="00CD6619">
        <w:t xml:space="preserve">This WI expects to address </w:t>
      </w:r>
      <w:r w:rsidR="00130A6C">
        <w:t>i</w:t>
      </w:r>
      <w:r w:rsidR="00130A6C" w:rsidRPr="00CD6619">
        <w:t xml:space="preserve">nterference between 3GPP (including various MR-DC architectures, i.e. NR-DC and EN-DC) and </w:t>
      </w:r>
      <w:r w:rsidR="00130A6C">
        <w:t>non-3GPP</w:t>
      </w:r>
      <w:r w:rsidR="00130A6C" w:rsidRPr="00CD6619">
        <w:t xml:space="preserve"> RAT (e.g. </w:t>
      </w:r>
      <w:proofErr w:type="spellStart"/>
      <w:r w:rsidR="00130A6C" w:rsidRPr="00CD6619">
        <w:t>WiFi</w:t>
      </w:r>
      <w:proofErr w:type="spellEnd"/>
      <w:r w:rsidR="00130A6C" w:rsidRPr="00CD6619">
        <w:t>).</w:t>
      </w:r>
      <w:r w:rsidR="00130A6C">
        <w:t>”, thus it’s suggest to including various IDC interference reporting.</w:t>
      </w:r>
    </w:p>
    <w:p w14:paraId="4FC1DEE9" w14:textId="5581917C" w:rsidR="000B46A5" w:rsidRDefault="000B46A5">
      <w:pPr>
        <w:rPr>
          <w:b/>
        </w:rPr>
      </w:pPr>
      <w:r>
        <w:rPr>
          <w:b/>
        </w:rPr>
        <w:t>Proposal 1</w:t>
      </w:r>
      <w:r w:rsidRPr="000B46A5">
        <w:rPr>
          <w:rFonts w:hint="eastAsia"/>
          <w:b/>
        </w:rPr>
        <w:t>：</w:t>
      </w:r>
      <w:r w:rsidR="00130A6C">
        <w:rPr>
          <w:rFonts w:hint="eastAsia"/>
          <w:b/>
        </w:rPr>
        <w:t>B</w:t>
      </w:r>
      <w:r w:rsidR="00130A6C">
        <w:rPr>
          <w:b/>
        </w:rPr>
        <w:t>esides the legacy IDC FDM reporting type, s</w:t>
      </w:r>
      <w:r w:rsidR="006B0675">
        <w:rPr>
          <w:b/>
        </w:rPr>
        <w:t xml:space="preserve">upport the below </w:t>
      </w:r>
      <w:r w:rsidR="00130A6C">
        <w:rPr>
          <w:b/>
        </w:rPr>
        <w:t xml:space="preserve">FDM </w:t>
      </w:r>
      <w:r w:rsidR="006B0675">
        <w:rPr>
          <w:b/>
        </w:rPr>
        <w:t>IDC reporting in the Rel-18:</w:t>
      </w:r>
    </w:p>
    <w:p w14:paraId="05090FB1" w14:textId="329EF457" w:rsidR="006B0675" w:rsidRPr="00130A6C" w:rsidRDefault="006B0675" w:rsidP="00130A6C">
      <w:pPr>
        <w:pStyle w:val="afe"/>
        <w:numPr>
          <w:ilvl w:val="0"/>
          <w:numId w:val="10"/>
        </w:numPr>
        <w:ind w:firstLineChars="0"/>
        <w:rPr>
          <w:b/>
        </w:rPr>
      </w:pPr>
      <w:r w:rsidRPr="00130A6C">
        <w:rPr>
          <w:b/>
          <w:bCs/>
        </w:rPr>
        <w:t>F</w:t>
      </w:r>
      <w:r w:rsidRPr="00130A6C">
        <w:rPr>
          <w:rFonts w:hint="eastAsia"/>
          <w:b/>
        </w:rPr>
        <w:t>or the case</w:t>
      </w:r>
      <w:r w:rsidRPr="00130A6C">
        <w:rPr>
          <w:b/>
        </w:rPr>
        <w:t xml:space="preserve"> with </w:t>
      </w:r>
      <w:proofErr w:type="spellStart"/>
      <w:r w:rsidRPr="00130A6C">
        <w:rPr>
          <w:b/>
        </w:rPr>
        <w:t>gNB</w:t>
      </w:r>
      <w:proofErr w:type="spellEnd"/>
      <w:r w:rsidRPr="00130A6C">
        <w:rPr>
          <w:b/>
        </w:rPr>
        <w:t xml:space="preserve"> as network node (e.g. </w:t>
      </w:r>
      <w:r w:rsidRPr="00130A6C">
        <w:rPr>
          <w:rFonts w:hint="eastAsia"/>
          <w:b/>
        </w:rPr>
        <w:t>the UE is working at NR single carrier, NR UL CA, NR-DC or NE-DC</w:t>
      </w:r>
      <w:r w:rsidRPr="00130A6C">
        <w:rPr>
          <w:b/>
        </w:rPr>
        <w:t>)</w:t>
      </w:r>
      <w:r w:rsidRPr="00130A6C">
        <w:rPr>
          <w:rFonts w:hint="eastAsia"/>
          <w:b/>
        </w:rPr>
        <w:t>,</w:t>
      </w:r>
      <w:r w:rsidRPr="00130A6C">
        <w:rPr>
          <w:rFonts w:hint="eastAsia"/>
          <w:b/>
          <w:bCs/>
        </w:rPr>
        <w:t xml:space="preserve"> </w:t>
      </w:r>
      <w:r w:rsidR="00130A6C" w:rsidRPr="00130A6C">
        <w:rPr>
          <w:b/>
          <w:bCs/>
        </w:rPr>
        <w:t xml:space="preserve">support </w:t>
      </w:r>
      <w:r w:rsidRPr="00130A6C">
        <w:rPr>
          <w:b/>
          <w:bCs/>
        </w:rPr>
        <w:t>the</w:t>
      </w:r>
      <w:r w:rsidRPr="00130A6C">
        <w:rPr>
          <w:rFonts w:hint="eastAsia"/>
          <w:b/>
          <w:bCs/>
        </w:rPr>
        <w:t xml:space="preserve"> IDC interference with the EUTRA carrier </w:t>
      </w:r>
      <w:r w:rsidRPr="00130A6C">
        <w:rPr>
          <w:b/>
          <w:bCs/>
        </w:rPr>
        <w:t>(inc</w:t>
      </w:r>
      <w:r w:rsidRPr="00130A6C">
        <w:rPr>
          <w:rFonts w:hint="eastAsia"/>
          <w:b/>
          <w:bCs/>
        </w:rPr>
        <w:t>luding EUTRA single carrier, EUTRA UL CA and NR-EUTRA band combination</w:t>
      </w:r>
      <w:r w:rsidRPr="00130A6C">
        <w:rPr>
          <w:b/>
          <w:bCs/>
        </w:rPr>
        <w:t xml:space="preserve">) </w:t>
      </w:r>
      <w:r w:rsidR="00130A6C" w:rsidRPr="00130A6C">
        <w:rPr>
          <w:b/>
          <w:bCs/>
        </w:rPr>
        <w:t xml:space="preserve">reporting </w:t>
      </w:r>
      <w:r w:rsidRPr="00130A6C">
        <w:rPr>
          <w:rFonts w:hint="eastAsia"/>
          <w:b/>
          <w:bCs/>
        </w:rPr>
        <w:t xml:space="preserve">to the </w:t>
      </w:r>
      <w:proofErr w:type="spellStart"/>
      <w:r w:rsidRPr="00130A6C">
        <w:rPr>
          <w:rFonts w:hint="eastAsia"/>
          <w:b/>
          <w:bCs/>
        </w:rPr>
        <w:t>gNB</w:t>
      </w:r>
      <w:proofErr w:type="spellEnd"/>
      <w:r w:rsidRPr="00130A6C">
        <w:rPr>
          <w:rFonts w:hint="eastAsia"/>
          <w:b/>
          <w:bCs/>
        </w:rPr>
        <w:t xml:space="preserve"> node</w:t>
      </w:r>
      <w:r w:rsidRPr="00130A6C">
        <w:rPr>
          <w:b/>
          <w:bCs/>
        </w:rPr>
        <w:t>.</w:t>
      </w:r>
    </w:p>
    <w:p w14:paraId="7F768861" w14:textId="65882C6A" w:rsidR="00130A6C" w:rsidRPr="00130A6C" w:rsidRDefault="00130A6C" w:rsidP="00130A6C">
      <w:pPr>
        <w:pStyle w:val="afe"/>
        <w:numPr>
          <w:ilvl w:val="0"/>
          <w:numId w:val="10"/>
        </w:numPr>
        <w:ind w:firstLineChars="0"/>
        <w:rPr>
          <w:b/>
        </w:rPr>
      </w:pPr>
      <w:r w:rsidRPr="00130A6C">
        <w:rPr>
          <w:b/>
        </w:rPr>
        <w:t xml:space="preserve">For </w:t>
      </w:r>
      <w:r w:rsidRPr="00130A6C">
        <w:rPr>
          <w:rFonts w:hint="eastAsia"/>
          <w:b/>
        </w:rPr>
        <w:t>the case</w:t>
      </w:r>
      <w:r w:rsidRPr="00130A6C">
        <w:rPr>
          <w:b/>
        </w:rPr>
        <w:t xml:space="preserve"> with </w:t>
      </w:r>
      <w:proofErr w:type="spellStart"/>
      <w:r w:rsidRPr="00130A6C">
        <w:rPr>
          <w:b/>
        </w:rPr>
        <w:t>eNB</w:t>
      </w:r>
      <w:proofErr w:type="spellEnd"/>
      <w:r w:rsidRPr="00130A6C">
        <w:rPr>
          <w:b/>
        </w:rPr>
        <w:t xml:space="preserve"> as network node (e.g. </w:t>
      </w:r>
      <w:r w:rsidRPr="00130A6C">
        <w:rPr>
          <w:rFonts w:hint="eastAsia"/>
          <w:b/>
        </w:rPr>
        <w:t xml:space="preserve">the UE is working at </w:t>
      </w:r>
      <w:r w:rsidRPr="00130A6C">
        <w:rPr>
          <w:rFonts w:eastAsia="宋体" w:hint="eastAsia"/>
          <w:b/>
          <w:bCs/>
        </w:rPr>
        <w:t>EUTRA single carrier, or EUTRA UL CA or (NG</w:t>
      </w:r>
      <w:proofErr w:type="gramStart"/>
      <w:r w:rsidRPr="00130A6C">
        <w:rPr>
          <w:rFonts w:eastAsia="宋体" w:hint="eastAsia"/>
          <w:b/>
          <w:bCs/>
        </w:rPr>
        <w:t>)EN</w:t>
      </w:r>
      <w:proofErr w:type="gramEnd"/>
      <w:r w:rsidRPr="00130A6C">
        <w:rPr>
          <w:rFonts w:eastAsia="宋体" w:hint="eastAsia"/>
          <w:b/>
          <w:bCs/>
        </w:rPr>
        <w:t>-DC</w:t>
      </w:r>
      <w:r w:rsidRPr="00130A6C">
        <w:rPr>
          <w:b/>
        </w:rPr>
        <w:t>)</w:t>
      </w:r>
      <w:r w:rsidRPr="00130A6C">
        <w:rPr>
          <w:rFonts w:hint="eastAsia"/>
          <w:b/>
        </w:rPr>
        <w:t>,</w:t>
      </w:r>
      <w:r w:rsidRPr="00130A6C">
        <w:rPr>
          <w:b/>
        </w:rPr>
        <w:t xml:space="preserve"> support the IDC interference with NR carrier (including </w:t>
      </w:r>
      <w:r w:rsidRPr="00130A6C">
        <w:rPr>
          <w:rFonts w:hint="eastAsia"/>
          <w:b/>
          <w:bCs/>
        </w:rPr>
        <w:t>NR single carrier or NR CA</w:t>
      </w:r>
      <w:r w:rsidRPr="00130A6C">
        <w:rPr>
          <w:b/>
          <w:bCs/>
        </w:rPr>
        <w:t>/DC</w:t>
      </w:r>
      <w:r w:rsidRPr="00130A6C">
        <w:rPr>
          <w:b/>
        </w:rPr>
        <w:t xml:space="preserve">) reporting to the </w:t>
      </w:r>
      <w:proofErr w:type="spellStart"/>
      <w:r w:rsidRPr="00130A6C">
        <w:rPr>
          <w:b/>
        </w:rPr>
        <w:t>eNB</w:t>
      </w:r>
      <w:proofErr w:type="spellEnd"/>
      <w:r w:rsidRPr="00130A6C">
        <w:rPr>
          <w:b/>
        </w:rPr>
        <w:t xml:space="preserve"> node.</w:t>
      </w:r>
    </w:p>
    <w:p w14:paraId="5AFE1828" w14:textId="565FC1C0" w:rsidR="00ED7F06" w:rsidRDefault="007E6B9A">
      <w:pPr>
        <w:pStyle w:val="2"/>
        <w:tabs>
          <w:tab w:val="left" w:pos="6266"/>
        </w:tabs>
        <w:ind w:left="576" w:hanging="576"/>
        <w:rPr>
          <w:rFonts w:eastAsia="宋体" w:cs="Arial"/>
          <w:b w:val="0"/>
          <w:bCs w:val="0"/>
          <w:color w:val="000000"/>
          <w:szCs w:val="22"/>
          <w:lang w:val="en-US"/>
        </w:rPr>
      </w:pPr>
      <w:r>
        <w:rPr>
          <w:rFonts w:eastAsia="宋体" w:cs="Arial" w:hint="eastAsia"/>
          <w:b w:val="0"/>
          <w:bCs w:val="0"/>
          <w:color w:val="000000"/>
          <w:szCs w:val="22"/>
          <w:lang w:val="en-US"/>
        </w:rPr>
        <w:t xml:space="preserve">2.2 TDM </w:t>
      </w:r>
      <w:r w:rsidR="0082272B">
        <w:rPr>
          <w:rFonts w:eastAsia="宋体" w:cs="Arial"/>
          <w:b w:val="0"/>
          <w:bCs w:val="0"/>
          <w:color w:val="000000"/>
          <w:szCs w:val="22"/>
          <w:lang w:val="en-US"/>
        </w:rPr>
        <w:t>Introduction</w:t>
      </w:r>
    </w:p>
    <w:p w14:paraId="60F1AB91" w14:textId="178E0EEE" w:rsidR="00ED7F06" w:rsidRPr="00130A6C" w:rsidRDefault="007E6B9A" w:rsidP="00130A6C">
      <w:r>
        <w:rPr>
          <w:rFonts w:hint="eastAsia"/>
        </w:rPr>
        <w:t xml:space="preserve">For the TDM </w:t>
      </w:r>
      <w:r w:rsidR="0082272B">
        <w:t>introduction</w:t>
      </w:r>
      <w:r>
        <w:rPr>
          <w:rFonts w:hint="eastAsia"/>
        </w:rPr>
        <w:t>, it would be seen as complementary to the FDM according to the WID.</w:t>
      </w:r>
    </w:p>
    <w:tbl>
      <w:tblPr>
        <w:tblStyle w:val="af5"/>
        <w:tblW w:w="0" w:type="auto"/>
        <w:tblLook w:val="04A0" w:firstRow="1" w:lastRow="0" w:firstColumn="1" w:lastColumn="0" w:noHBand="0" w:noVBand="1"/>
      </w:tblPr>
      <w:tblGrid>
        <w:gridCol w:w="9771"/>
      </w:tblGrid>
      <w:tr w:rsidR="00ED7F06" w14:paraId="1331FF10" w14:textId="77777777">
        <w:tc>
          <w:tcPr>
            <w:tcW w:w="9854" w:type="dxa"/>
          </w:tcPr>
          <w:p w14:paraId="324FCF3D" w14:textId="77777777" w:rsidR="00ED7F06" w:rsidRDefault="007E6B9A">
            <w:pPr>
              <w:rPr>
                <w:highlight w:val="yellow"/>
              </w:rPr>
            </w:pPr>
            <w:r>
              <w:t xml:space="preserve">Introducing a TDM solution would make it possible to handle scenarios for which alternative non-interfered frequencies are not available. </w:t>
            </w:r>
            <w:r>
              <w:rPr>
                <w:highlight w:val="yellow"/>
              </w:rPr>
              <w:t>The TDM solution may be used to avoid the interference caused by simultaneous uplink transmission on the UL frequencies to non-3GPP RAT.</w:t>
            </w:r>
          </w:p>
          <w:p w14:paraId="3ACE30C6" w14:textId="77777777" w:rsidR="00ED7F06" w:rsidRDefault="007E6B9A">
            <w:r>
              <w:t>Introduction of TDM solution (e.g. indication of UE preferred TDM pattern for UL/DL). (RAN2, RAN4).</w:t>
            </w:r>
            <w:r>
              <w:br/>
            </w:r>
            <w:r>
              <w:rPr>
                <w:color w:val="0000FF"/>
              </w:rPr>
              <w:t xml:space="preserve">Note: The TDM solution is considered complementary to the FDM </w:t>
            </w:r>
          </w:p>
        </w:tc>
      </w:tr>
    </w:tbl>
    <w:p w14:paraId="0012C835" w14:textId="0D9EB04E" w:rsidR="00ED7F06" w:rsidRDefault="007E6B9A">
      <w:r>
        <w:rPr>
          <w:rFonts w:hint="eastAsia"/>
        </w:rPr>
        <w:t xml:space="preserve">In legacy, there </w:t>
      </w:r>
      <w:r w:rsidR="0082272B">
        <w:t>were</w:t>
      </w:r>
      <w:r>
        <w:rPr>
          <w:rFonts w:hint="eastAsia"/>
        </w:rPr>
        <w:t xml:space="preserve"> several different TDM solutions:</w:t>
      </w:r>
    </w:p>
    <w:p w14:paraId="6B973FFD" w14:textId="1BDE4E92" w:rsidR="00ED7F06" w:rsidRDefault="007E6B9A">
      <w:pPr>
        <w:numPr>
          <w:ilvl w:val="0"/>
          <w:numId w:val="6"/>
        </w:numPr>
      </w:pPr>
      <w:r>
        <w:rPr>
          <w:rFonts w:hint="eastAsia"/>
        </w:rPr>
        <w:t>UE provide</w:t>
      </w:r>
      <w:r w:rsidR="00A21AE4">
        <w:t>s</w:t>
      </w:r>
      <w:r>
        <w:rPr>
          <w:rFonts w:hint="eastAsia"/>
        </w:rPr>
        <w:t xml:space="preserve"> </w:t>
      </w:r>
      <w:proofErr w:type="spellStart"/>
      <w:r>
        <w:rPr>
          <w:lang w:val="en-GB"/>
        </w:rPr>
        <w:t>idc-SubframePatternList</w:t>
      </w:r>
      <w:proofErr w:type="spellEnd"/>
      <w:r>
        <w:rPr>
          <w:rFonts w:hint="eastAsia"/>
        </w:rPr>
        <w:t xml:space="preserve"> on the serving </w:t>
      </w:r>
      <w:r w:rsidR="0082272B">
        <w:t>carrier;</w:t>
      </w:r>
      <w:r>
        <w:rPr>
          <w:rFonts w:hint="eastAsia"/>
        </w:rPr>
        <w:t xml:space="preserve"> </w:t>
      </w:r>
    </w:p>
    <w:p w14:paraId="247EC998" w14:textId="3A78ED4A" w:rsidR="00ED7F06" w:rsidRDefault="007E6B9A">
      <w:pPr>
        <w:numPr>
          <w:ilvl w:val="0"/>
          <w:numId w:val="6"/>
        </w:numPr>
      </w:pPr>
      <w:r>
        <w:rPr>
          <w:rFonts w:hint="eastAsia"/>
        </w:rPr>
        <w:t>UE provide</w:t>
      </w:r>
      <w:r w:rsidR="00A21AE4">
        <w:t>s</w:t>
      </w:r>
      <w:r>
        <w:rPr>
          <w:rFonts w:hint="eastAsia"/>
        </w:rPr>
        <w:t xml:space="preserve"> </w:t>
      </w:r>
      <w:proofErr w:type="spellStart"/>
      <w:r>
        <w:rPr>
          <w:lang w:val="en-GB"/>
        </w:rPr>
        <w:t>drx-AssistanceInfo</w:t>
      </w:r>
      <w:proofErr w:type="spellEnd"/>
      <w:r>
        <w:rPr>
          <w:rFonts w:hint="eastAsia"/>
        </w:rPr>
        <w:t xml:space="preserve"> on the serving </w:t>
      </w:r>
      <w:r w:rsidR="0082272B">
        <w:t>carrier.</w:t>
      </w:r>
    </w:p>
    <w:p w14:paraId="2F089713" w14:textId="16FF90D9" w:rsidR="00ED7F06" w:rsidRDefault="007E6B9A">
      <w:pPr>
        <w:rPr>
          <w:b/>
          <w:bCs/>
        </w:rPr>
      </w:pPr>
      <w:r>
        <w:rPr>
          <w:rFonts w:hint="eastAsia"/>
          <w:b/>
          <w:bCs/>
        </w:rPr>
        <w:t xml:space="preserve">Observation </w:t>
      </w:r>
      <w:r w:rsidR="006E17AE">
        <w:rPr>
          <w:b/>
          <w:bCs/>
        </w:rPr>
        <w:t>3</w:t>
      </w:r>
      <w:r>
        <w:rPr>
          <w:rFonts w:hint="eastAsia"/>
          <w:b/>
          <w:bCs/>
        </w:rPr>
        <w:t>: For TDM scheme, there are 2 legacy solutions:</w:t>
      </w:r>
    </w:p>
    <w:p w14:paraId="779878FC" w14:textId="4C33F6D7" w:rsidR="00ED7F06" w:rsidRDefault="007E6B9A">
      <w:pPr>
        <w:numPr>
          <w:ilvl w:val="0"/>
          <w:numId w:val="6"/>
        </w:numPr>
        <w:rPr>
          <w:b/>
          <w:bCs/>
        </w:rPr>
      </w:pPr>
      <w:r>
        <w:rPr>
          <w:rFonts w:hint="eastAsia"/>
          <w:b/>
          <w:bCs/>
        </w:rPr>
        <w:t xml:space="preserve">UE provide </w:t>
      </w:r>
      <w:proofErr w:type="spellStart"/>
      <w:r>
        <w:rPr>
          <w:b/>
          <w:bCs/>
          <w:lang w:val="en-GB"/>
        </w:rPr>
        <w:t>idc-SubframePatternList</w:t>
      </w:r>
      <w:proofErr w:type="spellEnd"/>
      <w:r>
        <w:rPr>
          <w:rFonts w:hint="eastAsia"/>
          <w:b/>
          <w:bCs/>
        </w:rPr>
        <w:t xml:space="preserve"> on the serving </w:t>
      </w:r>
      <w:r w:rsidR="0082272B">
        <w:rPr>
          <w:b/>
          <w:bCs/>
        </w:rPr>
        <w:t>carrier;</w:t>
      </w:r>
      <w:r>
        <w:rPr>
          <w:rFonts w:hint="eastAsia"/>
          <w:b/>
          <w:bCs/>
        </w:rPr>
        <w:t xml:space="preserve"> </w:t>
      </w:r>
    </w:p>
    <w:p w14:paraId="2F664785" w14:textId="00917079" w:rsidR="00ED7F06" w:rsidRDefault="007E6B9A">
      <w:pPr>
        <w:numPr>
          <w:ilvl w:val="0"/>
          <w:numId w:val="6"/>
        </w:numPr>
        <w:rPr>
          <w:b/>
          <w:bCs/>
        </w:rPr>
      </w:pPr>
      <w:r>
        <w:rPr>
          <w:rFonts w:hint="eastAsia"/>
          <w:b/>
          <w:bCs/>
        </w:rPr>
        <w:lastRenderedPageBreak/>
        <w:t xml:space="preserve">UE provide </w:t>
      </w:r>
      <w:proofErr w:type="spellStart"/>
      <w:r>
        <w:rPr>
          <w:b/>
          <w:bCs/>
          <w:lang w:val="en-GB"/>
        </w:rPr>
        <w:t>drx-AssistanceInfo</w:t>
      </w:r>
      <w:proofErr w:type="spellEnd"/>
      <w:r>
        <w:rPr>
          <w:rFonts w:hint="eastAsia"/>
          <w:b/>
          <w:bCs/>
        </w:rPr>
        <w:t xml:space="preserve"> on the serving </w:t>
      </w:r>
      <w:r w:rsidR="0082272B">
        <w:rPr>
          <w:b/>
          <w:bCs/>
        </w:rPr>
        <w:t>carrier.</w:t>
      </w:r>
    </w:p>
    <w:p w14:paraId="4DE4D97F" w14:textId="117BE7DA" w:rsidR="00ED7F06" w:rsidRDefault="007E6B9A">
      <w:r>
        <w:rPr>
          <w:rFonts w:hint="eastAsia"/>
        </w:rPr>
        <w:t>However, the TDM solution hasn</w:t>
      </w:r>
      <w:r>
        <w:t>’</w:t>
      </w:r>
      <w:r>
        <w:rPr>
          <w:rFonts w:hint="eastAsia"/>
        </w:rPr>
        <w:t xml:space="preserve">t been deployed even in LTE, so RAN2 can further confirm whether there is a need to </w:t>
      </w:r>
      <w:r w:rsidR="00E15749">
        <w:t>introduce</w:t>
      </w:r>
      <w:r w:rsidR="00E15749">
        <w:rPr>
          <w:rFonts w:hint="eastAsia"/>
        </w:rPr>
        <w:t xml:space="preserve"> </w:t>
      </w:r>
      <w:r>
        <w:rPr>
          <w:rFonts w:hint="eastAsia"/>
        </w:rPr>
        <w:t>TDM for NR.</w:t>
      </w:r>
      <w:r w:rsidR="003D4212">
        <w:t xml:space="preserve"> </w:t>
      </w:r>
      <w:r w:rsidR="006E17AE" w:rsidRPr="006E17AE">
        <w:rPr>
          <w:bCs/>
        </w:rPr>
        <w:t>If companies see the necessity to support TDM solution, we can further discuss which solution can be introduced as baseline.</w:t>
      </w:r>
      <w:r w:rsidR="006E17AE">
        <w:rPr>
          <w:bCs/>
        </w:rPr>
        <w:t xml:space="preserve"> </w:t>
      </w:r>
      <w:r>
        <w:rPr>
          <w:rFonts w:hint="eastAsia"/>
        </w:rPr>
        <w:t xml:space="preserve">For </w:t>
      </w:r>
      <w:proofErr w:type="spellStart"/>
      <w:r>
        <w:rPr>
          <w:lang w:val="en-GB"/>
        </w:rPr>
        <w:t>idc-SubframePatternList</w:t>
      </w:r>
      <w:proofErr w:type="spellEnd"/>
      <w:r>
        <w:rPr>
          <w:rFonts w:hint="eastAsia"/>
        </w:rPr>
        <w:t xml:space="preserve">, it </w:t>
      </w:r>
      <w:r w:rsidR="00E15749">
        <w:t>is</w:t>
      </w:r>
      <w:r w:rsidR="00E15749">
        <w:rPr>
          <w:rFonts w:hint="eastAsia"/>
        </w:rPr>
        <w:t xml:space="preserve"> </w:t>
      </w:r>
      <w:r>
        <w:rPr>
          <w:rFonts w:hint="eastAsia"/>
        </w:rPr>
        <w:t xml:space="preserve">provided based on the HARQ timing of each TDD/FDD mode, however for NR, the HARQ timing is flexible and there is no fixed TDD pattern, so it would be much complex (or even impossible) to indicate the preferred </w:t>
      </w:r>
      <w:proofErr w:type="spellStart"/>
      <w:r>
        <w:rPr>
          <w:rFonts w:hint="eastAsia"/>
        </w:rPr>
        <w:t>subframe</w:t>
      </w:r>
      <w:proofErr w:type="spellEnd"/>
      <w:r>
        <w:rPr>
          <w:rFonts w:hint="eastAsia"/>
        </w:rPr>
        <w:t xml:space="preserve"> pattern.</w:t>
      </w:r>
    </w:p>
    <w:p w14:paraId="5F78B804" w14:textId="1F8F80C7" w:rsidR="00ED7F06" w:rsidRDefault="007E6B9A">
      <w:pPr>
        <w:rPr>
          <w:b/>
          <w:bCs/>
        </w:rPr>
      </w:pPr>
      <w:r>
        <w:rPr>
          <w:rFonts w:hint="eastAsia"/>
          <w:b/>
          <w:bCs/>
        </w:rPr>
        <w:t xml:space="preserve">Observation </w:t>
      </w:r>
      <w:r w:rsidR="006E17AE">
        <w:rPr>
          <w:b/>
          <w:bCs/>
        </w:rPr>
        <w:t>4</w:t>
      </w:r>
      <w:r>
        <w:rPr>
          <w:rFonts w:hint="eastAsia"/>
          <w:b/>
          <w:bCs/>
        </w:rPr>
        <w:t xml:space="preserve">: The legacy </w:t>
      </w:r>
      <w:proofErr w:type="spellStart"/>
      <w:r>
        <w:rPr>
          <w:b/>
          <w:bCs/>
          <w:lang w:val="en-GB"/>
        </w:rPr>
        <w:t>idc-SubframePatternList</w:t>
      </w:r>
      <w:proofErr w:type="spellEnd"/>
      <w:r>
        <w:rPr>
          <w:rFonts w:hint="eastAsia"/>
          <w:b/>
          <w:bCs/>
        </w:rPr>
        <w:t xml:space="preserve"> is provided based on the HARQ timing of each TDD/FDD mode, it</w:t>
      </w:r>
      <w:r>
        <w:rPr>
          <w:b/>
          <w:bCs/>
        </w:rPr>
        <w:t>’</w:t>
      </w:r>
      <w:r>
        <w:rPr>
          <w:rFonts w:hint="eastAsia"/>
          <w:b/>
          <w:bCs/>
        </w:rPr>
        <w:t xml:space="preserve">s </w:t>
      </w:r>
      <w:r w:rsidR="00E15749">
        <w:rPr>
          <w:b/>
          <w:bCs/>
        </w:rPr>
        <w:t>infeasible</w:t>
      </w:r>
      <w:r w:rsidR="00E15749">
        <w:rPr>
          <w:rFonts w:hint="eastAsia"/>
          <w:b/>
          <w:bCs/>
        </w:rPr>
        <w:t xml:space="preserve"> </w:t>
      </w:r>
      <w:r>
        <w:rPr>
          <w:rFonts w:hint="eastAsia"/>
          <w:b/>
          <w:bCs/>
        </w:rPr>
        <w:t>for NR case</w:t>
      </w:r>
      <w:r w:rsidR="00E15749">
        <w:rPr>
          <w:b/>
          <w:bCs/>
        </w:rPr>
        <w:t xml:space="preserve"> because</w:t>
      </w:r>
      <w:r w:rsidR="0082272B">
        <w:rPr>
          <w:b/>
          <w:bCs/>
        </w:rPr>
        <w:t xml:space="preserve"> </w:t>
      </w:r>
      <w:r>
        <w:rPr>
          <w:rFonts w:hint="eastAsia"/>
          <w:b/>
          <w:bCs/>
        </w:rPr>
        <w:t xml:space="preserve">the HARQ timing </w:t>
      </w:r>
      <w:r w:rsidR="00E15749">
        <w:rPr>
          <w:b/>
          <w:bCs/>
        </w:rPr>
        <w:t>in</w:t>
      </w:r>
      <w:r w:rsidR="00E15749">
        <w:rPr>
          <w:rFonts w:hint="eastAsia"/>
          <w:b/>
          <w:bCs/>
        </w:rPr>
        <w:t xml:space="preserve"> </w:t>
      </w:r>
      <w:r>
        <w:rPr>
          <w:rFonts w:hint="eastAsia"/>
          <w:b/>
          <w:bCs/>
        </w:rPr>
        <w:t>NR is flexible.</w:t>
      </w:r>
    </w:p>
    <w:p w14:paraId="353848AC" w14:textId="21322706" w:rsidR="00ED7F06" w:rsidRDefault="007E6B9A">
      <w:r>
        <w:rPr>
          <w:rFonts w:hint="eastAsia"/>
        </w:rPr>
        <w:t xml:space="preserve">For </w:t>
      </w:r>
      <w:proofErr w:type="spellStart"/>
      <w:r>
        <w:rPr>
          <w:lang w:val="en-GB"/>
        </w:rPr>
        <w:t>drx-AssistanceInfo</w:t>
      </w:r>
      <w:proofErr w:type="spellEnd"/>
      <w:r>
        <w:rPr>
          <w:rFonts w:hint="eastAsia"/>
        </w:rPr>
        <w:t>, the UE would report the preferred DRX configuration to the network. However, as we analyzed in the MUSIM, the drawbacks for the DRX based scheme is that the duration of DRX Off is up to the short/long cycle, which depends on the data transfer status. While for the MUSIM, both aperiodic gap and aperiodic GAP have been agreed, the similar solution may also be adopted for the IDC TDM assistance information reporting.</w:t>
      </w:r>
    </w:p>
    <w:p w14:paraId="4B48B272" w14:textId="018EBE0C" w:rsidR="00ED7F06" w:rsidRDefault="007E6B9A">
      <w:pPr>
        <w:rPr>
          <w:b/>
          <w:bCs/>
        </w:rPr>
      </w:pPr>
      <w:r>
        <w:rPr>
          <w:rFonts w:hint="eastAsia"/>
          <w:b/>
          <w:bCs/>
        </w:rPr>
        <w:t xml:space="preserve">Proposal </w:t>
      </w:r>
      <w:r w:rsidR="003D4212">
        <w:rPr>
          <w:b/>
          <w:bCs/>
        </w:rPr>
        <w:t>2</w:t>
      </w:r>
      <w:r>
        <w:rPr>
          <w:rFonts w:hint="eastAsia"/>
          <w:b/>
          <w:bCs/>
        </w:rPr>
        <w:t xml:space="preserve">: RAN2 to discuss which kind of gap solutions shall be adopted for IDC, </w:t>
      </w:r>
      <w:r w:rsidR="00E15749">
        <w:rPr>
          <w:b/>
          <w:bCs/>
        </w:rPr>
        <w:t xml:space="preserve">i.e. </w:t>
      </w:r>
      <w:r>
        <w:rPr>
          <w:rFonts w:hint="eastAsia"/>
          <w:b/>
          <w:bCs/>
        </w:rPr>
        <w:t xml:space="preserve">DRX-like scheme or MUSIM Gap-like scheme. </w:t>
      </w:r>
    </w:p>
    <w:p w14:paraId="3EF28F96" w14:textId="77777777" w:rsidR="00ED7F06" w:rsidRDefault="007E6B9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A7B54F7" w14:textId="77777777" w:rsidR="00ED7F06" w:rsidRDefault="007E6B9A">
      <w:pPr>
        <w:spacing w:beforeLines="50" w:before="156"/>
      </w:pPr>
      <w:r>
        <w:rPr>
          <w:rFonts w:hint="eastAsia"/>
        </w:rPr>
        <w:t xml:space="preserve">With the above analysis, we have the following </w:t>
      </w:r>
      <w:r>
        <w:t>proposals</w:t>
      </w:r>
      <w:r>
        <w:rPr>
          <w:rFonts w:hint="eastAsia"/>
        </w:rPr>
        <w:t>:</w:t>
      </w:r>
    </w:p>
    <w:p w14:paraId="19359023" w14:textId="3C3E0BF4" w:rsidR="006E17AE" w:rsidRDefault="006E17AE" w:rsidP="006E17AE">
      <w:pPr>
        <w:rPr>
          <w:b/>
          <w:bCs/>
        </w:rPr>
      </w:pPr>
      <w:r w:rsidRPr="006B0675">
        <w:rPr>
          <w:b/>
        </w:rPr>
        <w:t>Observation 1</w:t>
      </w:r>
      <w:r>
        <w:rPr>
          <w:b/>
        </w:rPr>
        <w:t>:</w:t>
      </w:r>
      <w:r w:rsidRPr="006B0675">
        <w:rPr>
          <w:b/>
          <w:bCs/>
        </w:rPr>
        <w:t xml:space="preserve"> F</w:t>
      </w:r>
      <w:r w:rsidRPr="006B0675">
        <w:rPr>
          <w:rFonts w:hint="eastAsia"/>
          <w:b/>
        </w:rPr>
        <w:t>or the case</w:t>
      </w:r>
      <w:r w:rsidRPr="006B0675">
        <w:rPr>
          <w:b/>
        </w:rPr>
        <w:t xml:space="preserve"> with </w:t>
      </w:r>
      <w:proofErr w:type="spellStart"/>
      <w:r w:rsidRPr="006B0675">
        <w:rPr>
          <w:b/>
        </w:rPr>
        <w:t>gNB</w:t>
      </w:r>
      <w:proofErr w:type="spellEnd"/>
      <w:r w:rsidRPr="006B0675">
        <w:rPr>
          <w:b/>
        </w:rPr>
        <w:t xml:space="preserve"> as network node (e.g. </w:t>
      </w:r>
      <w:r w:rsidRPr="006B0675">
        <w:rPr>
          <w:rFonts w:hint="eastAsia"/>
          <w:b/>
        </w:rPr>
        <w:t>the UE is working at NR single carrier, NR UL CA, NR-DC or NE-DC</w:t>
      </w:r>
      <w:r w:rsidRPr="006B0675">
        <w:rPr>
          <w:b/>
        </w:rPr>
        <w:t>)</w:t>
      </w:r>
      <w:r w:rsidRPr="006B0675">
        <w:rPr>
          <w:rFonts w:hint="eastAsia"/>
          <w:b/>
        </w:rPr>
        <w:t>,</w:t>
      </w:r>
      <w:r>
        <w:rPr>
          <w:rFonts w:hint="eastAsia"/>
          <w:b/>
          <w:bCs/>
        </w:rPr>
        <w:t xml:space="preserve"> </w:t>
      </w:r>
      <w:r>
        <w:rPr>
          <w:b/>
          <w:bCs/>
        </w:rPr>
        <w:t>the current spec doesn’t support the</w:t>
      </w:r>
      <w:r>
        <w:rPr>
          <w:rFonts w:hint="eastAsia"/>
          <w:b/>
          <w:bCs/>
        </w:rPr>
        <w:t xml:space="preserve"> IDC interference with the EUTRA carrier </w:t>
      </w:r>
      <w:r>
        <w:rPr>
          <w:b/>
          <w:bCs/>
        </w:rPr>
        <w:t>(inc</w:t>
      </w:r>
      <w:r>
        <w:rPr>
          <w:rFonts w:hint="eastAsia"/>
          <w:b/>
          <w:bCs/>
        </w:rPr>
        <w:t>luding EUTRA single carrier, EUTRA UL CA and NR-EUTRA band combination</w:t>
      </w:r>
      <w:r>
        <w:rPr>
          <w:b/>
          <w:bCs/>
        </w:rPr>
        <w:t>)</w:t>
      </w:r>
      <w:r w:rsidR="00981E5E">
        <w:rPr>
          <w:b/>
          <w:bCs/>
        </w:rPr>
        <w:t xml:space="preserve"> reporting</w:t>
      </w:r>
      <w:r>
        <w:rPr>
          <w:b/>
          <w:bCs/>
        </w:rPr>
        <w:t xml:space="preserve"> </w:t>
      </w:r>
      <w:r>
        <w:rPr>
          <w:rFonts w:hint="eastAsia"/>
          <w:b/>
          <w:bCs/>
        </w:rPr>
        <w:t xml:space="preserve">to the </w:t>
      </w:r>
      <w:proofErr w:type="spellStart"/>
      <w:r>
        <w:rPr>
          <w:rFonts w:hint="eastAsia"/>
          <w:b/>
          <w:bCs/>
        </w:rPr>
        <w:t>gNB</w:t>
      </w:r>
      <w:proofErr w:type="spellEnd"/>
      <w:r>
        <w:rPr>
          <w:rFonts w:hint="eastAsia"/>
          <w:b/>
          <w:bCs/>
        </w:rPr>
        <w:t xml:space="preserve"> node</w:t>
      </w:r>
      <w:r>
        <w:rPr>
          <w:b/>
          <w:bCs/>
        </w:rPr>
        <w:t>.</w:t>
      </w:r>
    </w:p>
    <w:p w14:paraId="36E7402B" w14:textId="77777777" w:rsidR="006E17AE" w:rsidRDefault="006E17AE" w:rsidP="006E17AE">
      <w:pPr>
        <w:rPr>
          <w:b/>
        </w:rPr>
      </w:pPr>
      <w:r w:rsidRPr="006B0675">
        <w:rPr>
          <w:b/>
        </w:rPr>
        <w:t xml:space="preserve">Observation 2: For </w:t>
      </w:r>
      <w:r w:rsidRPr="006B0675">
        <w:rPr>
          <w:rFonts w:hint="eastAsia"/>
          <w:b/>
        </w:rPr>
        <w:t>the case</w:t>
      </w:r>
      <w:r w:rsidRPr="006B0675">
        <w:rPr>
          <w:b/>
        </w:rPr>
        <w:t xml:space="preserve"> with </w:t>
      </w:r>
      <w:proofErr w:type="spellStart"/>
      <w:r w:rsidRPr="006B0675">
        <w:rPr>
          <w:b/>
        </w:rPr>
        <w:t>eNB</w:t>
      </w:r>
      <w:proofErr w:type="spellEnd"/>
      <w:r w:rsidRPr="006B0675">
        <w:rPr>
          <w:b/>
        </w:rPr>
        <w:t xml:space="preserve"> as network node (e.g. </w:t>
      </w:r>
      <w:r w:rsidRPr="006B0675">
        <w:rPr>
          <w:rFonts w:hint="eastAsia"/>
          <w:b/>
        </w:rPr>
        <w:t xml:space="preserve">the UE is working at </w:t>
      </w:r>
      <w:r w:rsidRPr="006B0675">
        <w:rPr>
          <w:rFonts w:eastAsia="宋体" w:hint="eastAsia"/>
          <w:b/>
          <w:bCs/>
        </w:rPr>
        <w:t>EUTRA single carrier, or EUTRA UL CA or (NG)EN-DC</w:t>
      </w:r>
      <w:r w:rsidRPr="006B0675">
        <w:rPr>
          <w:b/>
        </w:rPr>
        <w:t>)</w:t>
      </w:r>
      <w:r w:rsidRPr="006B0675">
        <w:rPr>
          <w:rFonts w:hint="eastAsia"/>
          <w:b/>
        </w:rPr>
        <w:t>,</w:t>
      </w:r>
      <w:r w:rsidRPr="006B0675">
        <w:rPr>
          <w:b/>
        </w:rPr>
        <w:t xml:space="preserve"> it’s not clear whether the UE would report the IDC interference with NR carrier (including </w:t>
      </w:r>
      <w:r w:rsidRPr="006B0675">
        <w:rPr>
          <w:rFonts w:hint="eastAsia"/>
          <w:b/>
          <w:bCs/>
        </w:rPr>
        <w:t>NR single carrier or NR CA</w:t>
      </w:r>
      <w:r w:rsidRPr="006B0675">
        <w:rPr>
          <w:b/>
          <w:bCs/>
        </w:rPr>
        <w:t>/DC</w:t>
      </w:r>
      <w:r w:rsidRPr="006B0675">
        <w:rPr>
          <w:b/>
        </w:rPr>
        <w:t xml:space="preserve">) to the </w:t>
      </w:r>
      <w:proofErr w:type="spellStart"/>
      <w:r w:rsidRPr="006B0675">
        <w:rPr>
          <w:b/>
        </w:rPr>
        <w:t>eNB</w:t>
      </w:r>
      <w:proofErr w:type="spellEnd"/>
      <w:r w:rsidRPr="006B0675">
        <w:rPr>
          <w:b/>
        </w:rPr>
        <w:t xml:space="preserve"> node with the current spec</w:t>
      </w:r>
      <w:r>
        <w:rPr>
          <w:b/>
        </w:rPr>
        <w:t>.</w:t>
      </w:r>
    </w:p>
    <w:p w14:paraId="62750ADC" w14:textId="77777777" w:rsidR="006E17AE" w:rsidRDefault="006E17AE" w:rsidP="006E17AE">
      <w:pPr>
        <w:rPr>
          <w:b/>
        </w:rPr>
      </w:pPr>
      <w:r>
        <w:rPr>
          <w:b/>
        </w:rPr>
        <w:t>Proposal 1</w:t>
      </w:r>
      <w:r w:rsidRPr="000B46A5">
        <w:rPr>
          <w:rFonts w:hint="eastAsia"/>
          <w:b/>
        </w:rPr>
        <w:t>：</w:t>
      </w:r>
      <w:r>
        <w:rPr>
          <w:rFonts w:hint="eastAsia"/>
          <w:b/>
        </w:rPr>
        <w:t>B</w:t>
      </w:r>
      <w:r>
        <w:rPr>
          <w:b/>
        </w:rPr>
        <w:t>esides the legacy IDC FDM reporting type, support the below FDM IDC reporting in the Rel-18:</w:t>
      </w:r>
    </w:p>
    <w:p w14:paraId="3F2E7D80" w14:textId="77777777" w:rsidR="006E17AE" w:rsidRPr="00130A6C" w:rsidRDefault="006E17AE" w:rsidP="006E17AE">
      <w:pPr>
        <w:pStyle w:val="afe"/>
        <w:numPr>
          <w:ilvl w:val="0"/>
          <w:numId w:val="10"/>
        </w:numPr>
        <w:ind w:firstLineChars="0"/>
        <w:rPr>
          <w:b/>
        </w:rPr>
      </w:pPr>
      <w:r w:rsidRPr="00130A6C">
        <w:rPr>
          <w:b/>
          <w:bCs/>
        </w:rPr>
        <w:t>F</w:t>
      </w:r>
      <w:r w:rsidRPr="00130A6C">
        <w:rPr>
          <w:rFonts w:hint="eastAsia"/>
          <w:b/>
        </w:rPr>
        <w:t>or the case</w:t>
      </w:r>
      <w:r w:rsidRPr="00130A6C">
        <w:rPr>
          <w:b/>
        </w:rPr>
        <w:t xml:space="preserve"> with </w:t>
      </w:r>
      <w:proofErr w:type="spellStart"/>
      <w:r w:rsidRPr="00130A6C">
        <w:rPr>
          <w:b/>
        </w:rPr>
        <w:t>gNB</w:t>
      </w:r>
      <w:proofErr w:type="spellEnd"/>
      <w:r w:rsidRPr="00130A6C">
        <w:rPr>
          <w:b/>
        </w:rPr>
        <w:t xml:space="preserve"> as network node (e.g. </w:t>
      </w:r>
      <w:r w:rsidRPr="00130A6C">
        <w:rPr>
          <w:rFonts w:hint="eastAsia"/>
          <w:b/>
        </w:rPr>
        <w:t>the UE is working at NR single carrier, NR UL CA, NR-DC or NE-DC</w:t>
      </w:r>
      <w:r w:rsidRPr="00130A6C">
        <w:rPr>
          <w:b/>
        </w:rPr>
        <w:t>)</w:t>
      </w:r>
      <w:r w:rsidRPr="00130A6C">
        <w:rPr>
          <w:rFonts w:hint="eastAsia"/>
          <w:b/>
        </w:rPr>
        <w:t>,</w:t>
      </w:r>
      <w:r w:rsidRPr="00130A6C">
        <w:rPr>
          <w:rFonts w:hint="eastAsia"/>
          <w:b/>
          <w:bCs/>
        </w:rPr>
        <w:t xml:space="preserve"> </w:t>
      </w:r>
      <w:r w:rsidRPr="00130A6C">
        <w:rPr>
          <w:b/>
          <w:bCs/>
        </w:rPr>
        <w:t>support the</w:t>
      </w:r>
      <w:r w:rsidRPr="00130A6C">
        <w:rPr>
          <w:rFonts w:hint="eastAsia"/>
          <w:b/>
          <w:bCs/>
        </w:rPr>
        <w:t xml:space="preserve"> IDC interference with the EUTRA carrier </w:t>
      </w:r>
      <w:r w:rsidRPr="00130A6C">
        <w:rPr>
          <w:b/>
          <w:bCs/>
        </w:rPr>
        <w:t>(inc</w:t>
      </w:r>
      <w:r w:rsidRPr="00130A6C">
        <w:rPr>
          <w:rFonts w:hint="eastAsia"/>
          <w:b/>
          <w:bCs/>
        </w:rPr>
        <w:t>luding EUTRA single carrier, EUTRA UL CA and NR-EUTRA band combination</w:t>
      </w:r>
      <w:r w:rsidRPr="00130A6C">
        <w:rPr>
          <w:b/>
          <w:bCs/>
        </w:rPr>
        <w:t xml:space="preserve">) reporting </w:t>
      </w:r>
      <w:r w:rsidRPr="00130A6C">
        <w:rPr>
          <w:rFonts w:hint="eastAsia"/>
          <w:b/>
          <w:bCs/>
        </w:rPr>
        <w:t xml:space="preserve">to the </w:t>
      </w:r>
      <w:proofErr w:type="spellStart"/>
      <w:r w:rsidRPr="00130A6C">
        <w:rPr>
          <w:rFonts w:hint="eastAsia"/>
          <w:b/>
          <w:bCs/>
        </w:rPr>
        <w:t>gNB</w:t>
      </w:r>
      <w:proofErr w:type="spellEnd"/>
      <w:r w:rsidRPr="00130A6C">
        <w:rPr>
          <w:rFonts w:hint="eastAsia"/>
          <w:b/>
          <w:bCs/>
        </w:rPr>
        <w:t xml:space="preserve"> node</w:t>
      </w:r>
      <w:r w:rsidRPr="00130A6C">
        <w:rPr>
          <w:b/>
          <w:bCs/>
        </w:rPr>
        <w:t>.</w:t>
      </w:r>
    </w:p>
    <w:p w14:paraId="759180B2" w14:textId="1A69BD19" w:rsidR="006E17AE" w:rsidRPr="00130A6C" w:rsidRDefault="006E17AE" w:rsidP="006E17AE">
      <w:pPr>
        <w:pStyle w:val="afe"/>
        <w:numPr>
          <w:ilvl w:val="0"/>
          <w:numId w:val="10"/>
        </w:numPr>
        <w:ind w:firstLineChars="0"/>
        <w:rPr>
          <w:b/>
        </w:rPr>
      </w:pPr>
      <w:r w:rsidRPr="00130A6C">
        <w:rPr>
          <w:b/>
        </w:rPr>
        <w:t xml:space="preserve">For </w:t>
      </w:r>
      <w:r w:rsidRPr="00130A6C">
        <w:rPr>
          <w:rFonts w:hint="eastAsia"/>
          <w:b/>
        </w:rPr>
        <w:t>the case</w:t>
      </w:r>
      <w:r w:rsidRPr="00130A6C">
        <w:rPr>
          <w:b/>
        </w:rPr>
        <w:t xml:space="preserve"> with </w:t>
      </w:r>
      <w:proofErr w:type="spellStart"/>
      <w:r w:rsidRPr="00130A6C">
        <w:rPr>
          <w:b/>
        </w:rPr>
        <w:t>eNB</w:t>
      </w:r>
      <w:proofErr w:type="spellEnd"/>
      <w:r w:rsidRPr="00130A6C">
        <w:rPr>
          <w:b/>
        </w:rPr>
        <w:t xml:space="preserve"> as network node (e.g. </w:t>
      </w:r>
      <w:r w:rsidRPr="00130A6C">
        <w:rPr>
          <w:rFonts w:hint="eastAsia"/>
          <w:b/>
        </w:rPr>
        <w:t xml:space="preserve">the UE is working at </w:t>
      </w:r>
      <w:r w:rsidRPr="00130A6C">
        <w:rPr>
          <w:rFonts w:eastAsia="宋体" w:hint="eastAsia"/>
          <w:b/>
          <w:bCs/>
        </w:rPr>
        <w:t>EUTRA single carrier, or EUTRA UL CA or (NG</w:t>
      </w:r>
      <w:proofErr w:type="gramStart"/>
      <w:r w:rsidRPr="00130A6C">
        <w:rPr>
          <w:rFonts w:eastAsia="宋体" w:hint="eastAsia"/>
          <w:b/>
          <w:bCs/>
        </w:rPr>
        <w:t>)EN</w:t>
      </w:r>
      <w:proofErr w:type="gramEnd"/>
      <w:r w:rsidRPr="00130A6C">
        <w:rPr>
          <w:rFonts w:eastAsia="宋体" w:hint="eastAsia"/>
          <w:b/>
          <w:bCs/>
        </w:rPr>
        <w:t>-DC</w:t>
      </w:r>
      <w:r w:rsidRPr="00130A6C">
        <w:rPr>
          <w:b/>
        </w:rPr>
        <w:t>)</w:t>
      </w:r>
      <w:r w:rsidRPr="00130A6C">
        <w:rPr>
          <w:rFonts w:hint="eastAsia"/>
          <w:b/>
        </w:rPr>
        <w:t>,</w:t>
      </w:r>
      <w:r w:rsidRPr="00130A6C">
        <w:rPr>
          <w:b/>
        </w:rPr>
        <w:t xml:space="preserve"> support the IDC interference with NR carrier (including </w:t>
      </w:r>
      <w:r w:rsidRPr="00130A6C">
        <w:rPr>
          <w:rFonts w:hint="eastAsia"/>
          <w:b/>
          <w:bCs/>
        </w:rPr>
        <w:t>NR single carrier or NR CA</w:t>
      </w:r>
      <w:r w:rsidRPr="00130A6C">
        <w:rPr>
          <w:b/>
          <w:bCs/>
        </w:rPr>
        <w:t>/DC</w:t>
      </w:r>
      <w:r w:rsidRPr="00130A6C">
        <w:rPr>
          <w:b/>
        </w:rPr>
        <w:t xml:space="preserve">) reporting to the </w:t>
      </w:r>
      <w:proofErr w:type="spellStart"/>
      <w:r w:rsidRPr="00130A6C">
        <w:rPr>
          <w:b/>
        </w:rPr>
        <w:t>eNB</w:t>
      </w:r>
      <w:proofErr w:type="spellEnd"/>
      <w:r w:rsidRPr="00130A6C">
        <w:rPr>
          <w:b/>
        </w:rPr>
        <w:t xml:space="preserve"> node.</w:t>
      </w:r>
    </w:p>
    <w:p w14:paraId="0C1FA261" w14:textId="6BFF6536" w:rsidR="00DC55F4" w:rsidRDefault="00DC55F4" w:rsidP="00DC55F4">
      <w:pPr>
        <w:rPr>
          <w:b/>
          <w:bCs/>
        </w:rPr>
      </w:pPr>
      <w:r>
        <w:rPr>
          <w:rFonts w:hint="eastAsia"/>
          <w:b/>
          <w:bCs/>
        </w:rPr>
        <w:t xml:space="preserve">Observation </w:t>
      </w:r>
      <w:r w:rsidR="008C771D">
        <w:rPr>
          <w:b/>
          <w:bCs/>
        </w:rPr>
        <w:t>3</w:t>
      </w:r>
      <w:r>
        <w:rPr>
          <w:rFonts w:hint="eastAsia"/>
          <w:b/>
          <w:bCs/>
        </w:rPr>
        <w:t>: For TDM scheme, there are 2 legacy solutions:</w:t>
      </w:r>
    </w:p>
    <w:p w14:paraId="34A50B40" w14:textId="77777777" w:rsidR="00DC55F4" w:rsidRDefault="00DC55F4" w:rsidP="00DC55F4">
      <w:pPr>
        <w:numPr>
          <w:ilvl w:val="0"/>
          <w:numId w:val="6"/>
        </w:numPr>
        <w:rPr>
          <w:b/>
          <w:bCs/>
        </w:rPr>
      </w:pPr>
      <w:r>
        <w:rPr>
          <w:rFonts w:hint="eastAsia"/>
          <w:b/>
          <w:bCs/>
        </w:rPr>
        <w:t xml:space="preserve">UE provide </w:t>
      </w:r>
      <w:proofErr w:type="spellStart"/>
      <w:r>
        <w:rPr>
          <w:b/>
          <w:bCs/>
          <w:lang w:val="en-GB"/>
        </w:rPr>
        <w:t>idc-SubframePatternList</w:t>
      </w:r>
      <w:proofErr w:type="spellEnd"/>
      <w:r>
        <w:rPr>
          <w:rFonts w:hint="eastAsia"/>
          <w:b/>
          <w:bCs/>
        </w:rPr>
        <w:t xml:space="preserve"> on the serving </w:t>
      </w:r>
      <w:r>
        <w:rPr>
          <w:b/>
          <w:bCs/>
        </w:rPr>
        <w:t>carrier;</w:t>
      </w:r>
      <w:r>
        <w:rPr>
          <w:rFonts w:hint="eastAsia"/>
          <w:b/>
          <w:bCs/>
        </w:rPr>
        <w:t xml:space="preserve"> </w:t>
      </w:r>
    </w:p>
    <w:p w14:paraId="3AAD6FF1" w14:textId="77777777" w:rsidR="00DC55F4" w:rsidRDefault="00DC55F4" w:rsidP="00DC55F4">
      <w:pPr>
        <w:numPr>
          <w:ilvl w:val="0"/>
          <w:numId w:val="6"/>
        </w:numPr>
        <w:rPr>
          <w:b/>
          <w:bCs/>
        </w:rPr>
      </w:pPr>
      <w:r>
        <w:rPr>
          <w:rFonts w:hint="eastAsia"/>
          <w:b/>
          <w:bCs/>
        </w:rPr>
        <w:lastRenderedPageBreak/>
        <w:t xml:space="preserve">UE provide </w:t>
      </w:r>
      <w:proofErr w:type="spellStart"/>
      <w:r>
        <w:rPr>
          <w:b/>
          <w:bCs/>
          <w:lang w:val="en-GB"/>
        </w:rPr>
        <w:t>drx-AssistanceInfo</w:t>
      </w:r>
      <w:proofErr w:type="spellEnd"/>
      <w:r>
        <w:rPr>
          <w:rFonts w:hint="eastAsia"/>
          <w:b/>
          <w:bCs/>
        </w:rPr>
        <w:t xml:space="preserve"> on the serving </w:t>
      </w:r>
      <w:r>
        <w:rPr>
          <w:b/>
          <w:bCs/>
        </w:rPr>
        <w:t>carrier.</w:t>
      </w:r>
    </w:p>
    <w:p w14:paraId="540CF290" w14:textId="467C7BDD" w:rsidR="00DC55F4" w:rsidRDefault="00DC55F4" w:rsidP="00DC55F4">
      <w:pPr>
        <w:rPr>
          <w:b/>
          <w:bCs/>
        </w:rPr>
      </w:pPr>
      <w:r>
        <w:rPr>
          <w:rFonts w:hint="eastAsia"/>
          <w:b/>
          <w:bCs/>
        </w:rPr>
        <w:t xml:space="preserve">Observation </w:t>
      </w:r>
      <w:r w:rsidR="008C771D">
        <w:rPr>
          <w:b/>
          <w:bCs/>
        </w:rPr>
        <w:t>4</w:t>
      </w:r>
      <w:r>
        <w:rPr>
          <w:rFonts w:hint="eastAsia"/>
          <w:b/>
          <w:bCs/>
        </w:rPr>
        <w:t xml:space="preserve">: The legacy </w:t>
      </w:r>
      <w:proofErr w:type="spellStart"/>
      <w:r>
        <w:rPr>
          <w:b/>
          <w:bCs/>
          <w:lang w:val="en-GB"/>
        </w:rPr>
        <w:t>idc-SubframePatternList</w:t>
      </w:r>
      <w:proofErr w:type="spellEnd"/>
      <w:r>
        <w:rPr>
          <w:rFonts w:hint="eastAsia"/>
          <w:b/>
          <w:bCs/>
        </w:rPr>
        <w:t xml:space="preserve"> is provided based on the HARQ timing of each TDD/FDD mode, it</w:t>
      </w:r>
      <w:r>
        <w:rPr>
          <w:b/>
          <w:bCs/>
        </w:rPr>
        <w:t>’</w:t>
      </w:r>
      <w:r>
        <w:rPr>
          <w:rFonts w:hint="eastAsia"/>
          <w:b/>
          <w:bCs/>
        </w:rPr>
        <w:t xml:space="preserve">s </w:t>
      </w:r>
      <w:r>
        <w:rPr>
          <w:b/>
          <w:bCs/>
        </w:rPr>
        <w:t>infeasible</w:t>
      </w:r>
      <w:r>
        <w:rPr>
          <w:rFonts w:hint="eastAsia"/>
          <w:b/>
          <w:bCs/>
        </w:rPr>
        <w:t xml:space="preserve"> for NR case</w:t>
      </w:r>
      <w:r>
        <w:rPr>
          <w:b/>
          <w:bCs/>
        </w:rPr>
        <w:t xml:space="preserve"> because </w:t>
      </w:r>
      <w:r>
        <w:rPr>
          <w:rFonts w:hint="eastAsia"/>
          <w:b/>
          <w:bCs/>
        </w:rPr>
        <w:t xml:space="preserve">the HARQ timing </w:t>
      </w:r>
      <w:r>
        <w:rPr>
          <w:b/>
          <w:bCs/>
        </w:rPr>
        <w:t>in</w:t>
      </w:r>
      <w:r>
        <w:rPr>
          <w:rFonts w:hint="eastAsia"/>
          <w:b/>
          <w:bCs/>
        </w:rPr>
        <w:t xml:space="preserve"> NR is flexible.</w:t>
      </w:r>
    </w:p>
    <w:p w14:paraId="29A00D2A" w14:textId="70E9B3D7" w:rsidR="00ED7F06" w:rsidRDefault="00DC55F4" w:rsidP="00DC55F4">
      <w:pPr>
        <w:rPr>
          <w:b/>
          <w:bCs/>
        </w:rPr>
      </w:pPr>
      <w:r>
        <w:rPr>
          <w:rFonts w:hint="eastAsia"/>
          <w:b/>
          <w:bCs/>
        </w:rPr>
        <w:t xml:space="preserve">Proposal </w:t>
      </w:r>
      <w:r w:rsidR="003D4212">
        <w:rPr>
          <w:b/>
          <w:bCs/>
        </w:rPr>
        <w:t>2</w:t>
      </w:r>
      <w:r>
        <w:rPr>
          <w:rFonts w:hint="eastAsia"/>
          <w:b/>
          <w:bCs/>
        </w:rPr>
        <w:t xml:space="preserve">: RAN2 to discuss which kind of gap solutions shall be adopted for IDC, </w:t>
      </w:r>
      <w:r>
        <w:rPr>
          <w:b/>
          <w:bCs/>
        </w:rPr>
        <w:t xml:space="preserve">i.e. </w:t>
      </w:r>
      <w:r>
        <w:rPr>
          <w:rFonts w:hint="eastAsia"/>
          <w:b/>
          <w:bCs/>
        </w:rPr>
        <w:t xml:space="preserve">DRX-like scheme or MUSIM Gap-like scheme. </w:t>
      </w:r>
    </w:p>
    <w:p w14:paraId="6E38B247" w14:textId="597BF850" w:rsidR="00130A6C" w:rsidRDefault="00130A6C" w:rsidP="00130A6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sidRPr="00130A6C">
        <w:rPr>
          <w:rFonts w:ascii="Arial" w:hAnsi="Arial" w:cs="Arial"/>
          <w:b w:val="0"/>
          <w:bCs w:val="0"/>
          <w:kern w:val="0"/>
          <w:sz w:val="32"/>
          <w:szCs w:val="36"/>
        </w:rPr>
        <w:t>Reference</w:t>
      </w:r>
    </w:p>
    <w:p w14:paraId="5F65F6AC" w14:textId="529C89D6" w:rsidR="00130A6C" w:rsidRDefault="00130A6C" w:rsidP="00130A6C">
      <w:pPr>
        <w:tabs>
          <w:tab w:val="left" w:pos="312"/>
        </w:tabs>
        <w:spacing w:beforeLines="50" w:before="156"/>
      </w:pPr>
      <w:r>
        <w:t>[1] RP-221281 Revised</w:t>
      </w:r>
      <w:r w:rsidRPr="00A81279">
        <w:t xml:space="preserve"> WI: In-Device Co-existence (IDC) enhancements for NR and MR-DC</w:t>
      </w:r>
    </w:p>
    <w:p w14:paraId="381F883C" w14:textId="77777777" w:rsidR="00130A6C" w:rsidRPr="00130A6C" w:rsidRDefault="00130A6C" w:rsidP="00130A6C"/>
    <w:sectPr w:rsidR="00130A6C" w:rsidRPr="00130A6C">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20DCA" w14:textId="77777777" w:rsidR="009470B7" w:rsidRDefault="009470B7">
      <w:pPr>
        <w:spacing w:line="240" w:lineRule="auto"/>
      </w:pPr>
      <w:r>
        <w:separator/>
      </w:r>
    </w:p>
  </w:endnote>
  <w:endnote w:type="continuationSeparator" w:id="0">
    <w:p w14:paraId="7B4A17CB" w14:textId="77777777" w:rsidR="009470B7" w:rsidRDefault="009470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FCB0" w14:textId="77777777" w:rsidR="00ED7F06" w:rsidRDefault="00ED7F0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08AD9" w14:textId="77777777" w:rsidR="009470B7" w:rsidRDefault="009470B7">
      <w:pPr>
        <w:spacing w:after="0"/>
      </w:pPr>
      <w:r>
        <w:separator/>
      </w:r>
    </w:p>
  </w:footnote>
  <w:footnote w:type="continuationSeparator" w:id="0">
    <w:p w14:paraId="5E956C42" w14:textId="77777777" w:rsidR="009470B7" w:rsidRDefault="009470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6846" w14:textId="77777777" w:rsidR="00ED7F06" w:rsidRDefault="00ED7F0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C1630D7"/>
    <w:multiLevelType w:val="singleLevel"/>
    <w:tmpl w:val="EC1630D7"/>
    <w:lvl w:ilvl="0">
      <w:start w:val="1"/>
      <w:numFmt w:val="decimal"/>
      <w:lvlText w:val="(%1)"/>
      <w:lvlJc w:val="left"/>
      <w:pPr>
        <w:tabs>
          <w:tab w:val="left" w:pos="312"/>
        </w:tabs>
      </w:pPr>
    </w:lvl>
  </w:abstractNum>
  <w:abstractNum w:abstractNumId="1" w15:restartNumberingAfterBreak="0">
    <w:nsid w:val="F6A4B54B"/>
    <w:multiLevelType w:val="singleLevel"/>
    <w:tmpl w:val="F6A4B54B"/>
    <w:lvl w:ilvl="0">
      <w:start w:val="1"/>
      <w:numFmt w:val="decimal"/>
      <w:lvlText w:val="[%1]"/>
      <w:lvlJc w:val="left"/>
      <w:pPr>
        <w:tabs>
          <w:tab w:val="left" w:pos="312"/>
        </w:tabs>
      </w:p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472F76"/>
    <w:multiLevelType w:val="hybridMultilevel"/>
    <w:tmpl w:val="EB9089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891635"/>
    <w:multiLevelType w:val="singleLevel"/>
    <w:tmpl w:val="4E891635"/>
    <w:lvl w:ilvl="0">
      <w:start w:val="1"/>
      <w:numFmt w:val="bullet"/>
      <w:lvlText w:val=""/>
      <w:lvlJc w:val="left"/>
      <w:pPr>
        <w:ind w:left="42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D45720A"/>
    <w:multiLevelType w:val="hybridMultilevel"/>
    <w:tmpl w:val="4EEE610C"/>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6"/>
  </w:num>
  <w:num w:numId="4">
    <w:abstractNumId w:val="3"/>
  </w:num>
  <w:num w:numId="5">
    <w:abstractNumId w:val="0"/>
  </w:num>
  <w:num w:numId="6">
    <w:abstractNumId w:val="7"/>
  </w:num>
  <w:num w:numId="7">
    <w:abstractNumId w:val="9"/>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6A5"/>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0A6C"/>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6202"/>
    <w:rsid w:val="001A6AFD"/>
    <w:rsid w:val="001B0AD2"/>
    <w:rsid w:val="001B0FA9"/>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6623D"/>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2AF"/>
    <w:rsid w:val="002D35FA"/>
    <w:rsid w:val="002D3797"/>
    <w:rsid w:val="002D37AB"/>
    <w:rsid w:val="002D4BEF"/>
    <w:rsid w:val="002D59C7"/>
    <w:rsid w:val="002D5F10"/>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0DFB"/>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1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5259"/>
    <w:rsid w:val="0053653D"/>
    <w:rsid w:val="005371D2"/>
    <w:rsid w:val="00537528"/>
    <w:rsid w:val="00542ED7"/>
    <w:rsid w:val="00545A76"/>
    <w:rsid w:val="005506C7"/>
    <w:rsid w:val="005514AA"/>
    <w:rsid w:val="00553234"/>
    <w:rsid w:val="0055402E"/>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43EA"/>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1A73"/>
    <w:rsid w:val="006A451F"/>
    <w:rsid w:val="006A67C2"/>
    <w:rsid w:val="006A6A31"/>
    <w:rsid w:val="006B0675"/>
    <w:rsid w:val="006B0833"/>
    <w:rsid w:val="006B0BCD"/>
    <w:rsid w:val="006B0CBE"/>
    <w:rsid w:val="006B1969"/>
    <w:rsid w:val="006B2F1E"/>
    <w:rsid w:val="006B3DD7"/>
    <w:rsid w:val="006B48F1"/>
    <w:rsid w:val="006B5A1C"/>
    <w:rsid w:val="006C2D21"/>
    <w:rsid w:val="006C60A2"/>
    <w:rsid w:val="006C6193"/>
    <w:rsid w:val="006D0533"/>
    <w:rsid w:val="006D0DD2"/>
    <w:rsid w:val="006D436D"/>
    <w:rsid w:val="006D5430"/>
    <w:rsid w:val="006D63EF"/>
    <w:rsid w:val="006D7C19"/>
    <w:rsid w:val="006D7CA8"/>
    <w:rsid w:val="006E17AE"/>
    <w:rsid w:val="006E2FE4"/>
    <w:rsid w:val="006E36C6"/>
    <w:rsid w:val="006E3B73"/>
    <w:rsid w:val="006E3FEB"/>
    <w:rsid w:val="006E7570"/>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C4A36"/>
    <w:rsid w:val="007D0CD8"/>
    <w:rsid w:val="007D2298"/>
    <w:rsid w:val="007D2587"/>
    <w:rsid w:val="007D36F2"/>
    <w:rsid w:val="007D4D1B"/>
    <w:rsid w:val="007D4F90"/>
    <w:rsid w:val="007D5A25"/>
    <w:rsid w:val="007E0F24"/>
    <w:rsid w:val="007E17B1"/>
    <w:rsid w:val="007E27C0"/>
    <w:rsid w:val="007E2BDB"/>
    <w:rsid w:val="007E4716"/>
    <w:rsid w:val="007E6651"/>
    <w:rsid w:val="007E6B9A"/>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272B"/>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156"/>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771D"/>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470B7"/>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B6"/>
    <w:rsid w:val="00981E5E"/>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1AE4"/>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85882"/>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5D46"/>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3F57"/>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3633"/>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480"/>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5F4"/>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1018A"/>
    <w:rsid w:val="00E120F4"/>
    <w:rsid w:val="00E153F6"/>
    <w:rsid w:val="00E15749"/>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77E98"/>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3FDC"/>
    <w:rsid w:val="00ED5032"/>
    <w:rsid w:val="00ED5270"/>
    <w:rsid w:val="00ED7856"/>
    <w:rsid w:val="00ED792B"/>
    <w:rsid w:val="00ED7DC2"/>
    <w:rsid w:val="00ED7F06"/>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0774"/>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0FF773A"/>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4F328B"/>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77F81"/>
    <w:rsid w:val="0FCD1AD9"/>
    <w:rsid w:val="0FDB1049"/>
    <w:rsid w:val="0FE322F6"/>
    <w:rsid w:val="0FE34C4B"/>
    <w:rsid w:val="0FF8213F"/>
    <w:rsid w:val="0FFF1754"/>
    <w:rsid w:val="10133D23"/>
    <w:rsid w:val="102F5257"/>
    <w:rsid w:val="103C1F37"/>
    <w:rsid w:val="103E22B2"/>
    <w:rsid w:val="106E070C"/>
    <w:rsid w:val="106F3EDB"/>
    <w:rsid w:val="107B7D51"/>
    <w:rsid w:val="108E0412"/>
    <w:rsid w:val="10910A6C"/>
    <w:rsid w:val="10AE541F"/>
    <w:rsid w:val="10C064B9"/>
    <w:rsid w:val="10C73835"/>
    <w:rsid w:val="10E04525"/>
    <w:rsid w:val="10E75ECD"/>
    <w:rsid w:val="10FE02D8"/>
    <w:rsid w:val="11081C35"/>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DC0B5D"/>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6B084A"/>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06645"/>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2F6847"/>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062D22"/>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5B79"/>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95057F"/>
    <w:rsid w:val="43F4135D"/>
    <w:rsid w:val="43FE396A"/>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25C01"/>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0BF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73C9D"/>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AC07D1"/>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2531F4"/>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930EE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54E6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E554A4"/>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6657C"/>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 w:val="7FF63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E6ACA"/>
  <w15:docId w15:val="{FC126B8A-78FD-402D-B214-DC84C0240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styleId="afffffff6">
    <w:name w:val="Revision"/>
    <w:hidden/>
    <w:uiPriority w:val="99"/>
    <w:semiHidden/>
    <w:rsid w:val="007C4A36"/>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C3874B-DBEA-4337-985D-7909C7C3F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1526</Words>
  <Characters>8701</Characters>
  <Application>Microsoft Office Word</Application>
  <DocSecurity>0</DocSecurity>
  <Lines>72</Lines>
  <Paragraphs>20</Paragraphs>
  <ScaleCrop>false</ScaleCrop>
  <Company>www.zte.com.cn</Company>
  <LinksUpToDate>false</LinksUpToDate>
  <CharactersWithSpaces>10207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3</cp:revision>
  <cp:lastPrinted>2113-01-01T00:00:00Z</cp:lastPrinted>
  <dcterms:created xsi:type="dcterms:W3CDTF">2022-08-10T06:43:00Z</dcterms:created>
  <dcterms:modified xsi:type="dcterms:W3CDTF">2022-08-10T08:02:00Z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