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14DB" w:rsidRDefault="00F27B11">
      <w:pPr>
        <w:pStyle w:val="af3"/>
        <w:tabs>
          <w:tab w:val="right" w:pos="9645"/>
        </w:tabs>
        <w:spacing w:before="0" w:beforeAutospacing="0" w:after="0" w:afterAutospacing="0"/>
        <w:jc w:val="both"/>
        <w:rPr>
          <w:b/>
          <w:szCs w:val="22"/>
          <w:lang w:val="en-US" w:eastAsia="zh-CN"/>
        </w:rPr>
      </w:pPr>
      <w:r>
        <w:rPr>
          <w:rFonts w:eastAsia="宋体"/>
          <w:b/>
          <w:szCs w:val="22"/>
          <w:lang w:val="en-US" w:eastAsia="zh-CN" w:bidi="ar"/>
        </w:rPr>
        <w:t>3GPP TSG-RAN2 Meeting #11</w:t>
      </w:r>
      <w:r>
        <w:rPr>
          <w:rFonts w:eastAsia="宋体" w:hint="eastAsia"/>
          <w:b/>
          <w:szCs w:val="22"/>
          <w:lang w:val="en-US" w:eastAsia="zh-CN" w:bidi="ar"/>
        </w:rPr>
        <w:t>9</w:t>
      </w:r>
      <w:r>
        <w:rPr>
          <w:rFonts w:eastAsia="宋体"/>
          <w:b/>
          <w:szCs w:val="22"/>
          <w:lang w:val="en-US" w:eastAsia="zh-CN" w:bidi="ar"/>
        </w:rPr>
        <w:t xml:space="preserve"> electronic</w:t>
      </w:r>
      <w:r>
        <w:rPr>
          <w:rFonts w:eastAsia="宋体"/>
          <w:b/>
          <w:szCs w:val="22"/>
          <w:lang w:val="en-US" w:eastAsia="zh-CN" w:bidi="ar"/>
        </w:rPr>
        <w:tab/>
        <w:t>R2-220</w:t>
      </w:r>
      <w:r w:rsidR="004B69AA">
        <w:rPr>
          <w:rFonts w:eastAsia="宋体"/>
          <w:b/>
          <w:szCs w:val="22"/>
          <w:lang w:val="en-US" w:eastAsia="zh-CN" w:bidi="ar"/>
        </w:rPr>
        <w:t>7158</w:t>
      </w:r>
    </w:p>
    <w:p w:rsidR="008714DB" w:rsidRDefault="00F27B11">
      <w:pPr>
        <w:pStyle w:val="af3"/>
        <w:tabs>
          <w:tab w:val="right" w:pos="9645"/>
        </w:tabs>
        <w:spacing w:before="0" w:beforeAutospacing="0" w:after="0" w:afterAutospacing="0"/>
        <w:jc w:val="both"/>
        <w:rPr>
          <w:b/>
          <w:szCs w:val="22"/>
          <w:lang w:val="en-US" w:eastAsia="zh-CN"/>
        </w:rPr>
      </w:pPr>
      <w:r>
        <w:rPr>
          <w:rFonts w:eastAsia="宋体"/>
          <w:b/>
          <w:szCs w:val="22"/>
          <w:lang w:val="de" w:eastAsia="zh-CN" w:bidi="ar"/>
        </w:rPr>
        <w:t>Online,</w:t>
      </w:r>
      <w:r>
        <w:rPr>
          <w:rFonts w:eastAsia="宋体"/>
          <w:b/>
          <w:szCs w:val="22"/>
          <w:lang w:val="en-US" w:eastAsia="zh-CN" w:bidi="ar"/>
        </w:rPr>
        <w:t xml:space="preserve"> </w:t>
      </w:r>
      <w:r>
        <w:rPr>
          <w:rFonts w:eastAsia="宋体" w:hint="eastAsia"/>
          <w:b/>
          <w:szCs w:val="22"/>
          <w:lang w:val="en-US" w:eastAsia="zh-CN" w:bidi="ar"/>
        </w:rPr>
        <w:t>Aug</w:t>
      </w:r>
      <w:r>
        <w:rPr>
          <w:rFonts w:eastAsia="宋体"/>
          <w:b/>
          <w:szCs w:val="22"/>
          <w:lang w:val="en-US" w:eastAsia="zh-CN" w:bidi="ar"/>
        </w:rPr>
        <w:t xml:space="preserve"> </w:t>
      </w:r>
      <w:r>
        <w:rPr>
          <w:rFonts w:eastAsia="宋体" w:hint="eastAsia"/>
          <w:b/>
          <w:szCs w:val="22"/>
          <w:lang w:val="en-US" w:eastAsia="zh-CN" w:bidi="ar"/>
        </w:rPr>
        <w:t>17</w:t>
      </w:r>
      <w:r>
        <w:rPr>
          <w:rFonts w:eastAsia="宋体"/>
          <w:b/>
          <w:szCs w:val="22"/>
          <w:lang w:val="de" w:eastAsia="zh-CN" w:bidi="ar"/>
        </w:rPr>
        <w:t xml:space="preserve">th – </w:t>
      </w:r>
      <w:r>
        <w:rPr>
          <w:rFonts w:eastAsia="宋体"/>
          <w:b/>
          <w:szCs w:val="22"/>
          <w:lang w:val="en-US" w:eastAsia="zh-CN" w:bidi="ar"/>
        </w:rPr>
        <w:t>2</w:t>
      </w:r>
      <w:r>
        <w:rPr>
          <w:rFonts w:eastAsia="宋体" w:hint="eastAsia"/>
          <w:b/>
          <w:szCs w:val="22"/>
          <w:lang w:val="en-US" w:eastAsia="zh-CN" w:bidi="ar"/>
        </w:rPr>
        <w:t>6</w:t>
      </w:r>
      <w:r>
        <w:rPr>
          <w:rFonts w:eastAsia="宋体"/>
          <w:b/>
          <w:szCs w:val="22"/>
          <w:lang w:val="en-US" w:eastAsia="zh-CN" w:bidi="ar"/>
        </w:rPr>
        <w:t>th</w:t>
      </w:r>
      <w:r>
        <w:rPr>
          <w:rFonts w:eastAsia="宋体"/>
          <w:b/>
          <w:szCs w:val="22"/>
          <w:lang w:val="de" w:eastAsia="zh-CN" w:bidi="ar"/>
        </w:rPr>
        <w:t>, 202</w:t>
      </w:r>
      <w:r>
        <w:rPr>
          <w:rFonts w:eastAsia="宋体"/>
          <w:b/>
          <w:szCs w:val="22"/>
          <w:lang w:val="en-US" w:eastAsia="zh-CN" w:bidi="ar"/>
        </w:rPr>
        <w:t>2</w:t>
      </w:r>
    </w:p>
    <w:p w:rsidR="008714DB" w:rsidRDefault="008714DB">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8714DB" w:rsidRDefault="00F27B11">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8714DB" w:rsidRDefault="00F27B11">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 xml:space="preserve">Consideration on the Target cell ID for the Short MAC I Calculation </w:t>
      </w:r>
    </w:p>
    <w:p w:rsidR="008714DB" w:rsidRDefault="00F27B11">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5.1.3.1.1</w:t>
      </w:r>
      <w:r>
        <w:rPr>
          <w:rFonts w:ascii="Arial" w:hAnsi="Arial" w:cs="Arial" w:hint="eastAsia"/>
          <w:b/>
          <w:bCs/>
          <w:snapToGrid w:val="0"/>
          <w:kern w:val="0"/>
          <w:sz w:val="24"/>
        </w:rPr>
        <w:tab/>
      </w:r>
    </w:p>
    <w:p w:rsidR="008714DB" w:rsidRDefault="00F27B11">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8714DB" w:rsidRDefault="00F27B1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8714DB" w:rsidRDefault="0043483D">
      <w:r>
        <w:rPr>
          <w:rFonts w:hint="eastAsia"/>
        </w:rPr>
        <w:t>In the last meeting, a</w:t>
      </w:r>
      <w:r w:rsidR="00F27B11">
        <w:rPr>
          <w:rFonts w:hint="eastAsia"/>
        </w:rPr>
        <w:t xml:space="preserve"> LS was received</w:t>
      </w:r>
      <w:r w:rsidR="00F27B11">
        <w:t xml:space="preserve"> fr</w:t>
      </w:r>
      <w:r w:rsidR="00F27B11">
        <w:rPr>
          <w:rFonts w:hint="eastAsia"/>
        </w:rPr>
        <w:t>o</w:t>
      </w:r>
      <w:r w:rsidR="00F27B11">
        <w:t>m RAN3 on the target cell ID</w:t>
      </w:r>
      <w:r w:rsidR="00F633E5">
        <w:t xml:space="preserve"> </w:t>
      </w:r>
      <w:r>
        <w:t xml:space="preserve">setting for the NPN-only cell </w:t>
      </w:r>
      <w:r w:rsidR="00F633E5">
        <w:t>[1]</w:t>
      </w:r>
      <w:r w:rsidR="00F27B11">
        <w:t xml:space="preserve">. In this paper, we give our views on </w:t>
      </w:r>
      <w:r>
        <w:t>it from RAN2 aspec</w:t>
      </w:r>
      <w:r w:rsidR="00AC63A1">
        <w:t>t</w:t>
      </w:r>
      <w:r w:rsidR="00F27B11">
        <w:t>.</w:t>
      </w:r>
    </w:p>
    <w:p w:rsidR="008714DB" w:rsidRDefault="00F27B1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8714DB" w:rsidRDefault="00F27B11">
      <w:r>
        <w:t>In this paper we first give short description on the short</w:t>
      </w:r>
      <w:r>
        <w:rPr>
          <w:rFonts w:hint="eastAsia"/>
        </w:rPr>
        <w:t xml:space="preserve"> </w:t>
      </w:r>
      <w:r>
        <w:t>MAC I calculation, then share our understanding for the network sharing case, at last we give our views on the target cell ID setting for the NPN-only case.</w:t>
      </w:r>
    </w:p>
    <w:p w:rsidR="008714DB" w:rsidRDefault="00F27B11">
      <w:pPr>
        <w:pStyle w:val="2"/>
        <w:ind w:left="576" w:hanging="576"/>
        <w:rPr>
          <w:rFonts w:eastAsia="宋体" w:cs="Arial"/>
          <w:b w:val="0"/>
          <w:bCs w:val="0"/>
          <w:color w:val="000000"/>
          <w:szCs w:val="22"/>
          <w:lang w:val="en-US"/>
        </w:rPr>
      </w:pPr>
      <w:r>
        <w:rPr>
          <w:rFonts w:eastAsia="宋体" w:cs="Arial" w:hint="eastAsia"/>
          <w:b w:val="0"/>
          <w:bCs w:val="0"/>
          <w:color w:val="000000"/>
          <w:szCs w:val="22"/>
          <w:lang w:val="en-US"/>
        </w:rPr>
        <w:t>2.1 MAC-I Calculation for the PLMN network sharing</w:t>
      </w:r>
    </w:p>
    <w:p w:rsidR="008714DB" w:rsidRDefault="00F27B11" w:rsidP="000B6A1D">
      <w:pPr>
        <w:pStyle w:val="B1"/>
        <w:ind w:left="0" w:firstLine="0"/>
        <w:jc w:val="both"/>
        <w:rPr>
          <w:kern w:val="2"/>
          <w:sz w:val="21"/>
          <w:szCs w:val="24"/>
          <w:lang w:val="en-US" w:eastAsia="zh-CN"/>
        </w:rPr>
      </w:pPr>
      <w:r>
        <w:rPr>
          <w:rFonts w:hint="eastAsia"/>
          <w:kern w:val="2"/>
          <w:sz w:val="21"/>
          <w:szCs w:val="24"/>
          <w:lang w:val="en-US" w:eastAsia="zh-CN"/>
        </w:rPr>
        <w:t xml:space="preserve">For the Short </w:t>
      </w:r>
      <w:r>
        <w:rPr>
          <w:kern w:val="2"/>
          <w:sz w:val="21"/>
          <w:szCs w:val="24"/>
          <w:lang w:val="en-US" w:eastAsia="zh-CN"/>
        </w:rPr>
        <w:t>MAC-I</w:t>
      </w:r>
      <w:r>
        <w:rPr>
          <w:rFonts w:hint="eastAsia"/>
          <w:kern w:val="2"/>
          <w:sz w:val="21"/>
          <w:szCs w:val="24"/>
          <w:lang w:val="en-US" w:eastAsia="zh-CN"/>
        </w:rPr>
        <w:t xml:space="preserve"> calculation, there are 3 inputs (</w:t>
      </w:r>
      <w:r w:rsidR="000B6A1D">
        <w:rPr>
          <w:kern w:val="2"/>
          <w:sz w:val="21"/>
          <w:szCs w:val="24"/>
          <w:lang w:val="en-US" w:eastAsia="zh-CN"/>
        </w:rPr>
        <w:t xml:space="preserve">e.g. </w:t>
      </w:r>
      <w:proofErr w:type="spellStart"/>
      <w:r>
        <w:rPr>
          <w:kern w:val="2"/>
          <w:sz w:val="21"/>
          <w:szCs w:val="24"/>
          <w:lang w:val="en-US" w:eastAsia="zh-CN"/>
        </w:rPr>
        <w:t>VarResumeMAC</w:t>
      </w:r>
      <w:proofErr w:type="spellEnd"/>
      <w:r>
        <w:rPr>
          <w:kern w:val="2"/>
          <w:sz w:val="21"/>
          <w:szCs w:val="24"/>
          <w:lang w:val="en-US" w:eastAsia="zh-CN"/>
        </w:rPr>
        <w:t>-Input</w:t>
      </w:r>
      <w:r>
        <w:rPr>
          <w:rFonts w:hint="eastAsia"/>
          <w:kern w:val="2"/>
          <w:sz w:val="21"/>
          <w:szCs w:val="24"/>
          <w:lang w:val="en-US" w:eastAsia="zh-CN"/>
        </w:rPr>
        <w:t xml:space="preserve">: </w:t>
      </w:r>
      <w:r>
        <w:rPr>
          <w:kern w:val="2"/>
          <w:sz w:val="21"/>
          <w:szCs w:val="24"/>
          <w:lang w:val="en-US" w:eastAsia="zh-CN"/>
        </w:rPr>
        <w:t xml:space="preserve">source PCI, target Cell-ID, </w:t>
      </w:r>
      <w:r w:rsidR="004B69AA">
        <w:rPr>
          <w:kern w:val="2"/>
          <w:sz w:val="21"/>
          <w:szCs w:val="24"/>
          <w:lang w:val="en-US" w:eastAsia="zh-CN"/>
        </w:rPr>
        <w:t>and source</w:t>
      </w:r>
      <w:r>
        <w:rPr>
          <w:kern w:val="2"/>
          <w:sz w:val="21"/>
          <w:szCs w:val="24"/>
          <w:lang w:val="en-US" w:eastAsia="zh-CN"/>
        </w:rPr>
        <w:t xml:space="preserve"> C-RNTI</w:t>
      </w:r>
      <w:r>
        <w:rPr>
          <w:rFonts w:hint="eastAsia"/>
          <w:kern w:val="2"/>
          <w:sz w:val="21"/>
          <w:szCs w:val="24"/>
          <w:lang w:val="en-US" w:eastAsia="zh-CN"/>
        </w:rPr>
        <w:t xml:space="preserve">). To retrieve the UE context, the target </w:t>
      </w:r>
      <w:proofErr w:type="spellStart"/>
      <w:r>
        <w:rPr>
          <w:rFonts w:hint="eastAsia"/>
          <w:kern w:val="2"/>
          <w:sz w:val="21"/>
          <w:szCs w:val="24"/>
          <w:lang w:val="en-US" w:eastAsia="zh-CN"/>
        </w:rPr>
        <w:t>gNB</w:t>
      </w:r>
      <w:proofErr w:type="spellEnd"/>
      <w:r>
        <w:rPr>
          <w:rFonts w:hint="eastAsia"/>
          <w:kern w:val="2"/>
          <w:sz w:val="21"/>
          <w:szCs w:val="24"/>
          <w:lang w:val="en-US" w:eastAsia="zh-CN"/>
        </w:rPr>
        <w:t xml:space="preserve"> would indicate the target cell ID </w:t>
      </w:r>
      <w:r w:rsidR="0043483D">
        <w:rPr>
          <w:kern w:val="2"/>
          <w:sz w:val="21"/>
          <w:szCs w:val="24"/>
          <w:lang w:val="en-US" w:eastAsia="zh-CN"/>
        </w:rPr>
        <w:t>(</w:t>
      </w:r>
      <w:r w:rsidR="0043483D">
        <w:t>New Cell Identifier</w:t>
      </w:r>
      <w:r w:rsidR="0043483D">
        <w:rPr>
          <w:kern w:val="2"/>
          <w:sz w:val="21"/>
          <w:szCs w:val="24"/>
          <w:lang w:val="en-US" w:eastAsia="zh-CN"/>
        </w:rPr>
        <w:t xml:space="preserve">) </w:t>
      </w:r>
      <w:r>
        <w:rPr>
          <w:rFonts w:hint="eastAsia"/>
          <w:kern w:val="2"/>
          <w:sz w:val="21"/>
          <w:szCs w:val="24"/>
          <w:lang w:val="en-US" w:eastAsia="zh-CN"/>
        </w:rPr>
        <w:t>information as below</w:t>
      </w:r>
    </w:p>
    <w:tbl>
      <w:tblPr>
        <w:tblW w:w="9613"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3"/>
        <w:gridCol w:w="7470"/>
      </w:tblGrid>
      <w:tr w:rsidR="008714DB">
        <w:tc>
          <w:tcPr>
            <w:tcW w:w="2143" w:type="dxa"/>
          </w:tcPr>
          <w:p w:rsidR="008714DB" w:rsidRDefault="00F27B11">
            <w:pPr>
              <w:pStyle w:val="TAL"/>
              <w:rPr>
                <w:lang w:eastAsia="ja-JP"/>
              </w:rPr>
            </w:pPr>
            <w:r>
              <w:rPr>
                <w:lang w:eastAsia="ja-JP"/>
              </w:rPr>
              <w:t>New Cell Identifier</w:t>
            </w:r>
          </w:p>
        </w:tc>
        <w:tc>
          <w:tcPr>
            <w:tcW w:w="7470" w:type="dxa"/>
          </w:tcPr>
          <w:p w:rsidR="008714DB" w:rsidRDefault="00F27B11">
            <w:pPr>
              <w:pStyle w:val="TAL"/>
              <w:spacing w:line="200" w:lineRule="exact"/>
              <w:rPr>
                <w:b/>
                <w:lang w:eastAsia="ja-JP"/>
              </w:rPr>
            </w:pPr>
            <w:r>
              <w:rPr>
                <w:b/>
                <w:lang w:eastAsia="ja-JP"/>
              </w:rPr>
              <w:t>RRC Resume:</w:t>
            </w:r>
          </w:p>
          <w:p w:rsidR="008714DB" w:rsidRDefault="00F27B11">
            <w:pPr>
              <w:pStyle w:val="TAL"/>
              <w:spacing w:line="200" w:lineRule="exact"/>
              <w:rPr>
                <w:lang w:eastAsia="ja-JP"/>
              </w:rPr>
            </w:pPr>
            <w:r>
              <w:rPr>
                <w:lang w:eastAsia="ja-JP"/>
              </w:rPr>
              <w:t xml:space="preserve">Corresponds to the </w:t>
            </w:r>
            <w:proofErr w:type="spellStart"/>
            <w:r>
              <w:rPr>
                <w:i/>
                <w:lang w:eastAsia="ja-JP"/>
              </w:rPr>
              <w:t>targetCellIdentity</w:t>
            </w:r>
            <w:proofErr w:type="spellEnd"/>
            <w:r>
              <w:rPr>
                <w:lang w:eastAsia="ja-JP"/>
              </w:rPr>
              <w:t xml:space="preserve"> within the </w:t>
            </w:r>
            <w:proofErr w:type="spellStart"/>
            <w:r>
              <w:rPr>
                <w:i/>
                <w:lang w:eastAsia="ja-JP"/>
              </w:rPr>
              <w:t>VarResumeMAC</w:t>
            </w:r>
            <w:proofErr w:type="spellEnd"/>
            <w:r>
              <w:rPr>
                <w:i/>
                <w:lang w:eastAsia="ja-JP"/>
              </w:rPr>
              <w:t>-Input</w:t>
            </w:r>
            <w:r>
              <w:rPr>
                <w:lang w:eastAsia="ja-JP"/>
              </w:rPr>
              <w:t xml:space="preserve"> as specified in TS 38.331 [10] or the </w:t>
            </w:r>
            <w:proofErr w:type="spellStart"/>
            <w:r>
              <w:rPr>
                <w:i/>
                <w:lang w:eastAsia="ja-JP"/>
              </w:rPr>
              <w:t>cellIdentity</w:t>
            </w:r>
            <w:proofErr w:type="spellEnd"/>
            <w:r>
              <w:rPr>
                <w:lang w:eastAsia="ja-JP"/>
              </w:rPr>
              <w:t xml:space="preserve"> within the </w:t>
            </w:r>
            <w:proofErr w:type="spellStart"/>
            <w:r>
              <w:rPr>
                <w:i/>
              </w:rPr>
              <w:t>VarShortINACTIVE</w:t>
            </w:r>
            <w:proofErr w:type="spellEnd"/>
            <w:r>
              <w:rPr>
                <w:i/>
              </w:rPr>
              <w:t>-MAC-Input</w:t>
            </w:r>
            <w:r>
              <w:rPr>
                <w:rFonts w:eastAsia="宋体" w:hint="eastAsia"/>
                <w:i/>
                <w:lang w:val="en-US"/>
              </w:rPr>
              <w:t xml:space="preserve"> </w:t>
            </w:r>
            <w:r>
              <w:rPr>
                <w:lang w:eastAsia="ja-JP"/>
              </w:rPr>
              <w:t>as specified in TS 36.331 [14].</w:t>
            </w:r>
          </w:p>
          <w:p w:rsidR="008714DB" w:rsidRDefault="00F27B11">
            <w:pPr>
              <w:pStyle w:val="TAL"/>
              <w:spacing w:line="200" w:lineRule="exact"/>
              <w:rPr>
                <w:b/>
                <w:lang w:eastAsia="ja-JP"/>
              </w:rPr>
            </w:pPr>
            <w:r>
              <w:rPr>
                <w:b/>
                <w:lang w:eastAsia="ja-JP"/>
              </w:rPr>
              <w:t>RRC Reestablishment:</w:t>
            </w:r>
          </w:p>
          <w:p w:rsidR="008714DB" w:rsidRDefault="00F27B11">
            <w:pPr>
              <w:pStyle w:val="TAL"/>
              <w:spacing w:line="200" w:lineRule="exact"/>
            </w:pPr>
            <w:r>
              <w:rPr>
                <w:lang w:eastAsia="ja-JP"/>
              </w:rPr>
              <w:t xml:space="preserve">Corresponds to the </w:t>
            </w:r>
            <w:proofErr w:type="spellStart"/>
            <w:r>
              <w:rPr>
                <w:i/>
                <w:lang w:eastAsia="ja-JP"/>
              </w:rPr>
              <w:t>targetCellIdentity</w:t>
            </w:r>
            <w:proofErr w:type="spellEnd"/>
            <w:r>
              <w:rPr>
                <w:lang w:eastAsia="ja-JP"/>
              </w:rPr>
              <w:t xml:space="preserve"> within the </w:t>
            </w:r>
            <w:proofErr w:type="spellStart"/>
            <w:r>
              <w:rPr>
                <w:i/>
                <w:lang w:eastAsia="ja-JP"/>
              </w:rPr>
              <w:t>VarShortMAC</w:t>
            </w:r>
            <w:proofErr w:type="spellEnd"/>
            <w:r>
              <w:rPr>
                <w:i/>
                <w:lang w:eastAsia="ja-JP"/>
              </w:rPr>
              <w:t>-Input</w:t>
            </w:r>
            <w:r>
              <w:rPr>
                <w:lang w:eastAsia="ja-JP"/>
              </w:rPr>
              <w:t xml:space="preserve"> as specified in TS 38.331 [10] or the </w:t>
            </w:r>
            <w:proofErr w:type="spellStart"/>
            <w:r>
              <w:rPr>
                <w:i/>
                <w:lang w:eastAsia="ja-JP"/>
              </w:rPr>
              <w:t>cellIdentity</w:t>
            </w:r>
            <w:proofErr w:type="spellEnd"/>
            <w:r>
              <w:rPr>
                <w:lang w:eastAsia="ja-JP"/>
              </w:rPr>
              <w:t xml:space="preserve"> within the </w:t>
            </w:r>
            <w:proofErr w:type="spellStart"/>
            <w:r>
              <w:rPr>
                <w:i/>
              </w:rPr>
              <w:t>VarShortMAC</w:t>
            </w:r>
            <w:proofErr w:type="spellEnd"/>
            <w:r>
              <w:rPr>
                <w:i/>
              </w:rPr>
              <w:t>-Input</w:t>
            </w:r>
            <w:r>
              <w:t xml:space="preserve"> </w:t>
            </w:r>
            <w:r>
              <w:rPr>
                <w:lang w:eastAsia="ja-JP"/>
              </w:rPr>
              <w:t>as specified in TS 36.331 [14].</w:t>
            </w:r>
            <w:r>
              <w:t xml:space="preserve"> </w:t>
            </w:r>
          </w:p>
          <w:p w:rsidR="008714DB" w:rsidRDefault="00F27B11">
            <w:pPr>
              <w:pStyle w:val="TAL"/>
              <w:spacing w:line="200" w:lineRule="exact"/>
              <w:rPr>
                <w:b/>
                <w:bCs/>
                <w:lang w:eastAsia="ja-JP"/>
              </w:rPr>
            </w:pPr>
            <w:r>
              <w:rPr>
                <w:b/>
                <w:bCs/>
                <w:lang w:eastAsia="ja-JP"/>
              </w:rPr>
              <w:t xml:space="preserve">RRC Resume for UP </w:t>
            </w:r>
            <w:proofErr w:type="spellStart"/>
            <w:r>
              <w:rPr>
                <w:b/>
                <w:bCs/>
                <w:lang w:eastAsia="ja-JP"/>
              </w:rPr>
              <w:t>CIoT</w:t>
            </w:r>
            <w:proofErr w:type="spellEnd"/>
            <w:r>
              <w:rPr>
                <w:b/>
                <w:bCs/>
                <w:lang w:eastAsia="ja-JP"/>
              </w:rPr>
              <w:t xml:space="preserve"> Optimization:</w:t>
            </w:r>
          </w:p>
          <w:p w:rsidR="008714DB" w:rsidRDefault="00F27B11">
            <w:pPr>
              <w:spacing w:line="200" w:lineRule="exact"/>
              <w:rPr>
                <w:lang w:eastAsia="ja-JP"/>
              </w:rPr>
            </w:pPr>
            <w:r>
              <w:rPr>
                <w:sz w:val="18"/>
                <w:szCs w:val="18"/>
                <w:lang w:eastAsia="ja-JP"/>
              </w:rPr>
              <w:t xml:space="preserve">Corresponds to the </w:t>
            </w:r>
            <w:proofErr w:type="spellStart"/>
            <w:r>
              <w:rPr>
                <w:i/>
                <w:sz w:val="18"/>
                <w:szCs w:val="18"/>
                <w:lang w:eastAsia="ja-JP"/>
              </w:rPr>
              <w:t>cellIdentity</w:t>
            </w:r>
            <w:proofErr w:type="spellEnd"/>
            <w:r>
              <w:rPr>
                <w:sz w:val="18"/>
                <w:szCs w:val="18"/>
                <w:lang w:eastAsia="ja-JP"/>
              </w:rPr>
              <w:t xml:space="preserve"> within the </w:t>
            </w:r>
            <w:proofErr w:type="spellStart"/>
            <w:r>
              <w:rPr>
                <w:i/>
                <w:sz w:val="18"/>
                <w:szCs w:val="18"/>
                <w:lang w:eastAsia="ja-JP"/>
              </w:rPr>
              <w:t>VarShortResumeMAC</w:t>
            </w:r>
            <w:proofErr w:type="spellEnd"/>
            <w:r>
              <w:rPr>
                <w:i/>
                <w:sz w:val="18"/>
                <w:szCs w:val="18"/>
                <w:lang w:eastAsia="ja-JP"/>
              </w:rPr>
              <w:t>-Input</w:t>
            </w:r>
            <w:r>
              <w:rPr>
                <w:rFonts w:eastAsia="宋体" w:hint="eastAsia"/>
                <w:i/>
                <w:sz w:val="18"/>
                <w:szCs w:val="18"/>
              </w:rPr>
              <w:t xml:space="preserve"> </w:t>
            </w:r>
            <w:r>
              <w:rPr>
                <w:sz w:val="18"/>
                <w:szCs w:val="18"/>
                <w:lang w:eastAsia="ja-JP"/>
              </w:rPr>
              <w:t xml:space="preserve">or </w:t>
            </w:r>
            <w:proofErr w:type="spellStart"/>
            <w:r>
              <w:rPr>
                <w:i/>
                <w:sz w:val="18"/>
                <w:szCs w:val="18"/>
                <w:lang w:eastAsia="ja-JP"/>
              </w:rPr>
              <w:t>VarShortResumeMAC</w:t>
            </w:r>
            <w:proofErr w:type="spellEnd"/>
            <w:r>
              <w:rPr>
                <w:i/>
                <w:sz w:val="18"/>
                <w:szCs w:val="18"/>
                <w:lang w:eastAsia="ja-JP"/>
              </w:rPr>
              <w:t>-Input-NB</w:t>
            </w:r>
            <w:r>
              <w:rPr>
                <w:rFonts w:eastAsia="宋体" w:hint="eastAsia"/>
                <w:i/>
                <w:sz w:val="18"/>
                <w:szCs w:val="18"/>
              </w:rPr>
              <w:t xml:space="preserve"> </w:t>
            </w:r>
            <w:r>
              <w:rPr>
                <w:sz w:val="18"/>
                <w:szCs w:val="18"/>
                <w:lang w:eastAsia="ja-JP"/>
              </w:rPr>
              <w:t>as specified in TS 36.331 [14].</w:t>
            </w:r>
          </w:p>
        </w:tc>
      </w:tr>
    </w:tbl>
    <w:p w:rsidR="008714DB" w:rsidRDefault="00F27B11">
      <w:pPr>
        <w:pStyle w:val="B1"/>
        <w:ind w:left="0" w:firstLine="0"/>
        <w:jc w:val="both"/>
        <w:rPr>
          <w:kern w:val="2"/>
          <w:sz w:val="21"/>
          <w:szCs w:val="24"/>
          <w:lang w:val="en-US" w:eastAsia="zh-CN"/>
        </w:rPr>
      </w:pPr>
      <w:r>
        <w:rPr>
          <w:rFonts w:hint="eastAsia"/>
          <w:kern w:val="2"/>
          <w:sz w:val="21"/>
          <w:szCs w:val="24"/>
          <w:lang w:val="en-US" w:eastAsia="zh-CN"/>
        </w:rPr>
        <w:t xml:space="preserve">Then the source </w:t>
      </w:r>
      <w:proofErr w:type="spellStart"/>
      <w:r>
        <w:rPr>
          <w:rFonts w:hint="eastAsia"/>
          <w:kern w:val="2"/>
          <w:sz w:val="21"/>
          <w:szCs w:val="24"/>
          <w:lang w:val="en-US" w:eastAsia="zh-CN"/>
        </w:rPr>
        <w:t>gNB</w:t>
      </w:r>
      <w:proofErr w:type="spellEnd"/>
      <w:r>
        <w:rPr>
          <w:rFonts w:hint="eastAsia"/>
          <w:kern w:val="2"/>
          <w:sz w:val="21"/>
          <w:szCs w:val="24"/>
          <w:lang w:val="en-US" w:eastAsia="zh-CN"/>
        </w:rPr>
        <w:t>/ng-</w:t>
      </w:r>
      <w:proofErr w:type="spellStart"/>
      <w:r>
        <w:rPr>
          <w:rFonts w:hint="eastAsia"/>
          <w:kern w:val="2"/>
          <w:sz w:val="21"/>
          <w:szCs w:val="24"/>
          <w:lang w:val="en-US" w:eastAsia="zh-CN"/>
        </w:rPr>
        <w:t>eNB</w:t>
      </w:r>
      <w:proofErr w:type="spellEnd"/>
      <w:r>
        <w:rPr>
          <w:rFonts w:hint="eastAsia"/>
          <w:kern w:val="2"/>
          <w:sz w:val="21"/>
          <w:szCs w:val="24"/>
          <w:lang w:val="en-US" w:eastAsia="zh-CN"/>
        </w:rPr>
        <w:t xml:space="preserve"> can obtain the target PCI and target ARFCN-DL/EARFCN-DL from a cell configuration database by means of the target Cell-ID which was received from the target </w:t>
      </w:r>
      <w:proofErr w:type="spellStart"/>
      <w:r>
        <w:rPr>
          <w:rFonts w:hint="eastAsia"/>
          <w:kern w:val="2"/>
          <w:sz w:val="21"/>
          <w:szCs w:val="24"/>
          <w:lang w:val="en-US" w:eastAsia="zh-CN"/>
        </w:rPr>
        <w:t>gNB</w:t>
      </w:r>
      <w:proofErr w:type="spellEnd"/>
      <w:r>
        <w:rPr>
          <w:rFonts w:hint="eastAsia"/>
          <w:kern w:val="2"/>
          <w:sz w:val="21"/>
          <w:szCs w:val="24"/>
          <w:lang w:val="en-US" w:eastAsia="zh-CN"/>
        </w:rPr>
        <w:t>/ng-</w:t>
      </w:r>
      <w:proofErr w:type="spellStart"/>
      <w:r>
        <w:rPr>
          <w:rFonts w:hint="eastAsia"/>
          <w:kern w:val="2"/>
          <w:sz w:val="21"/>
          <w:szCs w:val="24"/>
          <w:lang w:val="en-US" w:eastAsia="zh-CN"/>
        </w:rPr>
        <w:t>eNB</w:t>
      </w:r>
      <w:proofErr w:type="spellEnd"/>
      <w:r>
        <w:rPr>
          <w:rFonts w:hint="eastAsia"/>
          <w:kern w:val="2"/>
          <w:sz w:val="21"/>
          <w:szCs w:val="24"/>
          <w:lang w:val="en-US" w:eastAsia="zh-CN"/>
        </w:rPr>
        <w:t>. Considering the network sharing scenario, the</w:t>
      </w:r>
      <w:r>
        <w:rPr>
          <w:kern w:val="2"/>
          <w:sz w:val="21"/>
          <w:szCs w:val="24"/>
          <w:lang w:val="en-US" w:eastAsia="zh-CN"/>
        </w:rPr>
        <w:t xml:space="preserve"> </w:t>
      </w:r>
      <w:proofErr w:type="spellStart"/>
      <w:r>
        <w:rPr>
          <w:kern w:val="2"/>
          <w:sz w:val="21"/>
          <w:szCs w:val="24"/>
          <w:lang w:val="en-US" w:eastAsia="zh-CN"/>
        </w:rPr>
        <w:t>cellIdentity</w:t>
      </w:r>
      <w:proofErr w:type="spellEnd"/>
      <w:r>
        <w:rPr>
          <w:kern w:val="2"/>
          <w:sz w:val="21"/>
          <w:szCs w:val="24"/>
          <w:lang w:val="en-US" w:eastAsia="zh-CN"/>
        </w:rPr>
        <w:t xml:space="preserve"> of the first PLMN-Identity included in the PLMN-</w:t>
      </w:r>
      <w:proofErr w:type="spellStart"/>
      <w:r>
        <w:rPr>
          <w:kern w:val="2"/>
          <w:sz w:val="21"/>
          <w:szCs w:val="24"/>
          <w:lang w:val="en-US" w:eastAsia="zh-CN"/>
        </w:rPr>
        <w:t>IdentityInfoList</w:t>
      </w:r>
      <w:proofErr w:type="spellEnd"/>
      <w:r>
        <w:rPr>
          <w:kern w:val="2"/>
          <w:sz w:val="21"/>
          <w:szCs w:val="24"/>
          <w:lang w:val="en-US" w:eastAsia="zh-CN"/>
        </w:rPr>
        <w:t xml:space="preserve"> broadcasted in SIB1</w:t>
      </w:r>
      <w:r>
        <w:rPr>
          <w:rFonts w:hint="eastAsia"/>
          <w:kern w:val="2"/>
          <w:sz w:val="21"/>
          <w:szCs w:val="24"/>
          <w:lang w:val="en-US" w:eastAsia="zh-CN"/>
        </w:rPr>
        <w:t xml:space="preserve"> would be taken as the target cell. </w:t>
      </w:r>
    </w:p>
    <w:tbl>
      <w:tblPr>
        <w:tblStyle w:val="af5"/>
        <w:tblW w:w="0" w:type="auto"/>
        <w:tblLook w:val="04A0" w:firstRow="1" w:lastRow="0" w:firstColumn="1" w:lastColumn="0" w:noHBand="0" w:noVBand="1"/>
      </w:tblPr>
      <w:tblGrid>
        <w:gridCol w:w="9771"/>
      </w:tblGrid>
      <w:tr w:rsidR="008714DB">
        <w:tc>
          <w:tcPr>
            <w:tcW w:w="9997" w:type="dxa"/>
          </w:tcPr>
          <w:p w:rsidR="008714DB" w:rsidRDefault="00F27B11">
            <w:pPr>
              <w:pStyle w:val="TAL"/>
              <w:spacing w:line="200" w:lineRule="exact"/>
              <w:rPr>
                <w:b/>
                <w:lang w:val="en-US" w:eastAsia="ja-JP"/>
              </w:rPr>
            </w:pPr>
            <w:proofErr w:type="spellStart"/>
            <w:r>
              <w:rPr>
                <w:b/>
                <w:lang w:val="en-US"/>
              </w:rPr>
              <w:lastRenderedPageBreak/>
              <w:t>targetCellIdentity</w:t>
            </w:r>
            <w:proofErr w:type="spellEnd"/>
            <w:r>
              <w:rPr>
                <w:b/>
                <w:lang w:val="en-US"/>
              </w:rPr>
              <w:t xml:space="preserve"> </w:t>
            </w:r>
            <w:r>
              <w:rPr>
                <w:rFonts w:hint="eastAsia"/>
                <w:b/>
                <w:lang w:val="en-US"/>
              </w:rPr>
              <w:t>(for the resume case)</w:t>
            </w:r>
          </w:p>
          <w:p w:rsidR="008714DB" w:rsidRDefault="00F27B11">
            <w:pPr>
              <w:widowControl/>
              <w:jc w:val="left"/>
            </w:pPr>
            <w:r>
              <w:rPr>
                <w:rFonts w:ascii="Arial" w:eastAsia="MS Mincho" w:hAnsi="Arial" w:cs="Arial"/>
                <w:kern w:val="0"/>
                <w:sz w:val="18"/>
                <w:szCs w:val="18"/>
              </w:rPr>
              <w:t xml:space="preserve">An input variable used to calculate the </w:t>
            </w:r>
            <w:proofErr w:type="spellStart"/>
            <w:r>
              <w:rPr>
                <w:rFonts w:ascii="Arial" w:eastAsia="MS Mincho" w:hAnsi="Arial" w:cs="Arial"/>
                <w:kern w:val="0"/>
                <w:sz w:val="18"/>
                <w:szCs w:val="18"/>
              </w:rPr>
              <w:t>resumeMAC</w:t>
            </w:r>
            <w:proofErr w:type="spellEnd"/>
            <w:r>
              <w:rPr>
                <w:rFonts w:ascii="Arial" w:eastAsia="MS Mincho" w:hAnsi="Arial" w:cs="Arial"/>
                <w:kern w:val="0"/>
                <w:sz w:val="18"/>
                <w:szCs w:val="18"/>
              </w:rPr>
              <w:t xml:space="preserve">-I. Set to the </w:t>
            </w:r>
            <w:proofErr w:type="spellStart"/>
            <w:r>
              <w:rPr>
                <w:rFonts w:ascii="Arial" w:eastAsia="MS Mincho" w:hAnsi="Arial" w:cs="Arial"/>
                <w:kern w:val="0"/>
                <w:sz w:val="18"/>
                <w:szCs w:val="18"/>
              </w:rPr>
              <w:t>cellIdentity</w:t>
            </w:r>
            <w:proofErr w:type="spellEnd"/>
            <w:r>
              <w:rPr>
                <w:rFonts w:ascii="Arial" w:eastAsia="MS Mincho" w:hAnsi="Arial" w:cs="Arial"/>
                <w:kern w:val="0"/>
                <w:sz w:val="18"/>
                <w:szCs w:val="18"/>
              </w:rPr>
              <w:t xml:space="preserve"> of the first PLMN-Identity included in the PLMN-</w:t>
            </w:r>
            <w:proofErr w:type="spellStart"/>
            <w:r>
              <w:rPr>
                <w:rFonts w:ascii="Arial" w:eastAsia="MS Mincho" w:hAnsi="Arial" w:cs="Arial"/>
                <w:kern w:val="0"/>
                <w:sz w:val="18"/>
                <w:szCs w:val="18"/>
              </w:rPr>
              <w:t>IdentityInfoList</w:t>
            </w:r>
            <w:proofErr w:type="spellEnd"/>
            <w:r>
              <w:rPr>
                <w:rFonts w:ascii="Arial" w:eastAsia="MS Mincho" w:hAnsi="Arial" w:cs="Arial"/>
                <w:kern w:val="0"/>
                <w:sz w:val="18"/>
                <w:szCs w:val="18"/>
              </w:rPr>
              <w:t xml:space="preserve"> broadcasted in SIB1 of the target cell i.e. the cell the UE is trying to resume. </w:t>
            </w:r>
          </w:p>
        </w:tc>
      </w:tr>
    </w:tbl>
    <w:p w:rsidR="008714DB" w:rsidRDefault="008714DB">
      <w:pPr>
        <w:pStyle w:val="B1"/>
        <w:ind w:left="0" w:firstLine="0"/>
        <w:jc w:val="both"/>
        <w:rPr>
          <w:kern w:val="2"/>
          <w:sz w:val="21"/>
          <w:szCs w:val="24"/>
          <w:lang w:val="en-US" w:eastAsia="zh-CN"/>
        </w:rPr>
      </w:pPr>
    </w:p>
    <w:p w:rsidR="008714DB" w:rsidRDefault="00F27B11">
      <w:pPr>
        <w:pStyle w:val="B1"/>
        <w:ind w:left="0" w:firstLine="0"/>
        <w:jc w:val="both"/>
        <w:rPr>
          <w:kern w:val="2"/>
          <w:sz w:val="21"/>
          <w:szCs w:val="24"/>
          <w:lang w:val="en-US" w:eastAsia="zh-CN"/>
        </w:rPr>
      </w:pPr>
      <w:r>
        <w:rPr>
          <w:rFonts w:hint="eastAsia"/>
          <w:kern w:val="2"/>
          <w:sz w:val="21"/>
          <w:szCs w:val="24"/>
          <w:lang w:val="en-US" w:eastAsia="zh-CN"/>
        </w:rPr>
        <w:t>Take the Public network sharing scenario as an example, we assume there are 2 cells:</w:t>
      </w:r>
    </w:p>
    <w:p w:rsidR="008714DB" w:rsidRDefault="00F27B11" w:rsidP="00AD1F9D">
      <w:pPr>
        <w:pStyle w:val="B1"/>
        <w:numPr>
          <w:ilvl w:val="0"/>
          <w:numId w:val="9"/>
        </w:numPr>
        <w:jc w:val="both"/>
        <w:rPr>
          <w:kern w:val="2"/>
          <w:sz w:val="21"/>
          <w:szCs w:val="24"/>
          <w:lang w:val="en-US" w:eastAsia="zh-CN"/>
        </w:rPr>
      </w:pPr>
      <w:r>
        <w:rPr>
          <w:rFonts w:hint="eastAsia"/>
          <w:kern w:val="2"/>
          <w:sz w:val="21"/>
          <w:szCs w:val="24"/>
          <w:lang w:val="en-US" w:eastAsia="zh-CN"/>
        </w:rPr>
        <w:t>Cell 1: gNB1, broadca</w:t>
      </w:r>
      <w:r w:rsidR="0043483D">
        <w:rPr>
          <w:rFonts w:hint="eastAsia"/>
          <w:kern w:val="2"/>
          <w:sz w:val="21"/>
          <w:szCs w:val="24"/>
          <w:lang w:val="en-US" w:eastAsia="zh-CN"/>
        </w:rPr>
        <w:t>st PLMN 1, C</w:t>
      </w:r>
      <w:r w:rsidR="0043483D">
        <w:rPr>
          <w:kern w:val="2"/>
          <w:sz w:val="21"/>
          <w:szCs w:val="24"/>
          <w:lang w:val="en-US" w:eastAsia="zh-CN"/>
        </w:rPr>
        <w:t>ell ID</w:t>
      </w:r>
      <w:r>
        <w:rPr>
          <w:rFonts w:hint="eastAsia"/>
          <w:kern w:val="2"/>
          <w:sz w:val="21"/>
          <w:szCs w:val="24"/>
          <w:lang w:val="en-US" w:eastAsia="zh-CN"/>
        </w:rPr>
        <w:t xml:space="preserve"> 1 in the SIB1</w:t>
      </w:r>
    </w:p>
    <w:p w:rsidR="008714DB" w:rsidRDefault="00F27B11" w:rsidP="00AD1F9D">
      <w:pPr>
        <w:pStyle w:val="B1"/>
        <w:numPr>
          <w:ilvl w:val="0"/>
          <w:numId w:val="9"/>
        </w:numPr>
        <w:jc w:val="both"/>
        <w:rPr>
          <w:kern w:val="2"/>
          <w:sz w:val="21"/>
          <w:szCs w:val="24"/>
          <w:lang w:val="en-US" w:eastAsia="zh-CN"/>
        </w:rPr>
      </w:pPr>
      <w:r>
        <w:rPr>
          <w:rFonts w:hint="eastAsia"/>
          <w:kern w:val="2"/>
          <w:sz w:val="21"/>
          <w:szCs w:val="24"/>
          <w:lang w:val="en-US" w:eastAsia="zh-CN"/>
        </w:rPr>
        <w:t>Ce</w:t>
      </w:r>
      <w:r w:rsidR="0043483D">
        <w:rPr>
          <w:rFonts w:hint="eastAsia"/>
          <w:kern w:val="2"/>
          <w:sz w:val="21"/>
          <w:szCs w:val="24"/>
          <w:lang w:val="en-US" w:eastAsia="zh-CN"/>
        </w:rPr>
        <w:t>ll 2: gNB2, broadcast PLMN 2, C</w:t>
      </w:r>
      <w:r w:rsidR="0043483D">
        <w:rPr>
          <w:kern w:val="2"/>
          <w:sz w:val="21"/>
          <w:szCs w:val="24"/>
          <w:lang w:val="en-US" w:eastAsia="zh-CN"/>
        </w:rPr>
        <w:t>ell ID</w:t>
      </w:r>
      <w:r w:rsidR="0043483D">
        <w:rPr>
          <w:rFonts w:hint="eastAsia"/>
          <w:kern w:val="2"/>
          <w:sz w:val="21"/>
          <w:szCs w:val="24"/>
          <w:lang w:val="en-US" w:eastAsia="zh-CN"/>
        </w:rPr>
        <w:t xml:space="preserve"> </w:t>
      </w:r>
      <w:r w:rsidR="0043483D">
        <w:rPr>
          <w:kern w:val="2"/>
          <w:sz w:val="21"/>
          <w:szCs w:val="24"/>
          <w:lang w:val="en-US" w:eastAsia="zh-CN"/>
        </w:rPr>
        <w:t>3</w:t>
      </w:r>
      <w:r w:rsidR="0043483D">
        <w:rPr>
          <w:rFonts w:hint="eastAsia"/>
          <w:kern w:val="2"/>
          <w:sz w:val="21"/>
          <w:szCs w:val="24"/>
          <w:lang w:val="en-US" w:eastAsia="zh-CN"/>
        </w:rPr>
        <w:t xml:space="preserve"> and PLMN 1 </w:t>
      </w:r>
      <w:r w:rsidR="0043483D">
        <w:rPr>
          <w:kern w:val="2"/>
          <w:sz w:val="21"/>
          <w:szCs w:val="24"/>
          <w:lang w:val="en-US" w:eastAsia="zh-CN"/>
        </w:rPr>
        <w:t>Cell ID</w:t>
      </w:r>
      <w:r>
        <w:rPr>
          <w:rFonts w:hint="eastAsia"/>
          <w:kern w:val="2"/>
          <w:sz w:val="21"/>
          <w:szCs w:val="24"/>
          <w:lang w:val="en-US" w:eastAsia="zh-CN"/>
        </w:rPr>
        <w:t xml:space="preserve"> 2 in the SIB1</w:t>
      </w:r>
    </w:p>
    <w:p w:rsidR="008714DB" w:rsidRDefault="008714DB">
      <w:pPr>
        <w:pStyle w:val="B1"/>
        <w:ind w:left="0" w:firstLine="0"/>
        <w:jc w:val="both"/>
        <w:rPr>
          <w:kern w:val="2"/>
          <w:sz w:val="21"/>
          <w:szCs w:val="24"/>
          <w:lang w:val="en-US" w:eastAsia="zh-CN"/>
        </w:rPr>
      </w:pPr>
    </w:p>
    <w:p w:rsidR="008714DB" w:rsidRDefault="0043483D">
      <w:pPr>
        <w:pStyle w:val="B1"/>
        <w:ind w:left="0" w:firstLine="0"/>
        <w:jc w:val="center"/>
        <w:rPr>
          <w:kern w:val="2"/>
          <w:sz w:val="21"/>
          <w:szCs w:val="24"/>
          <w:lang w:val="en-US" w:eastAsia="zh-CN"/>
        </w:rPr>
      </w:pPr>
      <w:r>
        <w:rPr>
          <w:kern w:val="2"/>
          <w:sz w:val="21"/>
          <w:szCs w:val="24"/>
          <w:lang w:val="en-US" w:eastAsia="zh-CN"/>
        </w:rPr>
        <w:object w:dxaOrig="6405" w:dyaOrig="3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9.85pt;height:160.6pt" o:ole="">
            <v:imagedata r:id="rId9" o:title=""/>
            <o:lock v:ext="edit" aspectratio="f"/>
          </v:shape>
          <o:OLEObject Type="Embed" ProgID="Visio.Drawing.15" ShapeID="_x0000_i1025" DrawAspect="Content" ObjectID="_1721652373" r:id="rId10"/>
        </w:object>
      </w:r>
    </w:p>
    <w:p w:rsidR="00C40CED" w:rsidRPr="00AD1F9D" w:rsidRDefault="00C40CED">
      <w:pPr>
        <w:pStyle w:val="B1"/>
        <w:ind w:left="0" w:firstLine="0"/>
        <w:jc w:val="center"/>
        <w:rPr>
          <w:b/>
          <w:kern w:val="2"/>
          <w:sz w:val="21"/>
          <w:szCs w:val="24"/>
          <w:lang w:val="en-US" w:eastAsia="zh-CN"/>
        </w:rPr>
      </w:pPr>
      <w:r w:rsidRPr="00AD1F9D">
        <w:rPr>
          <w:b/>
          <w:kern w:val="2"/>
          <w:sz w:val="21"/>
          <w:szCs w:val="24"/>
          <w:lang w:val="en-US" w:eastAsia="zh-CN"/>
        </w:rPr>
        <w:t>Fig 1: Public network sharing</w:t>
      </w:r>
    </w:p>
    <w:p w:rsidR="008714DB" w:rsidRDefault="00F27B11">
      <w:pPr>
        <w:pStyle w:val="B1"/>
        <w:ind w:left="0" w:firstLine="0"/>
        <w:jc w:val="both"/>
        <w:rPr>
          <w:kern w:val="2"/>
          <w:sz w:val="21"/>
          <w:szCs w:val="24"/>
          <w:lang w:val="en-US" w:eastAsia="zh-CN"/>
        </w:rPr>
      </w:pPr>
      <w:r>
        <w:rPr>
          <w:rFonts w:hint="eastAsia"/>
          <w:kern w:val="2"/>
          <w:sz w:val="21"/>
          <w:szCs w:val="24"/>
          <w:lang w:val="en-US" w:eastAsia="zh-CN"/>
        </w:rPr>
        <w:t xml:space="preserve">When the UE moves from the Cell 1 to the Cell 2, </w:t>
      </w:r>
      <w:r w:rsidR="0043483D">
        <w:rPr>
          <w:rFonts w:hint="eastAsia"/>
          <w:kern w:val="2"/>
          <w:sz w:val="21"/>
          <w:szCs w:val="24"/>
          <w:lang w:val="en-US" w:eastAsia="zh-CN"/>
        </w:rPr>
        <w:t xml:space="preserve">the gNB 2 would set the (PLMN 2, </w:t>
      </w:r>
      <w:r w:rsidR="0043483D">
        <w:rPr>
          <w:kern w:val="2"/>
          <w:sz w:val="21"/>
          <w:szCs w:val="24"/>
          <w:lang w:val="en-US" w:eastAsia="zh-CN"/>
        </w:rPr>
        <w:t>Cell</w:t>
      </w:r>
      <w:r w:rsidR="0043483D">
        <w:rPr>
          <w:rFonts w:hint="eastAsia"/>
          <w:kern w:val="2"/>
          <w:sz w:val="21"/>
          <w:szCs w:val="24"/>
          <w:lang w:val="en-US" w:eastAsia="zh-CN"/>
        </w:rPr>
        <w:t xml:space="preserve"> ID </w:t>
      </w:r>
      <w:r w:rsidR="0043483D">
        <w:rPr>
          <w:kern w:val="2"/>
          <w:sz w:val="21"/>
          <w:szCs w:val="24"/>
          <w:lang w:val="en-US" w:eastAsia="zh-CN"/>
        </w:rPr>
        <w:t>3</w:t>
      </w:r>
      <w:r w:rsidR="0043483D">
        <w:rPr>
          <w:rFonts w:hint="eastAsia"/>
          <w:kern w:val="2"/>
          <w:sz w:val="21"/>
          <w:szCs w:val="24"/>
          <w:lang w:val="en-US" w:eastAsia="zh-CN"/>
        </w:rPr>
        <w:t>)</w:t>
      </w:r>
      <w:r w:rsidR="0043483D">
        <w:rPr>
          <w:kern w:val="2"/>
          <w:sz w:val="21"/>
          <w:szCs w:val="24"/>
          <w:lang w:val="en-US" w:eastAsia="zh-CN"/>
        </w:rPr>
        <w:t xml:space="preserve"> </w:t>
      </w:r>
      <w:r>
        <w:rPr>
          <w:rFonts w:hint="eastAsia"/>
          <w:kern w:val="2"/>
          <w:sz w:val="21"/>
          <w:szCs w:val="24"/>
          <w:lang w:val="en-US" w:eastAsia="zh-CN"/>
        </w:rPr>
        <w:t xml:space="preserve">as target Cell-ID. For the gNB 1, it will obtain the target PCI and target ARFCN-DL/EARFCN-DL from a cell configuration database by means of the (PLMN 2, </w:t>
      </w:r>
      <w:r w:rsidR="0043483D">
        <w:rPr>
          <w:kern w:val="2"/>
          <w:sz w:val="21"/>
          <w:szCs w:val="24"/>
          <w:lang w:val="en-US" w:eastAsia="zh-CN"/>
        </w:rPr>
        <w:t>Cell</w:t>
      </w:r>
      <w:r w:rsidR="0043483D">
        <w:rPr>
          <w:rFonts w:hint="eastAsia"/>
          <w:kern w:val="2"/>
          <w:sz w:val="21"/>
          <w:szCs w:val="24"/>
          <w:lang w:val="en-US" w:eastAsia="zh-CN"/>
        </w:rPr>
        <w:t xml:space="preserve"> ID</w:t>
      </w:r>
      <w:r>
        <w:rPr>
          <w:rFonts w:hint="eastAsia"/>
          <w:kern w:val="2"/>
          <w:sz w:val="21"/>
          <w:szCs w:val="24"/>
          <w:lang w:val="en-US" w:eastAsia="zh-CN"/>
        </w:rPr>
        <w:t xml:space="preserve"> </w:t>
      </w:r>
      <w:r w:rsidR="0043483D">
        <w:rPr>
          <w:kern w:val="2"/>
          <w:sz w:val="21"/>
          <w:szCs w:val="24"/>
          <w:lang w:val="en-US" w:eastAsia="zh-CN"/>
        </w:rPr>
        <w:t>3</w:t>
      </w:r>
      <w:r>
        <w:rPr>
          <w:rFonts w:hint="eastAsia"/>
          <w:kern w:val="2"/>
          <w:sz w:val="21"/>
          <w:szCs w:val="24"/>
          <w:lang w:val="en-US" w:eastAsia="zh-CN"/>
        </w:rPr>
        <w:t>). In other words, if the gNB 1 can</w:t>
      </w:r>
      <w:r>
        <w:rPr>
          <w:kern w:val="2"/>
          <w:sz w:val="21"/>
          <w:szCs w:val="24"/>
          <w:lang w:val="en-US" w:eastAsia="zh-CN"/>
        </w:rPr>
        <w:t>’</w:t>
      </w:r>
      <w:r>
        <w:rPr>
          <w:rFonts w:hint="eastAsia"/>
          <w:kern w:val="2"/>
          <w:sz w:val="21"/>
          <w:szCs w:val="24"/>
          <w:lang w:val="en-US" w:eastAsia="zh-CN"/>
        </w:rPr>
        <w:t>t get the correct PCI and the ARFCN, the context retrieve procedure would be failed. To avoid such kind of failure, the network can avoid to configure such kind of gNBs into the RAN area list.</w:t>
      </w:r>
    </w:p>
    <w:p w:rsidR="00C40CED" w:rsidRDefault="00C40CED">
      <w:pPr>
        <w:pStyle w:val="B1"/>
        <w:ind w:left="0" w:firstLine="0"/>
        <w:jc w:val="both"/>
        <w:rPr>
          <w:b/>
          <w:bCs/>
          <w:kern w:val="2"/>
          <w:sz w:val="21"/>
          <w:szCs w:val="24"/>
          <w:lang w:val="en-US" w:eastAsia="zh-CN"/>
        </w:rPr>
      </w:pPr>
      <w:r>
        <w:rPr>
          <w:b/>
          <w:bCs/>
          <w:kern w:val="2"/>
          <w:sz w:val="21"/>
          <w:szCs w:val="24"/>
          <w:lang w:val="en-US" w:eastAsia="zh-CN"/>
        </w:rPr>
        <w:t xml:space="preserve">Observation </w:t>
      </w:r>
      <w:r w:rsidR="00CB5FFB">
        <w:rPr>
          <w:b/>
          <w:bCs/>
          <w:kern w:val="2"/>
          <w:sz w:val="21"/>
          <w:szCs w:val="24"/>
          <w:lang w:val="en-US" w:eastAsia="zh-CN"/>
        </w:rPr>
        <w:t>1</w:t>
      </w:r>
      <w:r>
        <w:rPr>
          <w:b/>
          <w:bCs/>
          <w:kern w:val="2"/>
          <w:sz w:val="21"/>
          <w:szCs w:val="24"/>
          <w:lang w:val="en-US" w:eastAsia="zh-CN"/>
        </w:rPr>
        <w:t xml:space="preserve">: For the public network sharing scenario, the </w:t>
      </w:r>
      <w:r w:rsidR="00AD1F9D">
        <w:rPr>
          <w:b/>
          <w:bCs/>
          <w:kern w:val="2"/>
          <w:sz w:val="21"/>
          <w:szCs w:val="24"/>
          <w:lang w:val="en-US" w:eastAsia="zh-CN"/>
        </w:rPr>
        <w:t xml:space="preserve">source node shall be able to get the PCI and ARFCN </w:t>
      </w:r>
      <w:r w:rsidR="000D2278">
        <w:rPr>
          <w:b/>
          <w:bCs/>
          <w:kern w:val="2"/>
          <w:sz w:val="21"/>
          <w:szCs w:val="24"/>
          <w:lang w:val="en-US" w:eastAsia="zh-CN"/>
        </w:rPr>
        <w:t>by</w:t>
      </w:r>
      <w:r w:rsidR="00AD1F9D">
        <w:rPr>
          <w:b/>
          <w:bCs/>
          <w:kern w:val="2"/>
          <w:sz w:val="21"/>
          <w:szCs w:val="24"/>
          <w:lang w:val="en-US" w:eastAsia="zh-CN"/>
        </w:rPr>
        <w:t xml:space="preserve"> the target cell ID of the other sharing PLMN.</w:t>
      </w:r>
    </w:p>
    <w:p w:rsidR="00AD1F9D" w:rsidRPr="00AD1F9D" w:rsidRDefault="00AD1F9D">
      <w:pPr>
        <w:pStyle w:val="B1"/>
        <w:ind w:left="0" w:firstLine="0"/>
        <w:jc w:val="both"/>
        <w:rPr>
          <w:b/>
          <w:bCs/>
          <w:kern w:val="2"/>
          <w:sz w:val="21"/>
          <w:szCs w:val="24"/>
          <w:lang w:val="en-US" w:eastAsia="zh-CN"/>
        </w:rPr>
      </w:pPr>
    </w:p>
    <w:p w:rsidR="008714DB" w:rsidRDefault="00F27B11">
      <w:pPr>
        <w:pStyle w:val="2"/>
        <w:ind w:left="576" w:hanging="576"/>
        <w:rPr>
          <w:rFonts w:eastAsia="宋体" w:cs="Arial"/>
          <w:b w:val="0"/>
          <w:bCs w:val="0"/>
          <w:color w:val="000000"/>
          <w:szCs w:val="22"/>
          <w:lang w:val="en-US"/>
        </w:rPr>
      </w:pPr>
      <w:r>
        <w:rPr>
          <w:rFonts w:eastAsia="宋体" w:cs="Arial" w:hint="eastAsia"/>
          <w:b w:val="0"/>
          <w:bCs w:val="0"/>
          <w:color w:val="000000"/>
          <w:szCs w:val="22"/>
          <w:lang w:val="en-US"/>
        </w:rPr>
        <w:t xml:space="preserve">2.2 Target cell ID setting for the </w:t>
      </w:r>
      <w:r w:rsidR="00C40CED">
        <w:rPr>
          <w:rFonts w:eastAsia="宋体" w:cs="Arial"/>
          <w:b w:val="0"/>
          <w:bCs w:val="0"/>
          <w:color w:val="000000"/>
          <w:szCs w:val="22"/>
          <w:lang w:val="en-US"/>
        </w:rPr>
        <w:t>NPN</w:t>
      </w:r>
      <w:r>
        <w:rPr>
          <w:rFonts w:eastAsia="宋体" w:cs="Arial" w:hint="eastAsia"/>
          <w:b w:val="0"/>
          <w:bCs w:val="0"/>
          <w:color w:val="000000"/>
          <w:szCs w:val="22"/>
          <w:lang w:val="en-US"/>
        </w:rPr>
        <w:t xml:space="preserve"> cell</w:t>
      </w:r>
    </w:p>
    <w:p w:rsidR="008714DB" w:rsidRDefault="00F27B11">
      <w:r>
        <w:rPr>
          <w:rFonts w:hint="eastAsia"/>
        </w:rPr>
        <w:t>Based on the observation for the publ</w:t>
      </w:r>
      <w:r w:rsidR="00401C40">
        <w:rPr>
          <w:rFonts w:hint="eastAsia"/>
        </w:rPr>
        <w:t xml:space="preserve">ic network sharing scenario, </w:t>
      </w:r>
      <w:r w:rsidR="00401C40">
        <w:t xml:space="preserve">in this chapter we would </w:t>
      </w:r>
      <w:r>
        <w:rPr>
          <w:rFonts w:hint="eastAsia"/>
        </w:rPr>
        <w:t>discuss network sharing scenario with both public network and non-public</w:t>
      </w:r>
      <w:r w:rsidR="00401C40">
        <w:rPr>
          <w:rFonts w:hint="eastAsia"/>
        </w:rPr>
        <w:t xml:space="preserve"> network</w:t>
      </w:r>
      <w:r w:rsidR="00401C40">
        <w:t>, and also the scenario with NPN-only cell.</w:t>
      </w:r>
    </w:p>
    <w:p w:rsidR="00A52D43" w:rsidRDefault="00E031DD" w:rsidP="00A52D43">
      <w:r>
        <w:rPr>
          <w:rFonts w:hint="eastAsia"/>
        </w:rPr>
        <w:t>Take</w:t>
      </w:r>
      <w:r>
        <w:t xml:space="preserve"> the Fig 2 as an example:</w:t>
      </w:r>
      <w:r w:rsidR="00A52D43" w:rsidRPr="00A52D43">
        <w:t xml:space="preserve"> </w:t>
      </w:r>
      <w:r w:rsidR="00A52D43">
        <w:t>in which the cell 1/2 are the SNPN only cell while the cell 3/4 are the PNI-NPN only cell, the Cell 6 is a cell that shared by both the PLMN and NPN.</w:t>
      </w:r>
    </w:p>
    <w:p w:rsidR="00A52D43" w:rsidRDefault="00A52D43"/>
    <w:p w:rsidR="009D3D0E" w:rsidRDefault="00A52D43">
      <w:r>
        <w:object w:dxaOrig="9675" w:dyaOrig="5235">
          <v:shape id="_x0000_i1026" type="#_x0000_t75" style="width:483.9pt;height:261.7pt" o:ole="">
            <v:imagedata r:id="rId11" o:title=""/>
          </v:shape>
          <o:OLEObject Type="Embed" ProgID="Visio.Drawing.15" ShapeID="_x0000_i1026" DrawAspect="Content" ObjectID="_1721652374" r:id="rId12"/>
        </w:object>
      </w:r>
    </w:p>
    <w:p w:rsidR="00401C40" w:rsidRDefault="00401C40">
      <w:r>
        <w:t xml:space="preserve">Obviously, when the UE move to a cell that shared by both the public network and non-public network, </w:t>
      </w:r>
      <w:r w:rsidR="003F1C70">
        <w:t>the UE can take the first PLM</w:t>
      </w:r>
      <w:r w:rsidR="00CB5FFB">
        <w:t>N cell ID as the Target cell ID.</w:t>
      </w:r>
    </w:p>
    <w:p w:rsidR="003F1C70" w:rsidRPr="003F1C70" w:rsidRDefault="003F1C70" w:rsidP="003F1C70">
      <w:pPr>
        <w:rPr>
          <w:b/>
        </w:rPr>
      </w:pPr>
      <w:r>
        <w:rPr>
          <w:b/>
        </w:rPr>
        <w:t>Observation</w:t>
      </w:r>
      <w:r w:rsidRPr="008D7246">
        <w:rPr>
          <w:b/>
        </w:rPr>
        <w:t xml:space="preserve"> </w:t>
      </w:r>
      <w:r w:rsidR="004B69AA">
        <w:rPr>
          <w:b/>
        </w:rPr>
        <w:t>2</w:t>
      </w:r>
      <w:r w:rsidRPr="008D7246">
        <w:rPr>
          <w:b/>
        </w:rPr>
        <w:t xml:space="preserve">: </w:t>
      </w:r>
      <w:r w:rsidRPr="003F1C70">
        <w:rPr>
          <w:b/>
        </w:rPr>
        <w:t xml:space="preserve">For the </w:t>
      </w:r>
      <w:r w:rsidR="00CB5FFB">
        <w:rPr>
          <w:b/>
        </w:rPr>
        <w:t xml:space="preserve">cell that shared by both </w:t>
      </w:r>
      <w:r w:rsidR="00CB5FFB" w:rsidRPr="00CB5FFB">
        <w:rPr>
          <w:b/>
        </w:rPr>
        <w:t>the public network and non-public network</w:t>
      </w:r>
      <w:r w:rsidR="00CB5FFB" w:rsidRPr="003F1C70">
        <w:rPr>
          <w:b/>
        </w:rPr>
        <w:t xml:space="preserve"> </w:t>
      </w:r>
      <w:r w:rsidRPr="003F1C70">
        <w:rPr>
          <w:b/>
        </w:rPr>
        <w:t xml:space="preserve">cell, </w:t>
      </w:r>
      <w:r w:rsidR="00CB5FFB">
        <w:rPr>
          <w:b/>
        </w:rPr>
        <w:t xml:space="preserve">the UE can </w:t>
      </w:r>
      <w:r w:rsidRPr="003F1C70">
        <w:rPr>
          <w:b/>
        </w:rPr>
        <w:t>take the first PLM</w:t>
      </w:r>
      <w:r w:rsidR="00CB5FFB">
        <w:rPr>
          <w:b/>
        </w:rPr>
        <w:t>N cell ID as the target cell ID</w:t>
      </w:r>
      <w:r w:rsidR="0043483D">
        <w:rPr>
          <w:b/>
        </w:rPr>
        <w:t>.</w:t>
      </w:r>
    </w:p>
    <w:p w:rsidR="003F1C70" w:rsidRDefault="00CB5FFB">
      <w:r>
        <w:rPr>
          <w:rFonts w:hint="eastAsia"/>
        </w:rPr>
        <w:t>H</w:t>
      </w:r>
      <w:r>
        <w:t>owever for the NPN-only cell, there would be 2 options:</w:t>
      </w:r>
    </w:p>
    <w:p w:rsidR="00CB5FFB" w:rsidRDefault="00CB5FFB" w:rsidP="002F6512">
      <w:pPr>
        <w:pStyle w:val="afe"/>
        <w:numPr>
          <w:ilvl w:val="0"/>
          <w:numId w:val="10"/>
        </w:numPr>
        <w:ind w:firstLineChars="0"/>
      </w:pPr>
      <w:r>
        <w:t>Option 1: Take the first PLMN cell ID as the target cell ID</w:t>
      </w:r>
      <w:r w:rsidR="00B14594">
        <w:t>.</w:t>
      </w:r>
    </w:p>
    <w:p w:rsidR="00CB5FFB" w:rsidRDefault="00CB5FFB" w:rsidP="002F6512">
      <w:pPr>
        <w:pStyle w:val="afe"/>
        <w:numPr>
          <w:ilvl w:val="0"/>
          <w:numId w:val="10"/>
        </w:numPr>
        <w:ind w:firstLineChars="0"/>
      </w:pPr>
      <w:r>
        <w:t>Option 2: Take the first NPN cell ID as the target cell ID</w:t>
      </w:r>
      <w:r w:rsidR="00B14594">
        <w:t>.</w:t>
      </w:r>
    </w:p>
    <w:p w:rsidR="00A52D43" w:rsidRDefault="0043483D" w:rsidP="00CB5FFB">
      <w:r>
        <w:t xml:space="preserve">We can </w:t>
      </w:r>
      <w:r w:rsidR="00AC63A1">
        <w:t xml:space="preserve">compare these 2 options based on the above Fig 2. </w:t>
      </w:r>
      <w:r w:rsidR="00CB5FFB">
        <w:t>From the Fig 2, we can see that the NPN</w:t>
      </w:r>
      <w:r w:rsidR="00AC63A1">
        <w:t>-only</w:t>
      </w:r>
      <w:r w:rsidR="00CB5FFB">
        <w:t xml:space="preserve"> cell can be SNPN-only cell or PNI-NPN only cell, take the below 2 cases as an example:</w:t>
      </w:r>
      <w:r w:rsidR="00CB5FFB">
        <w:tab/>
      </w:r>
    </w:p>
    <w:p w:rsidR="00A52D43" w:rsidRPr="003C4619" w:rsidRDefault="00A52D43" w:rsidP="00A52D43">
      <w:pPr>
        <w:numPr>
          <w:ilvl w:val="0"/>
          <w:numId w:val="7"/>
        </w:numPr>
      </w:pPr>
      <w:r w:rsidRPr="003C4619">
        <w:t>Case 1</w:t>
      </w:r>
      <w:r>
        <w:t xml:space="preserve">: The target cell is the </w:t>
      </w:r>
      <w:r w:rsidR="00CB5FFB">
        <w:t>SNPN</w:t>
      </w:r>
      <w:r>
        <w:t xml:space="preserve"> only cell</w:t>
      </w:r>
      <w:r w:rsidRPr="003C4619">
        <w:t>, e</w:t>
      </w:r>
      <w:r w:rsidRPr="003C4619">
        <w:rPr>
          <w:rFonts w:hint="eastAsia"/>
        </w:rPr>
        <w:t>.</w:t>
      </w:r>
      <w:r>
        <w:t xml:space="preserve">g. cell </w:t>
      </w:r>
      <w:r w:rsidR="00CB5FFB">
        <w:t>1</w:t>
      </w:r>
    </w:p>
    <w:p w:rsidR="00CB5FFB" w:rsidRDefault="00A52D43" w:rsidP="00E12FA1">
      <w:pPr>
        <w:numPr>
          <w:ilvl w:val="0"/>
          <w:numId w:val="7"/>
        </w:numPr>
      </w:pPr>
      <w:r w:rsidRPr="003C4619">
        <w:t>Case 2:</w:t>
      </w:r>
      <w:r>
        <w:t xml:space="preserve"> The target cell is the </w:t>
      </w:r>
      <w:r w:rsidR="00CB5FFB">
        <w:t>PNI-NPN</w:t>
      </w:r>
      <w:r>
        <w:t xml:space="preserve"> only cell</w:t>
      </w:r>
      <w:r w:rsidRPr="003C4619">
        <w:t>, e</w:t>
      </w:r>
      <w:r w:rsidRPr="003C4619">
        <w:rPr>
          <w:rFonts w:hint="eastAsia"/>
        </w:rPr>
        <w:t>.</w:t>
      </w:r>
      <w:r w:rsidR="00CB5FFB">
        <w:t>g. cell 3</w:t>
      </w:r>
    </w:p>
    <w:p w:rsidR="009D783B" w:rsidRDefault="00CB5FFB" w:rsidP="00CB5FFB">
      <w:r>
        <w:rPr>
          <w:rFonts w:hint="eastAsia"/>
        </w:rPr>
        <w:t>F</w:t>
      </w:r>
      <w:r>
        <w:t xml:space="preserve">or the case 1, if go to </w:t>
      </w:r>
      <w:r w:rsidR="00AC63A1">
        <w:t xml:space="preserve">the </w:t>
      </w:r>
      <w:r>
        <w:t xml:space="preserve">option 1, </w:t>
      </w:r>
      <w:r w:rsidR="004700AE">
        <w:t xml:space="preserve">to get the correct PCI and ARFCN of the target cell, </w:t>
      </w:r>
      <w:r>
        <w:t xml:space="preserve">the </w:t>
      </w:r>
      <w:proofErr w:type="spellStart"/>
      <w:r>
        <w:t>gNB</w:t>
      </w:r>
      <w:proofErr w:type="spellEnd"/>
      <w:r>
        <w:t xml:space="preserve"> has to maintain a dat</w:t>
      </w:r>
      <w:r w:rsidR="000B6A1D">
        <w:t>a</w:t>
      </w:r>
      <w:r>
        <w:t>base</w:t>
      </w:r>
      <w:r w:rsidR="00F6628A">
        <w:t xml:space="preserve"> on PLMN x</w:t>
      </w:r>
      <w:r w:rsidR="009D783B">
        <w:t>.</w:t>
      </w:r>
    </w:p>
    <w:p w:rsidR="00CB5FFB" w:rsidRDefault="00F6628A" w:rsidP="00CB5FFB">
      <w:r>
        <w:t xml:space="preserve">For the case 2, if go to the option 1, </w:t>
      </w:r>
      <w:r w:rsidR="004700AE">
        <w:t>to get the correct P</w:t>
      </w:r>
      <w:bookmarkStart w:id="2" w:name="_GoBack"/>
      <w:bookmarkEnd w:id="2"/>
      <w:r w:rsidR="004700AE">
        <w:t xml:space="preserve">CI and ARFCN of the target cell, </w:t>
      </w:r>
      <w:r>
        <w:t xml:space="preserve">the </w:t>
      </w:r>
      <w:proofErr w:type="spellStart"/>
      <w:r>
        <w:t>gNB</w:t>
      </w:r>
      <w:proofErr w:type="spellEnd"/>
      <w:r>
        <w:t xml:space="preserve"> has to maintain a database on the PLMN y though the PLMN y is a forbidden PLMN according to the below note in stage 2 spec</w:t>
      </w:r>
      <w:r w:rsidR="00E63443">
        <w:t>.</w:t>
      </w:r>
    </w:p>
    <w:tbl>
      <w:tblPr>
        <w:tblStyle w:val="af5"/>
        <w:tblW w:w="0" w:type="auto"/>
        <w:tblLook w:val="04A0" w:firstRow="1" w:lastRow="0" w:firstColumn="1" w:lastColumn="0" w:noHBand="0" w:noVBand="1"/>
      </w:tblPr>
      <w:tblGrid>
        <w:gridCol w:w="9771"/>
      </w:tblGrid>
      <w:tr w:rsidR="00F6628A" w:rsidTr="00F6628A">
        <w:tc>
          <w:tcPr>
            <w:tcW w:w="9771" w:type="dxa"/>
          </w:tcPr>
          <w:p w:rsidR="00F6628A" w:rsidRDefault="00B14594" w:rsidP="00CB5FFB">
            <w:r w:rsidRPr="00A630F4">
              <w:rPr>
                <w:rFonts w:ascii="Times-Roman" w:eastAsia="宋体" w:hAnsi="Times-Roman" w:cs="宋体"/>
                <w:color w:val="000000"/>
                <w:kern w:val="0"/>
                <w:sz w:val="20"/>
                <w:szCs w:val="20"/>
              </w:rPr>
              <w:t>NOTE: A non-CAG-capable UE (e.g. Rel-15 UE) considers a CAG-only cell as acceptable cell if the cell is not barred to Rel-15 UEs, and if a PLMN ID without CAG list is broadcast and that PLMN is forbidden (e.g. by use of a PLMN ID for which all registration attempts are rejected such that the PLMN ID becomes forbidden).</w:t>
            </w:r>
          </w:p>
        </w:tc>
      </w:tr>
    </w:tbl>
    <w:p w:rsidR="000C55E1" w:rsidRDefault="000C55E1">
      <w:r>
        <w:t>Based on the above</w:t>
      </w:r>
      <w:r w:rsidR="009D783B">
        <w:t xml:space="preserve"> analysis</w:t>
      </w:r>
      <w:r>
        <w:t xml:space="preserve">, we can see that the Option 2 is much simpler. Furthermore, during the NPN system information validity discussion, for the NPN-only cell, it also take the first NPN identity into consideration. </w:t>
      </w:r>
    </w:p>
    <w:tbl>
      <w:tblPr>
        <w:tblStyle w:val="af5"/>
        <w:tblW w:w="0" w:type="auto"/>
        <w:tblLook w:val="04A0" w:firstRow="1" w:lastRow="0" w:firstColumn="1" w:lastColumn="0" w:noHBand="0" w:noVBand="1"/>
      </w:tblPr>
      <w:tblGrid>
        <w:gridCol w:w="9771"/>
      </w:tblGrid>
      <w:tr w:rsidR="000C55E1" w:rsidTr="000C55E1">
        <w:tc>
          <w:tcPr>
            <w:tcW w:w="9771" w:type="dxa"/>
          </w:tcPr>
          <w:p w:rsidR="000C55E1" w:rsidRPr="000C55E1" w:rsidRDefault="000C55E1" w:rsidP="000C55E1">
            <w:pPr>
              <w:widowControl/>
              <w:spacing w:after="0" w:line="240" w:lineRule="auto"/>
              <w:jc w:val="left"/>
              <w:rPr>
                <w:rFonts w:ascii="宋体" w:eastAsia="宋体" w:hAnsi="宋体" w:cs="宋体"/>
                <w:kern w:val="0"/>
                <w:sz w:val="24"/>
              </w:rPr>
            </w:pPr>
            <w:r w:rsidRPr="000C55E1">
              <w:rPr>
                <w:rFonts w:ascii="Times-Roman" w:eastAsia="宋体" w:hAnsi="Times-Roman" w:cs="宋体"/>
                <w:color w:val="000000"/>
                <w:kern w:val="0"/>
                <w:sz w:val="20"/>
                <w:szCs w:val="20"/>
              </w:rPr>
              <w:lastRenderedPageBreak/>
              <w:t xml:space="preserve">When the UE acquires a </w:t>
            </w:r>
            <w:r w:rsidRPr="000C55E1">
              <w:rPr>
                <w:rFonts w:ascii="Times-Italic" w:eastAsia="宋体" w:hAnsi="Times-Italic" w:cs="宋体"/>
                <w:i/>
                <w:iCs/>
                <w:color w:val="000000"/>
                <w:kern w:val="0"/>
                <w:sz w:val="20"/>
                <w:szCs w:val="20"/>
              </w:rPr>
              <w:t>MIB</w:t>
            </w:r>
            <w:r w:rsidRPr="000C55E1">
              <w:rPr>
                <w:rFonts w:ascii="Times-Roman" w:eastAsia="宋体" w:hAnsi="Times-Roman" w:cs="宋体"/>
                <w:color w:val="000000"/>
                <w:kern w:val="0"/>
                <w:sz w:val="20"/>
                <w:szCs w:val="20"/>
              </w:rPr>
              <w:t xml:space="preserve"> or a </w:t>
            </w:r>
            <w:r w:rsidRPr="000C55E1">
              <w:rPr>
                <w:rFonts w:ascii="Times-Italic" w:eastAsia="宋体" w:hAnsi="Times-Italic" w:cs="宋体"/>
                <w:i/>
                <w:iCs/>
                <w:color w:val="000000"/>
                <w:kern w:val="0"/>
                <w:sz w:val="20"/>
                <w:szCs w:val="20"/>
              </w:rPr>
              <w:t>SIB1</w:t>
            </w:r>
            <w:r w:rsidRPr="000C55E1">
              <w:rPr>
                <w:rFonts w:ascii="Times-Roman" w:eastAsia="宋体" w:hAnsi="Times-Roman" w:cs="宋体"/>
                <w:color w:val="000000"/>
                <w:kern w:val="0"/>
                <w:sz w:val="20"/>
                <w:szCs w:val="20"/>
              </w:rPr>
              <w:t xml:space="preserve"> or an SI message in a serving cell as described in clause 5.2.2.3, and if the UE </w:t>
            </w:r>
          </w:p>
          <w:p w:rsidR="000C55E1" w:rsidRPr="000C55E1" w:rsidRDefault="000C55E1" w:rsidP="000C55E1">
            <w:pPr>
              <w:widowControl/>
              <w:spacing w:after="0" w:line="240" w:lineRule="auto"/>
              <w:jc w:val="left"/>
              <w:rPr>
                <w:rFonts w:ascii="宋体" w:eastAsia="宋体" w:hAnsi="宋体" w:cs="宋体"/>
                <w:kern w:val="0"/>
                <w:sz w:val="24"/>
              </w:rPr>
            </w:pPr>
            <w:r w:rsidRPr="000C55E1">
              <w:rPr>
                <w:rFonts w:ascii="Times-Roman" w:eastAsia="宋体" w:hAnsi="Times-Roman" w:cs="宋体"/>
                <w:color w:val="000000"/>
                <w:kern w:val="0"/>
                <w:sz w:val="20"/>
                <w:szCs w:val="20"/>
              </w:rPr>
              <w:t xml:space="preserve">stores the acquired SIB, then the UE shall store the associated </w:t>
            </w:r>
            <w:r w:rsidRPr="000C55E1">
              <w:rPr>
                <w:rFonts w:ascii="Times-Italic" w:eastAsia="宋体" w:hAnsi="Times-Italic" w:cs="宋体"/>
                <w:i/>
                <w:iCs/>
                <w:color w:val="000000"/>
                <w:kern w:val="0"/>
                <w:sz w:val="20"/>
                <w:szCs w:val="20"/>
              </w:rPr>
              <w:t>areaScope</w:t>
            </w:r>
            <w:r w:rsidRPr="000C55E1">
              <w:rPr>
                <w:rFonts w:ascii="Times-Roman" w:eastAsia="宋体" w:hAnsi="Times-Roman" w:cs="宋体"/>
                <w:color w:val="000000"/>
                <w:kern w:val="0"/>
                <w:sz w:val="20"/>
                <w:szCs w:val="20"/>
              </w:rPr>
              <w:t xml:space="preserve">, if present, the first </w:t>
            </w:r>
            <w:r w:rsidRPr="000C55E1">
              <w:rPr>
                <w:rFonts w:ascii="Times-Italic" w:eastAsia="宋体" w:hAnsi="Times-Italic" w:cs="宋体"/>
                <w:i/>
                <w:iCs/>
                <w:color w:val="000000"/>
                <w:kern w:val="0"/>
                <w:sz w:val="20"/>
                <w:szCs w:val="20"/>
              </w:rPr>
              <w:t>PLMN-Identity</w:t>
            </w:r>
            <w:r w:rsidRPr="000C55E1">
              <w:rPr>
                <w:rFonts w:ascii="Times-Roman" w:eastAsia="宋体" w:hAnsi="Times-Roman" w:cs="宋体"/>
                <w:color w:val="000000"/>
                <w:kern w:val="0"/>
                <w:sz w:val="20"/>
                <w:szCs w:val="20"/>
              </w:rPr>
              <w:t xml:space="preserve"> in the </w:t>
            </w:r>
          </w:p>
          <w:p w:rsidR="000C55E1" w:rsidRPr="000C55E1" w:rsidRDefault="000C55E1" w:rsidP="000C55E1">
            <w:pPr>
              <w:widowControl/>
              <w:spacing w:after="0" w:line="240" w:lineRule="auto"/>
              <w:jc w:val="left"/>
              <w:rPr>
                <w:rFonts w:ascii="宋体" w:eastAsia="宋体" w:hAnsi="宋体" w:cs="宋体"/>
                <w:kern w:val="0"/>
                <w:sz w:val="24"/>
              </w:rPr>
            </w:pPr>
            <w:r w:rsidRPr="000C55E1">
              <w:rPr>
                <w:rFonts w:ascii="Times-Italic" w:eastAsia="宋体" w:hAnsi="Times-Italic" w:cs="宋体"/>
                <w:i/>
                <w:iCs/>
                <w:color w:val="000000"/>
                <w:kern w:val="0"/>
                <w:sz w:val="20"/>
                <w:szCs w:val="20"/>
              </w:rPr>
              <w:t>PLMN-IdentityInfoList</w:t>
            </w:r>
            <w:r w:rsidRPr="000C55E1">
              <w:rPr>
                <w:rFonts w:ascii="Times-Roman" w:eastAsia="宋体" w:hAnsi="Times-Roman" w:cs="宋体"/>
                <w:color w:val="000000"/>
                <w:kern w:val="0"/>
                <w:sz w:val="20"/>
                <w:szCs w:val="20"/>
              </w:rPr>
              <w:t xml:space="preserve"> for non-NPN-only cells or the first NPN identity (SNPN identity in case of SNPN, or PNI-NPN </w:t>
            </w:r>
          </w:p>
          <w:p w:rsidR="000C55E1" w:rsidRPr="000C55E1" w:rsidRDefault="000C55E1" w:rsidP="000C55E1">
            <w:pPr>
              <w:widowControl/>
              <w:spacing w:after="0" w:line="240" w:lineRule="auto"/>
              <w:jc w:val="left"/>
              <w:rPr>
                <w:rFonts w:ascii="宋体" w:eastAsia="宋体" w:hAnsi="宋体" w:cs="宋体"/>
                <w:kern w:val="0"/>
                <w:sz w:val="24"/>
              </w:rPr>
            </w:pPr>
            <w:r w:rsidRPr="000C55E1">
              <w:rPr>
                <w:rFonts w:ascii="Times-Roman" w:eastAsia="宋体" w:hAnsi="Times-Roman" w:cs="宋体"/>
                <w:color w:val="000000"/>
                <w:kern w:val="0"/>
                <w:sz w:val="20"/>
                <w:szCs w:val="20"/>
              </w:rPr>
              <w:t xml:space="preserve">identity in case of PNI-NPN) in the </w:t>
            </w:r>
            <w:r w:rsidRPr="000C55E1">
              <w:rPr>
                <w:rFonts w:ascii="Times-Italic" w:eastAsia="宋体" w:hAnsi="Times-Italic" w:cs="宋体"/>
                <w:i/>
                <w:iCs/>
                <w:color w:val="000000"/>
                <w:kern w:val="0"/>
                <w:sz w:val="20"/>
                <w:szCs w:val="20"/>
              </w:rPr>
              <w:t>NPN-IdentityInfoList</w:t>
            </w:r>
            <w:r w:rsidRPr="000C55E1">
              <w:rPr>
                <w:rFonts w:ascii="Times-Roman" w:eastAsia="宋体" w:hAnsi="Times-Roman" w:cs="宋体"/>
                <w:color w:val="000000"/>
                <w:kern w:val="0"/>
                <w:sz w:val="20"/>
                <w:szCs w:val="20"/>
              </w:rPr>
              <w:t xml:space="preserve"> for NPN-only cells, the </w:t>
            </w:r>
            <w:r w:rsidRPr="000C55E1">
              <w:rPr>
                <w:rFonts w:ascii="Times-Italic" w:eastAsia="宋体" w:hAnsi="Times-Italic" w:cs="宋体"/>
                <w:i/>
                <w:iCs/>
                <w:color w:val="000000"/>
                <w:kern w:val="0"/>
                <w:sz w:val="20"/>
                <w:szCs w:val="20"/>
              </w:rPr>
              <w:t>cellIdentity</w:t>
            </w:r>
            <w:r w:rsidRPr="000C55E1">
              <w:rPr>
                <w:rFonts w:ascii="Times-Roman" w:eastAsia="宋体" w:hAnsi="Times-Roman" w:cs="宋体"/>
                <w:color w:val="000000"/>
                <w:kern w:val="0"/>
                <w:sz w:val="20"/>
                <w:szCs w:val="20"/>
              </w:rPr>
              <w:t xml:space="preserve">, the </w:t>
            </w:r>
          </w:p>
          <w:p w:rsidR="000C55E1" w:rsidRDefault="000C55E1" w:rsidP="000C55E1">
            <w:proofErr w:type="gramStart"/>
            <w:r w:rsidRPr="000C55E1">
              <w:rPr>
                <w:rFonts w:ascii="Times-Italic" w:eastAsia="宋体" w:hAnsi="Times-Italic" w:cs="宋体"/>
                <w:i/>
                <w:iCs/>
                <w:color w:val="000000"/>
                <w:kern w:val="0"/>
                <w:sz w:val="20"/>
                <w:szCs w:val="20"/>
              </w:rPr>
              <w:t>systemInformationAreaID</w:t>
            </w:r>
            <w:proofErr w:type="gramEnd"/>
            <w:r w:rsidRPr="000C55E1">
              <w:rPr>
                <w:rFonts w:ascii="Times-Roman" w:eastAsia="宋体" w:hAnsi="Times-Roman" w:cs="宋体"/>
                <w:color w:val="000000"/>
                <w:kern w:val="0"/>
                <w:sz w:val="20"/>
                <w:szCs w:val="20"/>
              </w:rPr>
              <w:t xml:space="preserve">, if present, and the </w:t>
            </w:r>
            <w:r w:rsidRPr="000C55E1">
              <w:rPr>
                <w:rFonts w:ascii="Times-Italic" w:eastAsia="宋体" w:hAnsi="Times-Italic" w:cs="宋体"/>
                <w:i/>
                <w:iCs/>
                <w:color w:val="000000"/>
                <w:kern w:val="0"/>
                <w:sz w:val="20"/>
                <w:szCs w:val="20"/>
              </w:rPr>
              <w:t>valueTag</w:t>
            </w:r>
            <w:r w:rsidRPr="000C55E1">
              <w:rPr>
                <w:rFonts w:ascii="Times-Roman" w:eastAsia="宋体" w:hAnsi="Times-Roman" w:cs="宋体"/>
                <w:color w:val="000000"/>
                <w:kern w:val="0"/>
                <w:sz w:val="20"/>
                <w:szCs w:val="20"/>
              </w:rPr>
              <w:t xml:space="preserve">, if present, as indicated in the </w:t>
            </w:r>
            <w:r w:rsidRPr="000C55E1">
              <w:rPr>
                <w:rFonts w:ascii="Times-Italic" w:eastAsia="宋体" w:hAnsi="Times-Italic" w:cs="宋体"/>
                <w:i/>
                <w:iCs/>
                <w:color w:val="000000"/>
                <w:kern w:val="0"/>
                <w:sz w:val="20"/>
                <w:szCs w:val="20"/>
              </w:rPr>
              <w:t>si-SchedulingInfo</w:t>
            </w:r>
            <w:r w:rsidRPr="000C55E1">
              <w:rPr>
                <w:rFonts w:ascii="Times-Roman" w:eastAsia="宋体" w:hAnsi="Times-Roman" w:cs="宋体"/>
                <w:color w:val="000000"/>
                <w:kern w:val="0"/>
                <w:sz w:val="20"/>
                <w:szCs w:val="20"/>
              </w:rPr>
              <w:t xml:space="preserve"> for the SIB.</w:t>
            </w:r>
          </w:p>
        </w:tc>
      </w:tr>
    </w:tbl>
    <w:p w:rsidR="00E63443" w:rsidRDefault="00E63443" w:rsidP="00E63443">
      <w:pPr>
        <w:rPr>
          <w:b/>
        </w:rPr>
      </w:pPr>
      <w:r w:rsidRPr="008D7246">
        <w:rPr>
          <w:rFonts w:hint="eastAsia"/>
          <w:b/>
        </w:rPr>
        <w:t>P</w:t>
      </w:r>
      <w:r w:rsidRPr="008D7246">
        <w:rPr>
          <w:b/>
        </w:rPr>
        <w:t xml:space="preserve">roposal 1: </w:t>
      </w:r>
      <w:r>
        <w:rPr>
          <w:b/>
        </w:rPr>
        <w:t xml:space="preserve">For the NPN-only cell, take the first NPN cell ID as the target cell ID for the short MAC-I calculation for </w:t>
      </w:r>
      <w:r w:rsidR="000B6A1D">
        <w:rPr>
          <w:b/>
        </w:rPr>
        <w:t>the RRC resume/</w:t>
      </w:r>
      <w:r>
        <w:rPr>
          <w:b/>
        </w:rPr>
        <w:t>Reestablish procedure.</w:t>
      </w:r>
    </w:p>
    <w:p w:rsidR="00491EC0" w:rsidRDefault="00491EC0" w:rsidP="009D783B">
      <w:r w:rsidRPr="00491EC0">
        <w:t>The related CRs and draft LS were also provided as in [2</w:t>
      </w:r>
      <w:proofErr w:type="gramStart"/>
      <w:r w:rsidRPr="00491EC0">
        <w:t>][</w:t>
      </w:r>
      <w:proofErr w:type="gramEnd"/>
      <w:r w:rsidRPr="00491EC0">
        <w:t>3][4]</w:t>
      </w:r>
    </w:p>
    <w:p w:rsidR="00491EC0" w:rsidRPr="00491EC0" w:rsidRDefault="00491EC0" w:rsidP="009D783B">
      <w:pPr>
        <w:rPr>
          <w:b/>
        </w:rPr>
      </w:pPr>
      <w:r w:rsidRPr="00491EC0">
        <w:rPr>
          <w:rFonts w:hint="eastAsia"/>
          <w:b/>
        </w:rPr>
        <w:t>P</w:t>
      </w:r>
      <w:r w:rsidRPr="00491EC0">
        <w:rPr>
          <w:b/>
        </w:rPr>
        <w:t>roposal 2: Agree/Approve the related CRs and draft LS in [2</w:t>
      </w:r>
      <w:proofErr w:type="gramStart"/>
      <w:r w:rsidRPr="00491EC0">
        <w:rPr>
          <w:b/>
        </w:rPr>
        <w:t>][</w:t>
      </w:r>
      <w:proofErr w:type="gramEnd"/>
      <w:r w:rsidRPr="00491EC0">
        <w:rPr>
          <w:b/>
        </w:rPr>
        <w:t>3][4].</w:t>
      </w:r>
    </w:p>
    <w:p w:rsidR="008714DB" w:rsidRDefault="00F27B1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8714DB" w:rsidRDefault="00F27B11">
      <w:pPr>
        <w:spacing w:beforeLines="50" w:before="156"/>
      </w:pPr>
      <w:r>
        <w:rPr>
          <w:rFonts w:hint="eastAsia"/>
        </w:rPr>
        <w:t xml:space="preserve">With the above analysis, we have the following </w:t>
      </w:r>
      <w:r>
        <w:t>proposals</w:t>
      </w:r>
      <w:r>
        <w:rPr>
          <w:rFonts w:hint="eastAsia"/>
        </w:rPr>
        <w:t>:</w:t>
      </w:r>
    </w:p>
    <w:p w:rsidR="004B69AA" w:rsidRPr="004B69AA" w:rsidRDefault="004B69AA" w:rsidP="004B69AA">
      <w:pPr>
        <w:pStyle w:val="B1"/>
        <w:ind w:left="0" w:firstLine="0"/>
        <w:jc w:val="both"/>
        <w:rPr>
          <w:lang w:val="en-US"/>
        </w:rPr>
      </w:pPr>
      <w:r>
        <w:rPr>
          <w:b/>
          <w:bCs/>
          <w:kern w:val="2"/>
          <w:sz w:val="21"/>
          <w:szCs w:val="24"/>
          <w:lang w:val="en-US" w:eastAsia="zh-CN"/>
        </w:rPr>
        <w:t xml:space="preserve">Observation 1: For the public network sharing scenario, the source node shall be able to get the PCI and ARFCN </w:t>
      </w:r>
      <w:r w:rsidR="000D2278">
        <w:rPr>
          <w:b/>
          <w:bCs/>
          <w:kern w:val="2"/>
          <w:sz w:val="21"/>
          <w:szCs w:val="24"/>
          <w:lang w:val="en-US" w:eastAsia="zh-CN"/>
        </w:rPr>
        <w:t>by</w:t>
      </w:r>
      <w:r>
        <w:rPr>
          <w:b/>
          <w:bCs/>
          <w:kern w:val="2"/>
          <w:sz w:val="21"/>
          <w:szCs w:val="24"/>
          <w:lang w:val="en-US" w:eastAsia="zh-CN"/>
        </w:rPr>
        <w:t xml:space="preserve"> the target cell ID of the other sharing PLMN.</w:t>
      </w:r>
      <w:r w:rsidRPr="004B69AA">
        <w:t xml:space="preserve"> </w:t>
      </w:r>
    </w:p>
    <w:p w:rsidR="004B69AA" w:rsidRPr="003F1C70" w:rsidRDefault="004B69AA" w:rsidP="004B69AA">
      <w:pPr>
        <w:rPr>
          <w:b/>
        </w:rPr>
      </w:pPr>
      <w:r>
        <w:rPr>
          <w:b/>
        </w:rPr>
        <w:t>Observation</w:t>
      </w:r>
      <w:r w:rsidRPr="008D7246">
        <w:rPr>
          <w:b/>
        </w:rPr>
        <w:t xml:space="preserve"> </w:t>
      </w:r>
      <w:r>
        <w:rPr>
          <w:b/>
        </w:rPr>
        <w:t>2</w:t>
      </w:r>
      <w:r w:rsidRPr="008D7246">
        <w:rPr>
          <w:b/>
        </w:rPr>
        <w:t xml:space="preserve">: </w:t>
      </w:r>
      <w:r w:rsidRPr="003F1C70">
        <w:rPr>
          <w:b/>
        </w:rPr>
        <w:t xml:space="preserve">For the </w:t>
      </w:r>
      <w:r>
        <w:rPr>
          <w:b/>
        </w:rPr>
        <w:t xml:space="preserve">cell that shared by both </w:t>
      </w:r>
      <w:r w:rsidRPr="00CB5FFB">
        <w:rPr>
          <w:b/>
        </w:rPr>
        <w:t>the public network and non-public network</w:t>
      </w:r>
      <w:r w:rsidRPr="003F1C70">
        <w:rPr>
          <w:b/>
        </w:rPr>
        <w:t xml:space="preserve"> cell, </w:t>
      </w:r>
      <w:r>
        <w:rPr>
          <w:b/>
        </w:rPr>
        <w:t xml:space="preserve">the UE can </w:t>
      </w:r>
      <w:r w:rsidRPr="003F1C70">
        <w:rPr>
          <w:b/>
        </w:rPr>
        <w:t>take the first PLM</w:t>
      </w:r>
      <w:r>
        <w:rPr>
          <w:b/>
        </w:rPr>
        <w:t>N cell ID as the target cell ID.</w:t>
      </w:r>
    </w:p>
    <w:p w:rsidR="000B6A1D" w:rsidRDefault="000B6A1D" w:rsidP="000B6A1D">
      <w:pPr>
        <w:rPr>
          <w:b/>
        </w:rPr>
      </w:pPr>
      <w:r w:rsidRPr="008D7246">
        <w:rPr>
          <w:rFonts w:hint="eastAsia"/>
          <w:b/>
        </w:rPr>
        <w:t>P</w:t>
      </w:r>
      <w:r w:rsidRPr="008D7246">
        <w:rPr>
          <w:b/>
        </w:rPr>
        <w:t xml:space="preserve">roposal 1: </w:t>
      </w:r>
      <w:r>
        <w:rPr>
          <w:b/>
        </w:rPr>
        <w:t>For the NPN-only cell, take the first NPN cell ID as the target cell ID for the short MAC-I calculation for the RRC resume/Reestablish procedure.</w:t>
      </w:r>
    </w:p>
    <w:p w:rsidR="004B69AA" w:rsidRPr="004B69AA" w:rsidRDefault="004B69AA" w:rsidP="004B69AA">
      <w:r w:rsidRPr="00491EC0">
        <w:rPr>
          <w:rFonts w:hint="eastAsia"/>
          <w:b/>
        </w:rPr>
        <w:t>P</w:t>
      </w:r>
      <w:r w:rsidRPr="00491EC0">
        <w:rPr>
          <w:b/>
        </w:rPr>
        <w:t>roposal 2: Agree/Approve the related CRs and draft LS in [2</w:t>
      </w:r>
      <w:proofErr w:type="gramStart"/>
      <w:r w:rsidRPr="00491EC0">
        <w:rPr>
          <w:b/>
        </w:rPr>
        <w:t>][</w:t>
      </w:r>
      <w:proofErr w:type="gramEnd"/>
      <w:r w:rsidRPr="00491EC0">
        <w:rPr>
          <w:b/>
        </w:rPr>
        <w:t>3][4].</w:t>
      </w:r>
    </w:p>
    <w:p w:rsidR="008714DB" w:rsidRDefault="00F27B11">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rsidR="008C6563" w:rsidRDefault="00F633E5" w:rsidP="008C0995">
      <w:pPr>
        <w:numPr>
          <w:ilvl w:val="0"/>
          <w:numId w:val="5"/>
        </w:numPr>
        <w:spacing w:beforeLines="50" w:before="156"/>
      </w:pPr>
      <w:r>
        <w:t xml:space="preserve">R3-223928 </w:t>
      </w:r>
      <w:r w:rsidRPr="00F633E5">
        <w:t>LS on NPN only cell</w:t>
      </w:r>
    </w:p>
    <w:p w:rsidR="00491EC0" w:rsidRDefault="004B69AA" w:rsidP="008C0995">
      <w:pPr>
        <w:numPr>
          <w:ilvl w:val="0"/>
          <w:numId w:val="5"/>
        </w:numPr>
        <w:spacing w:beforeLines="50" w:before="156"/>
      </w:pPr>
      <w:r>
        <w:t>R2-2207159</w:t>
      </w:r>
      <w:r w:rsidR="00491EC0">
        <w:t xml:space="preserve"> </w:t>
      </w:r>
      <w:r w:rsidR="008F472F">
        <w:rPr>
          <w:rFonts w:ascii="Arial" w:hAnsi="Arial"/>
        </w:rPr>
        <w:t>CR on Target Cell ID se</w:t>
      </w:r>
      <w:r>
        <w:rPr>
          <w:rFonts w:ascii="Arial" w:hAnsi="Arial"/>
        </w:rPr>
        <w:t>tting for the NPN-only Cell (R16</w:t>
      </w:r>
      <w:r w:rsidR="008F472F">
        <w:rPr>
          <w:rFonts w:ascii="Arial" w:hAnsi="Arial"/>
        </w:rPr>
        <w:t>)</w:t>
      </w:r>
    </w:p>
    <w:p w:rsidR="00491EC0" w:rsidRDefault="00E63443" w:rsidP="008C0995">
      <w:pPr>
        <w:numPr>
          <w:ilvl w:val="0"/>
          <w:numId w:val="5"/>
        </w:numPr>
        <w:spacing w:beforeLines="50" w:before="156"/>
      </w:pPr>
      <w:r>
        <w:t>R2-2207160</w:t>
      </w:r>
      <w:r w:rsidR="004B69AA">
        <w:t xml:space="preserve"> </w:t>
      </w:r>
      <w:r w:rsidR="008F472F">
        <w:rPr>
          <w:rFonts w:ascii="Arial" w:hAnsi="Arial"/>
        </w:rPr>
        <w:t>CR on Target Cell ID setting for the NPN-only Cell (R1</w:t>
      </w:r>
      <w:r w:rsidR="004B69AA">
        <w:rPr>
          <w:rFonts w:ascii="Arial" w:hAnsi="Arial"/>
        </w:rPr>
        <w:t>7</w:t>
      </w:r>
      <w:r w:rsidR="008F472F">
        <w:rPr>
          <w:rFonts w:ascii="Arial" w:hAnsi="Arial"/>
        </w:rPr>
        <w:t>)</w:t>
      </w:r>
    </w:p>
    <w:p w:rsidR="008C6563" w:rsidRPr="004B69AA" w:rsidRDefault="004B69AA" w:rsidP="003C0084">
      <w:pPr>
        <w:numPr>
          <w:ilvl w:val="0"/>
          <w:numId w:val="5"/>
        </w:numPr>
        <w:spacing w:beforeLines="50" w:before="156"/>
        <w:rPr>
          <w:lang w:val="en-GB"/>
        </w:rPr>
      </w:pPr>
      <w:r>
        <w:t>R2-220715</w:t>
      </w:r>
      <w:r w:rsidR="00E63443">
        <w:t>7</w:t>
      </w:r>
      <w:r>
        <w:t xml:space="preserve"> Reply </w:t>
      </w:r>
      <w:r w:rsidRPr="00F633E5">
        <w:t>LS on NPN only cell</w:t>
      </w:r>
    </w:p>
    <w:sectPr w:rsidR="008C6563" w:rsidRPr="004B69AA" w:rsidSect="005C0A90">
      <w:headerReference w:type="default" r:id="rId13"/>
      <w:footerReference w:type="defaul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466" w:rsidRDefault="00A64466">
      <w:pPr>
        <w:spacing w:line="240" w:lineRule="auto"/>
      </w:pPr>
      <w:r>
        <w:separator/>
      </w:r>
    </w:p>
  </w:endnote>
  <w:endnote w:type="continuationSeparator" w:id="0">
    <w:p w:rsidR="00A64466" w:rsidRDefault="00A644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charset w:val="00"/>
    <w:family w:val="auto"/>
    <w:pitch w:val="default"/>
    <w:sig w:usb0="E00002FF" w:usb1="5000205A" w:usb2="00000000" w:usb3="00000000" w:csb0="0000019F" w:csb1="00000000"/>
  </w:font>
  <w:font w:name="Times-Italic">
    <w:altName w:val="Times New Roman"/>
    <w:panose1 w:val="00000000000000000000"/>
    <w:charset w:val="00"/>
    <w:family w:val="roman"/>
    <w:notTrueType/>
    <w:pitch w:val="default"/>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B11" w:rsidRDefault="00F27B11">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466" w:rsidRDefault="00A64466">
      <w:pPr>
        <w:spacing w:after="0"/>
      </w:pPr>
      <w:r>
        <w:separator/>
      </w:r>
    </w:p>
  </w:footnote>
  <w:footnote w:type="continuationSeparator" w:id="0">
    <w:p w:rsidR="00A64466" w:rsidRDefault="00A644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7B11" w:rsidRDefault="00F27B11">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6A4B54B"/>
    <w:multiLevelType w:val="singleLevel"/>
    <w:tmpl w:val="F6A4B54B"/>
    <w:lvl w:ilvl="0">
      <w:start w:val="1"/>
      <w:numFmt w:val="decimal"/>
      <w:lvlText w:val="[%1]"/>
      <w:lvlJc w:val="left"/>
      <w:pPr>
        <w:tabs>
          <w:tab w:val="left" w:pos="312"/>
        </w:tabs>
      </w:p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0821DA1"/>
    <w:multiLevelType w:val="hybridMultilevel"/>
    <w:tmpl w:val="D50E3306"/>
    <w:lvl w:ilvl="0" w:tplc="0409000B">
      <w:start w:val="1"/>
      <w:numFmt w:val="bullet"/>
      <w:lvlText w:val=""/>
      <w:lvlJc w:val="left"/>
      <w:pPr>
        <w:ind w:left="845" w:hanging="420"/>
      </w:pPr>
      <w:rPr>
        <w:rFonts w:ascii="Wingdings" w:hAnsi="Wingding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433F7C22"/>
    <w:multiLevelType w:val="hybridMultilevel"/>
    <w:tmpl w:val="05C6F89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9446761"/>
    <w:multiLevelType w:val="hybridMultilevel"/>
    <w:tmpl w:val="93849FEC"/>
    <w:lvl w:ilvl="0" w:tplc="04090001">
      <w:start w:val="1"/>
      <w:numFmt w:val="bullet"/>
      <w:lvlText w:val=""/>
      <w:lvlJc w:val="left"/>
      <w:pPr>
        <w:ind w:left="1696" w:hanging="420"/>
      </w:pPr>
      <w:rPr>
        <w:rFonts w:ascii="Wingdings" w:hAnsi="Wingdings" w:hint="default"/>
      </w:rPr>
    </w:lvl>
    <w:lvl w:ilvl="1" w:tplc="04090003">
      <w:start w:val="1"/>
      <w:numFmt w:val="bullet"/>
      <w:lvlText w:val=""/>
      <w:lvlJc w:val="left"/>
      <w:pPr>
        <w:ind w:left="2116" w:hanging="420"/>
      </w:pPr>
      <w:rPr>
        <w:rFonts w:ascii="Wingdings" w:hAnsi="Wingdings" w:hint="default"/>
      </w:rPr>
    </w:lvl>
    <w:lvl w:ilvl="2" w:tplc="04090005" w:tentative="1">
      <w:start w:val="1"/>
      <w:numFmt w:val="bullet"/>
      <w:lvlText w:val=""/>
      <w:lvlJc w:val="left"/>
      <w:pPr>
        <w:ind w:left="2536" w:hanging="420"/>
      </w:pPr>
      <w:rPr>
        <w:rFonts w:ascii="Wingdings" w:hAnsi="Wingdings" w:hint="default"/>
      </w:rPr>
    </w:lvl>
    <w:lvl w:ilvl="3" w:tplc="04090001" w:tentative="1">
      <w:start w:val="1"/>
      <w:numFmt w:val="bullet"/>
      <w:lvlText w:val=""/>
      <w:lvlJc w:val="left"/>
      <w:pPr>
        <w:ind w:left="2956" w:hanging="420"/>
      </w:pPr>
      <w:rPr>
        <w:rFonts w:ascii="Wingdings" w:hAnsi="Wingdings" w:hint="default"/>
      </w:rPr>
    </w:lvl>
    <w:lvl w:ilvl="4" w:tplc="04090003" w:tentative="1">
      <w:start w:val="1"/>
      <w:numFmt w:val="bullet"/>
      <w:lvlText w:val=""/>
      <w:lvlJc w:val="left"/>
      <w:pPr>
        <w:ind w:left="3376" w:hanging="420"/>
      </w:pPr>
      <w:rPr>
        <w:rFonts w:ascii="Wingdings" w:hAnsi="Wingdings" w:hint="default"/>
      </w:rPr>
    </w:lvl>
    <w:lvl w:ilvl="5" w:tplc="04090005" w:tentative="1">
      <w:start w:val="1"/>
      <w:numFmt w:val="bullet"/>
      <w:lvlText w:val=""/>
      <w:lvlJc w:val="left"/>
      <w:pPr>
        <w:ind w:left="3796" w:hanging="420"/>
      </w:pPr>
      <w:rPr>
        <w:rFonts w:ascii="Wingdings" w:hAnsi="Wingdings" w:hint="default"/>
      </w:rPr>
    </w:lvl>
    <w:lvl w:ilvl="6" w:tplc="04090001" w:tentative="1">
      <w:start w:val="1"/>
      <w:numFmt w:val="bullet"/>
      <w:lvlText w:val=""/>
      <w:lvlJc w:val="left"/>
      <w:pPr>
        <w:ind w:left="4216" w:hanging="420"/>
      </w:pPr>
      <w:rPr>
        <w:rFonts w:ascii="Wingdings" w:hAnsi="Wingdings" w:hint="default"/>
      </w:rPr>
    </w:lvl>
    <w:lvl w:ilvl="7" w:tplc="04090003" w:tentative="1">
      <w:start w:val="1"/>
      <w:numFmt w:val="bullet"/>
      <w:lvlText w:val=""/>
      <w:lvlJc w:val="left"/>
      <w:pPr>
        <w:ind w:left="4636" w:hanging="420"/>
      </w:pPr>
      <w:rPr>
        <w:rFonts w:ascii="Wingdings" w:hAnsi="Wingdings" w:hint="default"/>
      </w:rPr>
    </w:lvl>
    <w:lvl w:ilvl="8" w:tplc="04090005" w:tentative="1">
      <w:start w:val="1"/>
      <w:numFmt w:val="bullet"/>
      <w:lvlText w:val=""/>
      <w:lvlJc w:val="left"/>
      <w:pPr>
        <w:ind w:left="5056"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4B74A29"/>
    <w:multiLevelType w:val="hybridMultilevel"/>
    <w:tmpl w:val="9F72684C"/>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54DE14AC"/>
    <w:multiLevelType w:val="hybridMultilevel"/>
    <w:tmpl w:val="6E58B39A"/>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7F314D46"/>
    <w:multiLevelType w:val="hybridMultilevel"/>
    <w:tmpl w:val="86E227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7"/>
  </w:num>
  <w:num w:numId="4">
    <w:abstractNumId w:val="4"/>
  </w:num>
  <w:num w:numId="5">
    <w:abstractNumId w:val="1"/>
  </w:num>
  <w:num w:numId="6">
    <w:abstractNumId w:val="5"/>
  </w:num>
  <w:num w:numId="7">
    <w:abstractNumId w:val="9"/>
  </w:num>
  <w:num w:numId="8">
    <w:abstractNumId w:val="3"/>
  </w:num>
  <w:num w:numId="9">
    <w:abstractNumId w:val="11"/>
  </w:num>
  <w:num w:numId="10">
    <w:abstractNumId w:val="10"/>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A0053"/>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2ABE36-8F80-412A-A341-3788540C2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95507">
      <w:bodyDiv w:val="1"/>
      <w:marLeft w:val="0"/>
      <w:marRight w:val="0"/>
      <w:marTop w:val="0"/>
      <w:marBottom w:val="0"/>
      <w:divBdr>
        <w:top w:val="none" w:sz="0" w:space="0" w:color="auto"/>
        <w:left w:val="none" w:sz="0" w:space="0" w:color="auto"/>
        <w:bottom w:val="none" w:sz="0" w:space="0" w:color="auto"/>
        <w:right w:val="none" w:sz="0" w:space="0" w:color="auto"/>
      </w:divBdr>
      <w:divsChild>
        <w:div w:id="804198892">
          <w:marLeft w:val="0"/>
          <w:marRight w:val="0"/>
          <w:marTop w:val="0"/>
          <w:marBottom w:val="0"/>
          <w:divBdr>
            <w:top w:val="none" w:sz="0" w:space="0" w:color="auto"/>
            <w:left w:val="none" w:sz="0" w:space="0" w:color="auto"/>
            <w:bottom w:val="none" w:sz="0" w:space="0" w:color="auto"/>
            <w:right w:val="none" w:sz="0" w:space="0" w:color="auto"/>
          </w:divBdr>
        </w:div>
        <w:div w:id="148715048">
          <w:marLeft w:val="0"/>
          <w:marRight w:val="0"/>
          <w:marTop w:val="0"/>
          <w:marBottom w:val="0"/>
          <w:divBdr>
            <w:top w:val="none" w:sz="0" w:space="0" w:color="auto"/>
            <w:left w:val="none" w:sz="0" w:space="0" w:color="auto"/>
            <w:bottom w:val="none" w:sz="0" w:space="0" w:color="auto"/>
            <w:right w:val="none" w:sz="0" w:space="0" w:color="auto"/>
          </w:divBdr>
        </w:div>
        <w:div w:id="646250655">
          <w:marLeft w:val="0"/>
          <w:marRight w:val="0"/>
          <w:marTop w:val="0"/>
          <w:marBottom w:val="0"/>
          <w:divBdr>
            <w:top w:val="none" w:sz="0" w:space="0" w:color="auto"/>
            <w:left w:val="none" w:sz="0" w:space="0" w:color="auto"/>
            <w:bottom w:val="none" w:sz="0" w:space="0" w:color="auto"/>
            <w:right w:val="none" w:sz="0" w:space="0" w:color="auto"/>
          </w:divBdr>
        </w:div>
        <w:div w:id="1717050477">
          <w:marLeft w:val="0"/>
          <w:marRight w:val="0"/>
          <w:marTop w:val="0"/>
          <w:marBottom w:val="0"/>
          <w:divBdr>
            <w:top w:val="none" w:sz="0" w:space="0" w:color="auto"/>
            <w:left w:val="none" w:sz="0" w:space="0" w:color="auto"/>
            <w:bottom w:val="none" w:sz="0" w:space="0" w:color="auto"/>
            <w:right w:val="none" w:sz="0" w:space="0" w:color="auto"/>
          </w:divBdr>
        </w:div>
      </w:divsChild>
    </w:div>
    <w:div w:id="555623417">
      <w:bodyDiv w:val="1"/>
      <w:marLeft w:val="0"/>
      <w:marRight w:val="0"/>
      <w:marTop w:val="0"/>
      <w:marBottom w:val="0"/>
      <w:divBdr>
        <w:top w:val="none" w:sz="0" w:space="0" w:color="auto"/>
        <w:left w:val="none" w:sz="0" w:space="0" w:color="auto"/>
        <w:bottom w:val="none" w:sz="0" w:space="0" w:color="auto"/>
        <w:right w:val="none" w:sz="0" w:space="0" w:color="auto"/>
      </w:divBdr>
      <w:divsChild>
        <w:div w:id="2012029965">
          <w:marLeft w:val="0"/>
          <w:marRight w:val="0"/>
          <w:marTop w:val="0"/>
          <w:marBottom w:val="0"/>
          <w:divBdr>
            <w:top w:val="none" w:sz="0" w:space="0" w:color="auto"/>
            <w:left w:val="none" w:sz="0" w:space="0" w:color="auto"/>
            <w:bottom w:val="none" w:sz="0" w:space="0" w:color="auto"/>
            <w:right w:val="none" w:sz="0" w:space="0" w:color="auto"/>
          </w:divBdr>
        </w:div>
        <w:div w:id="114830113">
          <w:marLeft w:val="0"/>
          <w:marRight w:val="0"/>
          <w:marTop w:val="0"/>
          <w:marBottom w:val="0"/>
          <w:divBdr>
            <w:top w:val="none" w:sz="0" w:space="0" w:color="auto"/>
            <w:left w:val="none" w:sz="0" w:space="0" w:color="auto"/>
            <w:bottom w:val="none" w:sz="0" w:space="0" w:color="auto"/>
            <w:right w:val="none" w:sz="0" w:space="0" w:color="auto"/>
          </w:divBdr>
        </w:div>
        <w:div w:id="714505541">
          <w:marLeft w:val="0"/>
          <w:marRight w:val="0"/>
          <w:marTop w:val="0"/>
          <w:marBottom w:val="0"/>
          <w:divBdr>
            <w:top w:val="none" w:sz="0" w:space="0" w:color="auto"/>
            <w:left w:val="none" w:sz="0" w:space="0" w:color="auto"/>
            <w:bottom w:val="none" w:sz="0" w:space="0" w:color="auto"/>
            <w:right w:val="none" w:sz="0" w:space="0" w:color="auto"/>
          </w:divBdr>
        </w:div>
        <w:div w:id="1680352253">
          <w:marLeft w:val="0"/>
          <w:marRight w:val="0"/>
          <w:marTop w:val="0"/>
          <w:marBottom w:val="0"/>
          <w:divBdr>
            <w:top w:val="none" w:sz="0" w:space="0" w:color="auto"/>
            <w:left w:val="none" w:sz="0" w:space="0" w:color="auto"/>
            <w:bottom w:val="none" w:sz="0" w:space="0" w:color="auto"/>
            <w:right w:val="none" w:sz="0" w:space="0" w:color="auto"/>
          </w:divBdr>
        </w:div>
        <w:div w:id="1142503351">
          <w:marLeft w:val="0"/>
          <w:marRight w:val="0"/>
          <w:marTop w:val="0"/>
          <w:marBottom w:val="0"/>
          <w:divBdr>
            <w:top w:val="none" w:sz="0" w:space="0" w:color="auto"/>
            <w:left w:val="none" w:sz="0" w:space="0" w:color="auto"/>
            <w:bottom w:val="none" w:sz="0" w:space="0" w:color="auto"/>
            <w:right w:val="none" w:sz="0" w:space="0" w:color="auto"/>
          </w:divBdr>
        </w:div>
        <w:div w:id="1944606777">
          <w:marLeft w:val="0"/>
          <w:marRight w:val="0"/>
          <w:marTop w:val="0"/>
          <w:marBottom w:val="0"/>
          <w:divBdr>
            <w:top w:val="none" w:sz="0" w:space="0" w:color="auto"/>
            <w:left w:val="none" w:sz="0" w:space="0" w:color="auto"/>
            <w:bottom w:val="none" w:sz="0" w:space="0" w:color="auto"/>
            <w:right w:val="none" w:sz="0" w:space="0" w:color="auto"/>
          </w:divBdr>
        </w:div>
        <w:div w:id="737167062">
          <w:marLeft w:val="0"/>
          <w:marRight w:val="0"/>
          <w:marTop w:val="0"/>
          <w:marBottom w:val="0"/>
          <w:divBdr>
            <w:top w:val="none" w:sz="0" w:space="0" w:color="auto"/>
            <w:left w:val="none" w:sz="0" w:space="0" w:color="auto"/>
            <w:bottom w:val="none" w:sz="0" w:space="0" w:color="auto"/>
            <w:right w:val="none" w:sz="0" w:space="0" w:color="auto"/>
          </w:divBdr>
        </w:div>
        <w:div w:id="306714911">
          <w:marLeft w:val="0"/>
          <w:marRight w:val="0"/>
          <w:marTop w:val="0"/>
          <w:marBottom w:val="0"/>
          <w:divBdr>
            <w:top w:val="none" w:sz="0" w:space="0" w:color="auto"/>
            <w:left w:val="none" w:sz="0" w:space="0" w:color="auto"/>
            <w:bottom w:val="none" w:sz="0" w:space="0" w:color="auto"/>
            <w:right w:val="none" w:sz="0" w:space="0" w:color="auto"/>
          </w:divBdr>
        </w:div>
      </w:divsChild>
    </w:div>
    <w:div w:id="1474787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D380C8-770A-44E1-98E4-0AD112B85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1044</Words>
  <Characters>5957</Characters>
  <Application>Microsoft Office Word</Application>
  <DocSecurity>0</DocSecurity>
  <Lines>49</Lines>
  <Paragraphs>13</Paragraphs>
  <ScaleCrop>false</ScaleCrop>
  <Company>www.zte.com.cn</Company>
  <LinksUpToDate>false</LinksUpToDate>
  <CharactersWithSpaces>6988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4</cp:revision>
  <cp:lastPrinted>2113-01-01T00:00:00Z</cp:lastPrinted>
  <dcterms:created xsi:type="dcterms:W3CDTF">2022-08-10T06:25:00Z</dcterms:created>
  <dcterms:modified xsi:type="dcterms:W3CDTF">2022-08-10T07:58:00Z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