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1701"/>
          <w:tab w:val="right" w:pos="9923"/>
        </w:tabs>
        <w:spacing w:before="120"/>
        <w:rPr>
          <w:b/>
          <w:bCs/>
          <w:sz w:val="24"/>
        </w:rPr>
      </w:pPr>
      <w:bookmarkStart w:id="0" w:name="OLE_LINK11"/>
      <w:bookmarkStart w:id="1" w:name="OLE_LINK10"/>
      <w:r>
        <w:rPr>
          <w:b/>
          <w:bCs/>
          <w:sz w:val="24"/>
        </w:rPr>
        <w:t>3GPP TSG-RAN WG2 Meeting #118</w:t>
      </w:r>
      <w:r>
        <w:rPr>
          <w:rFonts w:hint="eastAsia"/>
          <w:b/>
          <w:bCs/>
          <w:sz w:val="24"/>
        </w:rPr>
        <w:t>e</w:t>
      </w:r>
      <w:r>
        <w:rPr>
          <w:b/>
          <w:bCs/>
          <w:sz w:val="24"/>
        </w:rPr>
        <w:t xml:space="preserve">                                  R2-220xxxx</w:t>
      </w:r>
    </w:p>
    <w:bookmarkEnd w:id="0"/>
    <w:bookmarkEnd w:id="1"/>
    <w:p>
      <w:pPr>
        <w:widowControl w:val="0"/>
        <w:tabs>
          <w:tab w:val="left" w:pos="1701"/>
          <w:tab w:val="right" w:pos="9923"/>
        </w:tabs>
        <w:spacing w:before="120"/>
        <w:rPr>
          <w:bCs/>
          <w:sz w:val="24"/>
        </w:rPr>
      </w:pPr>
      <w:r>
        <w:rPr>
          <w:b/>
          <w:bCs/>
          <w:sz w:val="24"/>
        </w:rPr>
        <w:t>eMeeting May 9th – May 20th, 2022</w:t>
      </w:r>
      <w:r>
        <w:rPr>
          <w:rFonts w:cs="Arial"/>
          <w:b/>
          <w:sz w:val="24"/>
          <w:lang w:val="de-DE"/>
        </w:rPr>
        <w:t xml:space="preserve">                   </w:t>
      </w:r>
    </w:p>
    <w:p>
      <w:pPr>
        <w:tabs>
          <w:tab w:val="left" w:pos="1979"/>
        </w:tabs>
        <w:spacing w:after="180"/>
        <w:rPr>
          <w:rFonts w:cs="Arial"/>
          <w:b/>
          <w:bCs/>
          <w:sz w:val="24"/>
          <w:lang w:eastAsia="en-US"/>
        </w:rPr>
      </w:pPr>
    </w:p>
    <w:p>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7.2.2</w:t>
      </w:r>
    </w:p>
    <w:p>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hint="eastAsia" w:cs="Arial"/>
          <w:b/>
          <w:bCs/>
          <w:sz w:val="24"/>
          <w:lang w:val="en-US" w:eastAsia="en-US"/>
        </w:rPr>
        <w:t>OPPO</w:t>
      </w:r>
    </w:p>
    <w:p>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r>
      <w:r>
        <w:rPr>
          <w:rFonts w:cs="Arial"/>
          <w:b/>
          <w:bCs/>
          <w:sz w:val="24"/>
          <w:lang w:val="en-US" w:eastAsia="en-US"/>
        </w:rPr>
        <w:t>Report of [AT118-e][048][IoT-NTN] New Issues (OPPO) – 1</w:t>
      </w:r>
      <w:r>
        <w:rPr>
          <w:rFonts w:cs="Arial"/>
          <w:b/>
          <w:bCs/>
          <w:sz w:val="24"/>
          <w:vertAlign w:val="superscript"/>
          <w:lang w:val="en-US" w:eastAsia="en-US"/>
        </w:rPr>
        <w:t>st</w:t>
      </w:r>
      <w:r>
        <w:rPr>
          <w:rFonts w:cs="Arial"/>
          <w:b/>
          <w:bCs/>
          <w:sz w:val="24"/>
          <w:lang w:val="en-US" w:eastAsia="en-US"/>
        </w:rPr>
        <w:t xml:space="preserve"> round</w:t>
      </w:r>
    </w:p>
    <w:p>
      <w:pPr>
        <w:tabs>
          <w:tab w:val="left" w:pos="1979"/>
        </w:tabs>
        <w:spacing w:after="180"/>
      </w:pPr>
      <w:r>
        <w:rPr>
          <w:rFonts w:cs="Arial"/>
          <w:b/>
          <w:bCs/>
          <w:sz w:val="24"/>
          <w:lang w:val="en-US" w:eastAsia="en-US"/>
        </w:rPr>
        <w:t>Document for:</w:t>
      </w:r>
      <w:r>
        <w:rPr>
          <w:rFonts w:cs="Arial"/>
          <w:b/>
          <w:bCs/>
          <w:sz w:val="24"/>
          <w:lang w:val="en-US" w:eastAsia="en-US"/>
        </w:rPr>
        <w:tab/>
      </w:r>
      <w:r>
        <w:rPr>
          <w:rFonts w:cs="Arial"/>
          <w:b/>
          <w:bCs/>
          <w:sz w:val="24"/>
          <w:lang w:val="en-US" w:eastAsia="en-US"/>
        </w:rPr>
        <w:t>Discussion and Decision</w:t>
      </w:r>
    </w:p>
    <w:p>
      <w:pPr>
        <w:pStyle w:val="2"/>
        <w:numPr>
          <w:ilvl w:val="0"/>
          <w:numId w:val="10"/>
        </w:numPr>
      </w:pPr>
      <w:bookmarkStart w:id="2" w:name="_Ref488331639"/>
      <w:r>
        <w:t>Introduction</w:t>
      </w:r>
      <w:bookmarkEnd w:id="2"/>
    </w:p>
    <w:p>
      <w:pPr>
        <w:spacing w:before="120" w:after="156" w:afterLines="50"/>
        <w:rPr>
          <w:rFonts w:eastAsia="Arial Unicode MS"/>
        </w:rPr>
      </w:pPr>
      <w:bookmarkStart w:id="3" w:name="_Ref178064866"/>
      <w:r>
        <w:rPr>
          <w:rFonts w:eastAsia="Arial Unicode MS"/>
        </w:rPr>
        <w:t>This document is to collect companies’ views for the following offline discussion focusing on UP issues.</w:t>
      </w:r>
    </w:p>
    <w:p>
      <w:pPr>
        <w:pStyle w:val="135"/>
        <w:spacing w:line="240" w:lineRule="auto"/>
      </w:pPr>
      <w:r>
        <w:t>[AT118-e][048][IOTNTN] New Issues (OPPO)</w:t>
      </w:r>
    </w:p>
    <w:p>
      <w:pPr>
        <w:pStyle w:val="136"/>
      </w:pPr>
      <w:r>
        <w:tab/>
      </w:r>
      <w:r>
        <w:t xml:space="preserve">Scope: Treat R2-2204740, R2-2205725, R2-2204741. </w:t>
      </w:r>
    </w:p>
    <w:p>
      <w:pPr>
        <w:pStyle w:val="136"/>
      </w:pPr>
      <w:r>
        <w:tab/>
      </w:r>
      <w:r>
        <w:t>Ph1 determine agreeable part, Ph2 endorse TP</w:t>
      </w:r>
    </w:p>
    <w:p>
      <w:pPr>
        <w:pStyle w:val="136"/>
      </w:pPr>
      <w:r>
        <w:tab/>
      </w:r>
      <w:r>
        <w:t>Intended outcome: Report, Endorsed TP (if applicable)</w:t>
      </w:r>
    </w:p>
    <w:p>
      <w:pPr>
        <w:pStyle w:val="136"/>
      </w:pPr>
      <w:r>
        <w:tab/>
      </w:r>
      <w:r>
        <w:t>Deadline: Schedule 1 (CB online W2 if needed)</w:t>
      </w:r>
    </w:p>
    <w:p>
      <w:pPr>
        <w:pStyle w:val="2"/>
        <w:numPr>
          <w:ilvl w:val="0"/>
          <w:numId w:val="10"/>
        </w:numPr>
        <w:jc w:val="both"/>
      </w:pPr>
      <w:r>
        <w:t>Contact information</w:t>
      </w:r>
      <w:r>
        <w:rPr>
          <w:rFonts w:hint="eastAsia"/>
        </w:rPr>
        <w:t xml:space="preserve"> </w:t>
      </w:r>
    </w:p>
    <w:p>
      <w:pPr>
        <w:pStyle w:val="136"/>
      </w:pPr>
    </w:p>
    <w:tbl>
      <w:tblPr>
        <w:tblStyle w:val="44"/>
        <w:tblW w:w="83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0" w:type="dxa"/>
            <w:shd w:val="clear" w:color="auto" w:fill="BFBFBF"/>
            <w:tcMar>
              <w:top w:w="0" w:type="dxa"/>
              <w:left w:w="108" w:type="dxa"/>
              <w:bottom w:w="0" w:type="dxa"/>
              <w:right w:w="108" w:type="dxa"/>
            </w:tcMar>
            <w:vAlign w:val="center"/>
          </w:tcPr>
          <w:p>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pPr>
              <w:spacing w:line="252" w:lineRule="auto"/>
              <w:jc w:val="center"/>
              <w:rPr>
                <w:rFonts w:eastAsia="Calibri" w:cs="Arial"/>
                <w:sz w:val="22"/>
                <w:szCs w:val="22"/>
              </w:rPr>
            </w:pPr>
            <w:r>
              <w:rPr>
                <w:rFonts w:eastAsia="Calibri" w:cs="Arial"/>
                <w:color w:val="000000"/>
                <w:sz w:val="22"/>
                <w:szCs w:val="22"/>
              </w:rPr>
              <w:t>Delegate 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Calibri" w:cs="Calibri"/>
                <w:lang w:val="de-DE"/>
              </w:rPr>
            </w:pPr>
            <w:r>
              <w:rPr>
                <w:rFonts w:ascii="Calibri" w:hAnsi="Calibri" w:eastAsia="Calibri" w:cs="Calibri"/>
                <w:lang w:val="de-DE"/>
              </w:rPr>
              <w:t>COMPANY_NAME</w:t>
            </w:r>
          </w:p>
        </w:tc>
        <w:tc>
          <w:tcPr>
            <w:tcW w:w="6373" w:type="dxa"/>
            <w:tcMar>
              <w:top w:w="0" w:type="dxa"/>
              <w:left w:w="108" w:type="dxa"/>
              <w:bottom w:w="0" w:type="dxa"/>
              <w:right w:w="108" w:type="dxa"/>
            </w:tcMar>
          </w:tcPr>
          <w:p>
            <w:pPr>
              <w:spacing w:after="0"/>
              <w:jc w:val="center"/>
              <w:rPr>
                <w:rFonts w:ascii="Calibri" w:hAnsi="Calibri" w:eastAsia="Calibri" w:cs="Calibri"/>
                <w:sz w:val="22"/>
                <w:szCs w:val="22"/>
                <w:lang w:val="de-DE"/>
              </w:rPr>
            </w:pPr>
            <w:r>
              <w:rPr>
                <w:rFonts w:ascii="Calibri" w:hAnsi="Calibri" w:eastAsia="Calibri" w:cs="Calibri"/>
                <w:sz w:val="22"/>
                <w:szCs w:val="22"/>
                <w:lang w:val="de-DE"/>
              </w:rPr>
              <w:t>NAME (</w:t>
            </w:r>
            <w:r>
              <w:fldChar w:fldCharType="begin"/>
            </w:r>
            <w:r>
              <w:instrText xml:space="preserve"> HYPERLINK "mailto:email@address.com" </w:instrText>
            </w:r>
            <w:r>
              <w:fldChar w:fldCharType="separate"/>
            </w:r>
            <w:r>
              <w:rPr>
                <w:rFonts w:ascii="Calibri" w:hAnsi="Calibri" w:eastAsia="Calibri" w:cs="Calibri"/>
                <w:color w:val="0563C1"/>
                <w:sz w:val="22"/>
                <w:szCs w:val="22"/>
                <w:u w:val="single"/>
                <w:lang w:val="de-DE"/>
              </w:rPr>
              <w:t>email@address.com</w:t>
            </w:r>
            <w:r>
              <w:rPr>
                <w:rFonts w:ascii="Calibri" w:hAnsi="Calibri" w:eastAsia="Calibri" w:cs="Calibri"/>
                <w:color w:val="0563C1"/>
                <w:sz w:val="22"/>
                <w:szCs w:val="22"/>
                <w:u w:val="single"/>
                <w:lang w:val="de-DE"/>
              </w:rPr>
              <w:fldChar w:fldCharType="end"/>
            </w:r>
            <w:r>
              <w:rPr>
                <w:rFonts w:ascii="Calibri" w:hAnsi="Calibri" w:eastAsia="Calibri" w:cs="Calibri"/>
                <w:sz w:val="22"/>
                <w:szCs w:val="22"/>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等线" w:cs="Calibri"/>
                <w:sz w:val="22"/>
                <w:szCs w:val="22"/>
                <w:lang w:val="de-DE"/>
              </w:rPr>
            </w:pPr>
            <w:r>
              <w:rPr>
                <w:rFonts w:ascii="Calibri" w:hAnsi="Calibri" w:eastAsia="等线" w:cs="Calibri"/>
                <w:sz w:val="22"/>
                <w:szCs w:val="22"/>
                <w:lang w:val="de-DE"/>
              </w:rPr>
              <w:t>Huawei, HiSilicon</w:t>
            </w:r>
          </w:p>
        </w:tc>
        <w:tc>
          <w:tcPr>
            <w:tcW w:w="6373" w:type="dxa"/>
            <w:tcMar>
              <w:top w:w="0" w:type="dxa"/>
              <w:left w:w="108" w:type="dxa"/>
              <w:bottom w:w="0" w:type="dxa"/>
              <w:right w:w="108" w:type="dxa"/>
            </w:tcMar>
          </w:tcPr>
          <w:p>
            <w:pPr>
              <w:spacing w:after="0"/>
              <w:jc w:val="center"/>
              <w:rPr>
                <w:rFonts w:ascii="Calibri" w:hAnsi="Calibri" w:eastAsia="等线" w:cs="Calibri"/>
                <w:sz w:val="22"/>
                <w:szCs w:val="22"/>
                <w:lang w:val="it-IT"/>
              </w:rPr>
            </w:pPr>
            <w:r>
              <w:rPr>
                <w:rFonts w:ascii="Calibri" w:hAnsi="Calibri" w:eastAsia="等线" w:cs="Calibri"/>
                <w:sz w:val="22"/>
                <w:szCs w:val="22"/>
                <w:lang w:val="it-IT"/>
              </w:rPr>
              <w:t>Odile Rollinger (odile.rollinger@huawei.com)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Malgun Gothic" w:cs="Calibri"/>
                <w:sz w:val="22"/>
                <w:szCs w:val="22"/>
                <w:lang w:val="it-IT" w:eastAsia="ko-KR"/>
              </w:rPr>
            </w:pPr>
            <w:r>
              <w:rPr>
                <w:rFonts w:ascii="Calibri" w:hAnsi="Calibri" w:eastAsia="Malgun Gothic" w:cs="Calibri"/>
                <w:sz w:val="22"/>
                <w:szCs w:val="22"/>
                <w:lang w:val="it-IT" w:eastAsia="ko-KR"/>
              </w:rPr>
              <w:t>MediaTek</w:t>
            </w:r>
          </w:p>
        </w:tc>
        <w:tc>
          <w:tcPr>
            <w:tcW w:w="6373" w:type="dxa"/>
            <w:tcMar>
              <w:top w:w="0" w:type="dxa"/>
              <w:left w:w="108" w:type="dxa"/>
              <w:bottom w:w="0" w:type="dxa"/>
              <w:right w:w="108" w:type="dxa"/>
            </w:tcMar>
          </w:tcPr>
          <w:p>
            <w:pPr>
              <w:spacing w:after="0"/>
              <w:jc w:val="center"/>
              <w:rPr>
                <w:rFonts w:ascii="Calibri" w:hAnsi="Calibri" w:eastAsia="Malgun Gothic" w:cs="Calibri"/>
                <w:sz w:val="22"/>
                <w:szCs w:val="22"/>
                <w:lang w:val="fr-FR" w:eastAsia="ko-KR"/>
              </w:rPr>
            </w:pPr>
            <w:r>
              <w:rPr>
                <w:rFonts w:ascii="Calibri" w:hAnsi="Calibri" w:eastAsia="Malgun Gothic" w:cs="Calibri"/>
                <w:sz w:val="22"/>
                <w:szCs w:val="22"/>
                <w:lang w:val="fr-FR" w:eastAsia="ko-KR"/>
              </w:rPr>
              <w:t>Abhishek Roy (Abhishek.Roy@mediatek.com)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r>
              <w:rPr>
                <w:rFonts w:hint="eastAsia" w:ascii="Calibri" w:hAnsi="Calibri" w:eastAsia="等线" w:cs="Calibri"/>
                <w:sz w:val="22"/>
                <w:szCs w:val="22"/>
                <w:lang w:val="it-IT"/>
              </w:rPr>
              <w:t>L</w:t>
            </w:r>
            <w:r>
              <w:rPr>
                <w:rFonts w:ascii="Calibri" w:hAnsi="Calibri" w:eastAsia="等线" w:cs="Calibri"/>
                <w:sz w:val="22"/>
                <w:szCs w:val="22"/>
                <w:lang w:val="it-IT"/>
              </w:rPr>
              <w:t>enovo</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sz w:val="22"/>
                <w:szCs w:val="22"/>
                <w:lang w:val="it-IT"/>
              </w:rPr>
            </w:pPr>
            <w:r>
              <w:rPr>
                <w:rFonts w:ascii="Calibri" w:hAnsi="Calibri" w:cs="Calibri"/>
                <w:sz w:val="22"/>
                <w:szCs w:val="22"/>
                <w:lang w:val="it-IT"/>
              </w:rPr>
              <w:t>Min Xu (</w:t>
            </w:r>
            <w:r>
              <w:rPr>
                <w:rFonts w:hint="eastAsia" w:ascii="Calibri" w:hAnsi="Calibri" w:cs="Calibri"/>
                <w:sz w:val="22"/>
                <w:szCs w:val="22"/>
                <w:lang w:val="it-IT"/>
              </w:rPr>
              <w:t>x</w:t>
            </w:r>
            <w:r>
              <w:rPr>
                <w:rFonts w:ascii="Calibri" w:hAnsi="Calibri" w:cs="Calibri"/>
                <w:sz w:val="22"/>
                <w:szCs w:val="22"/>
                <w:lang w:val="it-IT"/>
              </w:rPr>
              <w:t>umin13@lenovo.com)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hint="default" w:ascii="Calibri" w:hAnsi="Calibri" w:eastAsia="等线" w:cs="Calibri"/>
                <w:sz w:val="22"/>
                <w:szCs w:val="22"/>
                <w:lang w:val="en-US" w:eastAsia="zh-CN"/>
              </w:rPr>
            </w:pPr>
            <w:r>
              <w:rPr>
                <w:rFonts w:hint="eastAsia" w:ascii="Calibri" w:hAnsi="Calibri" w:eastAsia="等线" w:cs="Calibri"/>
                <w:sz w:val="22"/>
                <w:szCs w:val="22"/>
                <w:lang w:val="en-US" w:eastAsia="zh-CN"/>
              </w:rPr>
              <w:t>Transsion Holdings</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hint="default" w:ascii="Calibri" w:hAnsi="Calibri" w:eastAsia="等线" w:cs="Calibri"/>
                <w:sz w:val="22"/>
                <w:szCs w:val="22"/>
                <w:lang w:val="en-US" w:eastAsia="zh-CN"/>
              </w:rPr>
            </w:pPr>
            <w:r>
              <w:rPr>
                <w:rFonts w:hint="eastAsia" w:ascii="Calibri" w:hAnsi="Calibri" w:eastAsia="等线" w:cs="Calibri"/>
                <w:sz w:val="22"/>
                <w:szCs w:val="22"/>
                <w:lang w:val="en-US" w:eastAsia="zh-CN"/>
              </w:rPr>
              <w:t>wen.wu5@transsion.com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algun Gothic" w:cs="Calibri"/>
                <w:sz w:val="22"/>
                <w:szCs w:val="22"/>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cs="Calibri" w:eastAsiaTheme="minorEastAsia"/>
                <w:sz w:val="22"/>
                <w:szCs w:val="22"/>
                <w:lang w:val="it-IT"/>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eastAsiaTheme="minorEastAsia"/>
                <w:sz w:val="22"/>
                <w:szCs w:val="22"/>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it-IT"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it-IT"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cs="Calibri" w:eastAsiaTheme="minorEastAsia"/>
                <w:sz w:val="22"/>
                <w:szCs w:val="22"/>
                <w:lang w:val="it-IT"/>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eastAsiaTheme="minorEastAsia"/>
                <w:sz w:val="22"/>
                <w:szCs w:val="22"/>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cs="Calibri" w:eastAsiaTheme="minorEastAsia"/>
                <w:sz w:val="22"/>
                <w:szCs w:val="22"/>
                <w:lang w:val="it-IT"/>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eastAsiaTheme="minorEastAsia"/>
                <w:sz w:val="22"/>
                <w:szCs w:val="22"/>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bl>
    <w:p>
      <w:pPr>
        <w:pStyle w:val="2"/>
        <w:numPr>
          <w:ilvl w:val="0"/>
          <w:numId w:val="10"/>
        </w:numPr>
        <w:jc w:val="both"/>
      </w:pPr>
      <w:r>
        <w:t>Round-1 Discussion</w:t>
      </w:r>
      <w:bookmarkEnd w:id="3"/>
    </w:p>
    <w:p>
      <w:pPr>
        <w:pStyle w:val="3"/>
        <w:tabs>
          <w:tab w:val="left" w:pos="576"/>
        </w:tabs>
        <w:ind w:left="576" w:hanging="576"/>
        <w:rPr>
          <w:rFonts w:cs="Times New Roman"/>
        </w:rPr>
      </w:pPr>
      <w:bookmarkStart w:id="4" w:name="_Hlk103071540"/>
      <w:r>
        <w:rPr>
          <w:rFonts w:cs="Times New Roman"/>
        </w:rPr>
        <w:t xml:space="preserve">3.1 </w:t>
      </w:r>
      <w:r>
        <w:t>Msg3 retransmission</w:t>
      </w:r>
      <w:bookmarkEnd w:id="4"/>
    </w:p>
    <w:p>
      <w:r>
        <w:t>In RAN2#117e, blind Msg3 retransmission has been agreed to be supported for NR NTN, which enables NW to schedule Msg3 retransmission during the UE-gNB RTT in case NW wants to improve the coverage through blind retransmission. See below chairman notes.</w:t>
      </w:r>
    </w:p>
    <w:p>
      <w:pPr>
        <w:pStyle w:val="88"/>
        <w:pBdr>
          <w:top w:val="single" w:color="auto" w:sz="4" w:space="1"/>
          <w:left w:val="single" w:color="auto" w:sz="4" w:space="4"/>
          <w:bottom w:val="single" w:color="auto" w:sz="4" w:space="1"/>
          <w:right w:val="single" w:color="auto" w:sz="4" w:space="4"/>
        </w:pBdr>
        <w:rPr>
          <w:highlight w:val="yellow"/>
        </w:rPr>
      </w:pPr>
      <w:r>
        <w:rPr>
          <w:highlight w:val="yellow"/>
        </w:rPr>
        <w:t>Agreements via email - from offline 103 - third round:</w:t>
      </w:r>
    </w:p>
    <w:p>
      <w:pPr>
        <w:pStyle w:val="88"/>
        <w:numPr>
          <w:ilvl w:val="0"/>
          <w:numId w:val="11"/>
        </w:numPr>
        <w:pBdr>
          <w:top w:val="single" w:color="auto" w:sz="4" w:space="1"/>
          <w:left w:val="single" w:color="auto" w:sz="4" w:space="4"/>
          <w:bottom w:val="single" w:color="auto" w:sz="4" w:space="1"/>
          <w:right w:val="single" w:color="auto" w:sz="4" w:space="4"/>
        </w:pBdr>
        <w:spacing w:line="240" w:lineRule="auto"/>
        <w:rPr>
          <w:highlight w:val="yellow"/>
        </w:rPr>
      </w:pPr>
      <w:r>
        <w:rPr>
          <w:highlight w:val="yellow"/>
        </w:rPr>
        <w:t>Blind Msg3 retransmission is supported in Rel-17 NTN. FFS whether this is enabled by a NOTE (P4), or explicit configuration (P5a and P5b).</w:t>
      </w:r>
    </w:p>
    <w:p>
      <w:pPr>
        <w:pStyle w:val="88"/>
        <w:numPr>
          <w:ilvl w:val="0"/>
          <w:numId w:val="11"/>
        </w:numPr>
        <w:pBdr>
          <w:top w:val="single" w:color="auto" w:sz="4" w:space="1"/>
          <w:left w:val="single" w:color="auto" w:sz="4" w:space="4"/>
          <w:bottom w:val="single" w:color="auto" w:sz="4" w:space="1"/>
          <w:right w:val="single" w:color="auto" w:sz="4" w:space="4"/>
        </w:pBdr>
        <w:spacing w:line="240" w:lineRule="auto"/>
      </w:pPr>
      <w:r>
        <w:t>The following NOTE is captured: “UE should attempt to re-aquire SIBxx prior to validity timer expiry by UE implementation.” Details of NOTE (potentially including additional clarification if needed) may be finalized in Stage 3. This is captured in RRC specification (e.g. Section 5.2.2.x)</w:t>
      </w:r>
    </w:p>
    <w:p>
      <w:pPr>
        <w:pStyle w:val="117"/>
        <w:rPr>
          <w:b/>
        </w:rPr>
      </w:pPr>
    </w:p>
    <w:p>
      <w:r>
        <w:t>It is proposed in both [1] and [2] that IoT NTN should align with NR NTN and support blind Msg3 retransmission.</w:t>
      </w:r>
    </w:p>
    <w:p>
      <w:pPr>
        <w:pStyle w:val="27"/>
        <w:rPr>
          <w:rFonts w:eastAsia="等线"/>
        </w:rPr>
      </w:pPr>
    </w:p>
    <w:p>
      <w:pPr>
        <w:spacing w:before="156" w:beforeLines="50" w:after="156" w:afterLines="50"/>
        <w:rPr>
          <w:b/>
        </w:rPr>
      </w:pPr>
      <w:r>
        <w:rPr>
          <w:b/>
        </w:rPr>
        <w:t xml:space="preserve">Question 1: Do companies agree that blind Msg3 retransmission should be supported for IoT NTN, similar to NR NTN? </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126"/>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E7E6E6"/>
          </w:tcPr>
          <w:p>
            <w:pPr>
              <w:jc w:val="center"/>
              <w:rPr>
                <w:b/>
                <w:lang w:eastAsia="sv-SE"/>
              </w:rPr>
            </w:pPr>
            <w:r>
              <w:rPr>
                <w:b/>
                <w:lang w:eastAsia="sv-SE"/>
              </w:rPr>
              <w:t>Company</w:t>
            </w:r>
          </w:p>
        </w:tc>
        <w:tc>
          <w:tcPr>
            <w:tcW w:w="2126" w:type="dxa"/>
            <w:shd w:val="clear" w:color="auto" w:fill="E7E6E6"/>
          </w:tcPr>
          <w:p>
            <w:pPr>
              <w:jc w:val="center"/>
              <w:rPr>
                <w:b/>
              </w:rPr>
            </w:pPr>
            <w:r>
              <w:rPr>
                <w:b/>
              </w:rPr>
              <w:t>Agree/Disagree</w:t>
            </w:r>
          </w:p>
        </w:tc>
        <w:tc>
          <w:tcPr>
            <w:tcW w:w="6095" w:type="dxa"/>
            <w:shd w:val="clear" w:color="auto" w:fill="E7E6E6"/>
          </w:tcPr>
          <w:p>
            <w:pPr>
              <w:jc w:val="center"/>
              <w:rPr>
                <w:b/>
                <w:lang w:eastAsia="sv-SE"/>
              </w:rPr>
            </w:pPr>
            <w:r>
              <w:rPr>
                <w:b/>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Huawei. HiSilicon</w:t>
            </w:r>
          </w:p>
        </w:tc>
        <w:tc>
          <w:tcPr>
            <w:tcW w:w="2126" w:type="dxa"/>
            <w:shd w:val="clear" w:color="auto" w:fill="auto"/>
          </w:tcPr>
          <w:p>
            <w:pPr>
              <w:jc w:val="left"/>
              <w:rPr>
                <w:rFonts w:eastAsia="等线"/>
              </w:rPr>
            </w:pPr>
            <w:r>
              <w:rPr>
                <w:rFonts w:eastAsia="等线"/>
              </w:rPr>
              <w:t>Disagree</w:t>
            </w:r>
          </w:p>
        </w:tc>
        <w:tc>
          <w:tcPr>
            <w:tcW w:w="6095" w:type="dxa"/>
            <w:shd w:val="clear" w:color="auto" w:fill="auto"/>
          </w:tcPr>
          <w:p>
            <w:pPr>
              <w:overflowPunct/>
              <w:autoSpaceDE/>
              <w:autoSpaceDN/>
              <w:adjustRightInd/>
              <w:spacing w:after="180"/>
              <w:jc w:val="left"/>
              <w:textAlignment w:val="auto"/>
              <w:rPr>
                <w:rFonts w:eastAsia="PMingLiU"/>
                <w:lang w:eastAsia="zh-TW"/>
              </w:rPr>
            </w:pPr>
            <w:r>
              <w:rPr>
                <w:rFonts w:eastAsia="PMingLiU"/>
                <w:lang w:eastAsia="zh-TW"/>
              </w:rPr>
              <w:t>We do not see the need for any change for blind retransmission in IOT NTN. Coverage enhancements are a basic function in IOT NTN and the timers set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MediaTek</w:t>
            </w:r>
          </w:p>
        </w:tc>
        <w:tc>
          <w:tcPr>
            <w:tcW w:w="2126" w:type="dxa"/>
            <w:shd w:val="clear" w:color="auto" w:fill="auto"/>
          </w:tcPr>
          <w:p>
            <w:pPr>
              <w:jc w:val="left"/>
              <w:rPr>
                <w:rFonts w:eastAsia="等线"/>
              </w:rPr>
            </w:pPr>
            <w:r>
              <w:rPr>
                <w:rFonts w:eastAsia="等线"/>
              </w:rPr>
              <w:t>Disagree</w:t>
            </w:r>
          </w:p>
        </w:tc>
        <w:tc>
          <w:tcPr>
            <w:tcW w:w="6095" w:type="dxa"/>
            <w:shd w:val="clear" w:color="auto" w:fill="auto"/>
          </w:tcPr>
          <w:p>
            <w:pPr>
              <w:overflowPunct/>
              <w:autoSpaceDE/>
              <w:autoSpaceDN/>
              <w:adjustRightInd/>
              <w:spacing w:after="180"/>
              <w:jc w:val="left"/>
              <w:textAlignment w:val="auto"/>
              <w:rPr>
                <w:rFonts w:eastAsia="等线"/>
              </w:rPr>
            </w:pPr>
            <w:r>
              <w:rPr>
                <w:rFonts w:eastAsia="等线"/>
              </w:rPr>
              <w:t>Support views of Huawei. This is not needed in IoT-NTN.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Malgun Gothic"/>
                <w:lang w:eastAsia="ko-KR"/>
              </w:rPr>
            </w:pPr>
            <w:r>
              <w:rPr>
                <w:rFonts w:eastAsia="Malgun Gothic"/>
                <w:lang w:eastAsia="ko-KR"/>
              </w:rPr>
              <w:t>Qualcomm</w:t>
            </w:r>
          </w:p>
        </w:tc>
        <w:tc>
          <w:tcPr>
            <w:tcW w:w="2126" w:type="dxa"/>
            <w:shd w:val="clear" w:color="auto" w:fill="auto"/>
          </w:tcPr>
          <w:p>
            <w:pPr>
              <w:jc w:val="left"/>
              <w:rPr>
                <w:rFonts w:eastAsia="Malgun Gothic"/>
                <w:lang w:eastAsia="ko-KR"/>
              </w:rPr>
            </w:pPr>
            <w:r>
              <w:rPr>
                <w:rFonts w:eastAsia="Malgun Gothic"/>
                <w:lang w:eastAsia="ko-KR"/>
              </w:rPr>
              <w:t>Disagree</w:t>
            </w:r>
          </w:p>
        </w:tc>
        <w:tc>
          <w:tcPr>
            <w:tcW w:w="6095"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L</w:t>
            </w:r>
            <w:r>
              <w:rPr>
                <w:rFonts w:eastAsia="等线"/>
              </w:rPr>
              <w:t>enovo</w:t>
            </w:r>
          </w:p>
        </w:tc>
        <w:tc>
          <w:tcPr>
            <w:tcW w:w="2126" w:type="dxa"/>
            <w:shd w:val="clear" w:color="auto" w:fill="auto"/>
          </w:tcPr>
          <w:p>
            <w:pPr>
              <w:jc w:val="left"/>
              <w:rPr>
                <w:rFonts w:eastAsia="等线"/>
              </w:rPr>
            </w:pPr>
            <w:r>
              <w:rPr>
                <w:rFonts w:hint="eastAsia" w:eastAsia="等线"/>
              </w:rPr>
              <w:t>D</w:t>
            </w:r>
            <w:r>
              <w:rPr>
                <w:rFonts w:eastAsia="等线"/>
              </w:rPr>
              <w:t>isagree</w:t>
            </w:r>
          </w:p>
        </w:tc>
        <w:tc>
          <w:tcPr>
            <w:tcW w:w="6095" w:type="dxa"/>
            <w:shd w:val="clear" w:color="auto" w:fill="auto"/>
          </w:tcPr>
          <w:p>
            <w:pPr>
              <w:overflowPunct/>
              <w:autoSpaceDE/>
              <w:autoSpaceDN/>
              <w:adjustRightInd/>
              <w:spacing w:after="180"/>
              <w:jc w:val="left"/>
              <w:textAlignment w:val="auto"/>
              <w:rPr>
                <w:rFonts w:eastAsia="等线"/>
              </w:rPr>
            </w:pPr>
            <w:r>
              <w:rPr>
                <w:rFonts w:hint="eastAsia" w:eastAsia="等线"/>
              </w:rPr>
              <w:t>N</w:t>
            </w:r>
            <w:r>
              <w:rPr>
                <w:rFonts w:eastAsia="等线"/>
              </w:rPr>
              <w:t>ot needed in IoT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hint="default" w:eastAsia="等线"/>
                <w:lang w:val="en-US" w:eastAsia="zh-CN"/>
              </w:rPr>
            </w:pPr>
            <w:r>
              <w:rPr>
                <w:rFonts w:hint="eastAsia" w:eastAsia="等线"/>
                <w:lang w:val="en-US" w:eastAsia="zh-CN"/>
              </w:rPr>
              <w:t>Transsion Holdings</w:t>
            </w:r>
          </w:p>
        </w:tc>
        <w:tc>
          <w:tcPr>
            <w:tcW w:w="2126" w:type="dxa"/>
            <w:shd w:val="clear" w:color="auto" w:fill="auto"/>
          </w:tcPr>
          <w:p>
            <w:pPr>
              <w:jc w:val="left"/>
              <w:rPr>
                <w:rFonts w:hint="default" w:eastAsia="等线"/>
                <w:lang w:val="en-US" w:eastAsia="zh-CN"/>
              </w:rPr>
            </w:pPr>
            <w:r>
              <w:rPr>
                <w:rFonts w:hint="eastAsia" w:eastAsia="等线"/>
                <w:lang w:val="en-US" w:eastAsia="zh-CN"/>
              </w:rPr>
              <w:t>Disagree</w:t>
            </w:r>
          </w:p>
        </w:tc>
        <w:tc>
          <w:tcPr>
            <w:tcW w:w="6095" w:type="dxa"/>
            <w:shd w:val="clear" w:color="auto" w:fill="auto"/>
          </w:tcPr>
          <w:p>
            <w:pPr>
              <w:overflowPunct/>
              <w:autoSpaceDE/>
              <w:autoSpaceDN/>
              <w:adjustRightInd/>
              <w:spacing w:after="180"/>
              <w:jc w:val="left"/>
              <w:textAlignment w:val="auto"/>
              <w:rPr>
                <w:rFonts w:hint="default" w:eastAsia="等线"/>
                <w:lang w:val="en-US" w:eastAsia="zh-CN"/>
              </w:rPr>
            </w:pPr>
            <w:r>
              <w:rPr>
                <w:rFonts w:hint="eastAsia" w:eastAsia="等线"/>
                <w:lang w:val="en-US" w:eastAsia="zh-CN"/>
              </w:rPr>
              <w:t>The M</w:t>
            </w:r>
            <w:r>
              <w:rPr>
                <w:rFonts w:hint="eastAsia" w:ascii="Arial" w:hAnsi="Arial" w:eastAsia="等线"/>
                <w:sz w:val="21"/>
                <w:szCs w:val="22"/>
                <w:lang w:val="en-US" w:eastAsia="zh-CN"/>
              </w:rPr>
              <w:t>SG3 repetition is a a kind of retransmission in IoT, so blind Msg3 retransmission no</w:t>
            </w:r>
            <w:r>
              <w:rPr>
                <w:rFonts w:hint="eastAsia" w:eastAsia="等线"/>
                <w:lang w:val="en-US" w:eastAsia="zh-CN"/>
              </w:rPr>
              <w:t xml:space="preserve"> needed in IoT NTN.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p>
        </w:tc>
        <w:tc>
          <w:tcPr>
            <w:tcW w:w="2126" w:type="dxa"/>
            <w:shd w:val="clear" w:color="auto" w:fill="auto"/>
          </w:tcPr>
          <w:p>
            <w:pPr>
              <w:jc w:val="left"/>
              <w:rPr>
                <w:rFonts w:eastAsia="等线"/>
              </w:rPr>
            </w:pPr>
          </w:p>
        </w:tc>
        <w:tc>
          <w:tcPr>
            <w:tcW w:w="6095" w:type="dxa"/>
            <w:shd w:val="clear" w:color="auto" w:fill="auto"/>
          </w:tcPr>
          <w:p>
            <w:pPr>
              <w:overflowPunct/>
              <w:autoSpaceDE/>
              <w:autoSpaceDN/>
              <w:adjustRightInd/>
              <w:spacing w:after="180"/>
              <w:jc w:val="left"/>
              <w:textAlignment w:val="auto"/>
            </w:pPr>
          </w:p>
        </w:tc>
      </w:tr>
    </w:tbl>
    <w:p/>
    <w:p>
      <w:pPr>
        <w:rPr>
          <w:color w:val="000000"/>
        </w:rPr>
      </w:pPr>
      <w:r>
        <w:rPr>
          <w:color w:val="000000"/>
        </w:rPr>
        <w:t>Regarding how to implement in the spec on blind Msg3 retransmission, following options are proposed in [1] and [2].</w:t>
      </w:r>
    </w:p>
    <w:p>
      <w:pPr>
        <w:pStyle w:val="90"/>
        <w:numPr>
          <w:ilvl w:val="0"/>
          <w:numId w:val="12"/>
        </w:numPr>
        <w:overflowPunct/>
        <w:autoSpaceDE/>
        <w:autoSpaceDN/>
        <w:adjustRightInd/>
        <w:spacing w:after="160"/>
        <w:jc w:val="left"/>
        <w:textAlignment w:val="auto"/>
        <w:rPr>
          <w:bCs/>
        </w:rPr>
      </w:pPr>
      <w:r>
        <w:t>Option 1:</w:t>
      </w:r>
      <w:r>
        <w:rPr>
          <w:bCs/>
        </w:rPr>
        <w:t xml:space="preserve"> If </w:t>
      </w:r>
      <w:r>
        <w:rPr>
          <w:bCs/>
          <w:i/>
          <w:iCs/>
        </w:rPr>
        <w:t>mac-ContentionResolutionTimer</w:t>
      </w:r>
      <w:r>
        <w:rPr>
          <w:bCs/>
        </w:rPr>
        <w:t xml:space="preserve"> expires during the UE-eNB RTT after Msg3 retransmission, (to wait for new CR timer restart) the UE does </w:t>
      </w:r>
      <w:r>
        <w:t>not consider</w:t>
      </w:r>
      <w:r>
        <w:rPr>
          <w:bCs/>
        </w:rPr>
        <w:t xml:space="preserve"> the Contention Resolution </w:t>
      </w:r>
      <w:r>
        <w:t>unsuccessful</w:t>
      </w:r>
      <w:r>
        <w:rPr>
          <w:bCs/>
        </w:rPr>
        <w:t xml:space="preserve">. </w:t>
      </w:r>
    </w:p>
    <w:p>
      <w:pPr>
        <w:pStyle w:val="90"/>
        <w:numPr>
          <w:ilvl w:val="0"/>
          <w:numId w:val="12"/>
        </w:numPr>
        <w:overflowPunct/>
        <w:autoSpaceDE/>
        <w:autoSpaceDN/>
        <w:adjustRightInd/>
        <w:spacing w:after="160"/>
        <w:jc w:val="left"/>
        <w:textAlignment w:val="auto"/>
        <w:rPr>
          <w:bCs/>
        </w:rPr>
      </w:pPr>
      <w:r>
        <w:t>Option 2:</w:t>
      </w:r>
      <w:r>
        <w:rPr>
          <w:bCs/>
        </w:rPr>
        <w:t xml:space="preserve"> If </w:t>
      </w:r>
      <w:r>
        <w:rPr>
          <w:bCs/>
          <w:i/>
          <w:iCs/>
        </w:rPr>
        <w:t>mac-ContentionResolutionTimer</w:t>
      </w:r>
      <w:r>
        <w:rPr>
          <w:bCs/>
        </w:rPr>
        <w:t xml:space="preserve"> expires and </w:t>
      </w:r>
      <w:r>
        <w:t>no</w:t>
      </w:r>
      <w:r>
        <w:rPr>
          <w:bCs/>
        </w:rPr>
        <w:t xml:space="preserve"> PDCCH addressed to TC-RNTI indicating uplink grant for a MSG3 retransmission is received after the start of the </w:t>
      </w:r>
      <w:r>
        <w:rPr>
          <w:bCs/>
          <w:i/>
          <w:iCs/>
        </w:rPr>
        <w:t>mac-ContentionResolutionTimer</w:t>
      </w:r>
      <w:r>
        <w:rPr>
          <w:bCs/>
        </w:rPr>
        <w:t xml:space="preserve">, the UE </w:t>
      </w:r>
      <w:r>
        <w:t>considers</w:t>
      </w:r>
      <w:r>
        <w:rPr>
          <w:bCs/>
        </w:rPr>
        <w:t xml:space="preserve"> the Contention Resolution </w:t>
      </w:r>
      <w:r>
        <w:t>not successful</w:t>
      </w:r>
    </w:p>
    <w:p>
      <w:pPr>
        <w:rPr>
          <w:color w:val="000000"/>
        </w:rPr>
      </w:pPr>
      <w:r>
        <w:rPr>
          <w:color w:val="000000"/>
        </w:rPr>
        <w:t xml:space="preserve">Note that the same issue is being discussed in NR NTN, i.e. phase 2 of </w:t>
      </w:r>
      <w:r>
        <w:t>[AT118-e]</w:t>
      </w:r>
      <w:r>
        <w:rPr>
          <w:color w:val="000000"/>
        </w:rPr>
        <w:t>[104]. Rapporteur assumes that IoT NTN can follow NR NTN’s conclusion.</w:t>
      </w:r>
    </w:p>
    <w:p>
      <w:pPr>
        <w:spacing w:before="156" w:beforeLines="50" w:after="156" w:afterLines="50"/>
        <w:rPr>
          <w:b/>
        </w:rPr>
      </w:pPr>
    </w:p>
    <w:p>
      <w:pPr>
        <w:spacing w:before="156" w:beforeLines="50" w:after="156" w:afterLines="50"/>
        <w:rPr>
          <w:b/>
        </w:rPr>
      </w:pPr>
      <w:r>
        <w:rPr>
          <w:b/>
        </w:rPr>
        <w:t xml:space="preserve">Question 2: Do companies agree that IoT NTN follows NR NTN’s conclusion on how to implement blind Msg3 retransmission in the MAC spec (i.e. modifications to </w:t>
      </w:r>
      <w:r>
        <w:rPr>
          <w:b/>
          <w:i/>
        </w:rPr>
        <w:t>mac-ContentionResolutionTimer</w:t>
      </w:r>
      <w:r>
        <w:rPr>
          <w:b/>
        </w:rPr>
        <w:t xml:space="preserve"> operation)? </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126"/>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E7E6E6"/>
          </w:tcPr>
          <w:p>
            <w:pPr>
              <w:jc w:val="center"/>
              <w:rPr>
                <w:b/>
                <w:lang w:eastAsia="sv-SE"/>
              </w:rPr>
            </w:pPr>
            <w:r>
              <w:rPr>
                <w:b/>
                <w:lang w:eastAsia="sv-SE"/>
              </w:rPr>
              <w:t>Company</w:t>
            </w:r>
          </w:p>
        </w:tc>
        <w:tc>
          <w:tcPr>
            <w:tcW w:w="2126" w:type="dxa"/>
            <w:shd w:val="clear" w:color="auto" w:fill="E7E6E6"/>
          </w:tcPr>
          <w:p>
            <w:pPr>
              <w:jc w:val="center"/>
              <w:rPr>
                <w:b/>
              </w:rPr>
            </w:pPr>
            <w:r>
              <w:rPr>
                <w:b/>
              </w:rPr>
              <w:t>Agree/Disagree</w:t>
            </w:r>
          </w:p>
        </w:tc>
        <w:tc>
          <w:tcPr>
            <w:tcW w:w="6095" w:type="dxa"/>
            <w:shd w:val="clear" w:color="auto" w:fill="E7E6E6"/>
          </w:tcPr>
          <w:p>
            <w:pPr>
              <w:jc w:val="center"/>
              <w:rPr>
                <w:b/>
                <w:lang w:eastAsia="sv-SE"/>
              </w:rPr>
            </w:pPr>
            <w:r>
              <w:rPr>
                <w:b/>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Huawei. HiSilicon</w:t>
            </w:r>
          </w:p>
        </w:tc>
        <w:tc>
          <w:tcPr>
            <w:tcW w:w="2126" w:type="dxa"/>
            <w:shd w:val="clear" w:color="auto" w:fill="auto"/>
          </w:tcPr>
          <w:p>
            <w:pPr>
              <w:jc w:val="left"/>
              <w:rPr>
                <w:rFonts w:eastAsia="等线"/>
              </w:rPr>
            </w:pPr>
            <w:r>
              <w:rPr>
                <w:rFonts w:eastAsia="等线"/>
              </w:rPr>
              <w:t>Disagree</w:t>
            </w:r>
          </w:p>
        </w:tc>
        <w:tc>
          <w:tcPr>
            <w:tcW w:w="6095" w:type="dxa"/>
            <w:shd w:val="clear" w:color="auto" w:fill="auto"/>
          </w:tcPr>
          <w:p>
            <w:pPr>
              <w:overflowPunct/>
              <w:autoSpaceDE/>
              <w:autoSpaceDN/>
              <w:adjustRightInd/>
              <w:spacing w:after="180"/>
              <w:jc w:val="left"/>
              <w:textAlignment w:val="auto"/>
              <w:rPr>
                <w:rFonts w:eastAsia="PMingLiU"/>
                <w:lang w:eastAsia="zh-TW"/>
              </w:rPr>
            </w:pPr>
            <w:r>
              <w:rPr>
                <w:rFonts w:eastAsia="PMingLiU"/>
                <w:lang w:eastAsia="zh-TW"/>
              </w:rPr>
              <w:t>see answer to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MediaTek</w:t>
            </w:r>
          </w:p>
        </w:tc>
        <w:tc>
          <w:tcPr>
            <w:tcW w:w="2126" w:type="dxa"/>
            <w:shd w:val="clear" w:color="auto" w:fill="auto"/>
          </w:tcPr>
          <w:p>
            <w:pPr>
              <w:jc w:val="left"/>
              <w:rPr>
                <w:rFonts w:eastAsia="等线"/>
              </w:rPr>
            </w:pPr>
            <w:r>
              <w:rPr>
                <w:rFonts w:eastAsia="等线"/>
              </w:rPr>
              <w:t>Disagree</w:t>
            </w:r>
          </w:p>
        </w:tc>
        <w:tc>
          <w:tcPr>
            <w:tcW w:w="6095" w:type="dxa"/>
            <w:shd w:val="clear" w:color="auto" w:fill="auto"/>
          </w:tcPr>
          <w:p>
            <w:pPr>
              <w:overflowPunct/>
              <w:autoSpaceDE/>
              <w:autoSpaceDN/>
              <w:adjustRightInd/>
              <w:spacing w:after="180"/>
              <w:jc w:val="left"/>
              <w:textAlignment w:val="auto"/>
              <w:rPr>
                <w:rFonts w:eastAsia="等线"/>
              </w:rPr>
            </w:pPr>
            <w:r>
              <w:rPr>
                <w:rFonts w:eastAsia="等线"/>
              </w:rPr>
              <w:t>See our responses to Question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Malgun Gothic"/>
                <w:lang w:eastAsia="ko-KR"/>
              </w:rPr>
            </w:pPr>
            <w:r>
              <w:rPr>
                <w:rFonts w:eastAsia="Malgun Gothic"/>
                <w:lang w:eastAsia="ko-KR"/>
              </w:rPr>
              <w:t>Qualcomm</w:t>
            </w:r>
          </w:p>
        </w:tc>
        <w:tc>
          <w:tcPr>
            <w:tcW w:w="2126" w:type="dxa"/>
            <w:shd w:val="clear" w:color="auto" w:fill="auto"/>
          </w:tcPr>
          <w:p>
            <w:pPr>
              <w:jc w:val="left"/>
              <w:rPr>
                <w:rFonts w:eastAsia="Malgun Gothic"/>
                <w:lang w:eastAsia="ko-KR"/>
              </w:rPr>
            </w:pPr>
            <w:r>
              <w:rPr>
                <w:rFonts w:eastAsia="Malgun Gothic"/>
                <w:lang w:eastAsia="ko-KR"/>
              </w:rPr>
              <w:t>Disagree but</w:t>
            </w:r>
          </w:p>
        </w:tc>
        <w:tc>
          <w:tcPr>
            <w:tcW w:w="6095" w:type="dxa"/>
            <w:shd w:val="clear" w:color="auto" w:fill="auto"/>
          </w:tcPr>
          <w:p>
            <w:pPr>
              <w:rPr>
                <w:bCs/>
              </w:rPr>
            </w:pPr>
            <w:r>
              <w:rPr>
                <w:rFonts w:eastAsia="等线"/>
              </w:rPr>
              <w:t xml:space="preserve">The issue is same as in NR. But it does not have to be blind retransmission. Ok to stop the running timer by </w:t>
            </w:r>
            <w:r>
              <w:rPr>
                <w:bCs/>
              </w:rPr>
              <w:t>PDCCH addressed to TC-RNTI indicating uplink grant for a MSG3 retransmission.</w:t>
            </w:r>
          </w:p>
          <w:p>
            <w:pPr>
              <w:rPr>
                <w:bCs/>
              </w:rPr>
            </w:pPr>
            <w:r>
              <w:rPr>
                <w:bCs/>
              </w:rPr>
              <w:t>This can be in similar to what we already have below</w:t>
            </w:r>
          </w:p>
          <w:p>
            <w:pPr>
              <w:pStyle w:val="59"/>
            </w:pPr>
            <w:r>
              <w:t>-</w:t>
            </w:r>
            <w:r>
              <w:tab/>
            </w:r>
            <w:r>
              <w:t xml:space="preserve">if </w:t>
            </w:r>
            <w:r>
              <w:rPr>
                <w:i/>
              </w:rPr>
              <w:t>mac-ContentionResolutionTimer</w:t>
            </w:r>
            <w:r>
              <w:t xml:space="preserve"> expires:</w:t>
            </w:r>
          </w:p>
          <w:p>
            <w:pPr>
              <w:pStyle w:val="60"/>
            </w:pPr>
            <w:r>
              <w:t>-</w:t>
            </w:r>
            <w:r>
              <w:tab/>
            </w:r>
            <w:r>
              <w:t>for BL UEs or UEs in CE or NB-IoT UEs:</w:t>
            </w:r>
          </w:p>
          <w:p>
            <w:pPr>
              <w:pStyle w:val="61"/>
            </w:pPr>
            <w:r>
              <w:t>-</w:t>
            </w:r>
            <w:r>
              <w:tab/>
            </w:r>
            <w:r>
              <w:t xml:space="preserve">if notification of a reception of a PDCCH transmission has been received from lower layers before </w:t>
            </w:r>
            <w:r>
              <w:rPr>
                <w:i/>
              </w:rPr>
              <w:t>mac-ContentionResolutionTimer</w:t>
            </w:r>
            <w:r>
              <w:t xml:space="preserve"> expired; and</w:t>
            </w:r>
          </w:p>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L</w:t>
            </w:r>
            <w:r>
              <w:rPr>
                <w:rFonts w:eastAsia="等线"/>
              </w:rPr>
              <w:t>enovo</w:t>
            </w:r>
          </w:p>
        </w:tc>
        <w:tc>
          <w:tcPr>
            <w:tcW w:w="2126" w:type="dxa"/>
            <w:shd w:val="clear" w:color="auto" w:fill="auto"/>
          </w:tcPr>
          <w:p>
            <w:pPr>
              <w:jc w:val="left"/>
              <w:rPr>
                <w:rFonts w:eastAsia="等线"/>
              </w:rPr>
            </w:pPr>
            <w:r>
              <w:rPr>
                <w:rFonts w:hint="eastAsia" w:eastAsia="等线"/>
              </w:rPr>
              <w:t>D</w:t>
            </w:r>
            <w:r>
              <w:rPr>
                <w:rFonts w:eastAsia="等线"/>
              </w:rPr>
              <w:t>isagree</w:t>
            </w:r>
          </w:p>
        </w:tc>
        <w:tc>
          <w:tcPr>
            <w:tcW w:w="6095" w:type="dxa"/>
            <w:shd w:val="clear" w:color="auto" w:fill="auto"/>
          </w:tcPr>
          <w:p>
            <w:pPr>
              <w:overflowPunct/>
              <w:autoSpaceDE/>
              <w:autoSpaceDN/>
              <w:adjustRightInd/>
              <w:spacing w:after="180"/>
              <w:jc w:val="left"/>
              <w:textAlignment w:val="auto"/>
              <w:rPr>
                <w:rFonts w:eastAsia="等线"/>
              </w:rPr>
            </w:pPr>
            <w:r>
              <w:rPr>
                <w:rFonts w:hint="eastAsia" w:eastAsia="等线"/>
              </w:rPr>
              <w:t>N</w:t>
            </w:r>
            <w:r>
              <w:rPr>
                <w:rFonts w:eastAsia="等线"/>
              </w:rPr>
              <w:t>ot needed in IoT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vAlign w:val="top"/>
          </w:tcPr>
          <w:p>
            <w:pPr>
              <w:rPr>
                <w:rFonts w:eastAsia="等线"/>
              </w:rPr>
            </w:pPr>
            <w:r>
              <w:rPr>
                <w:rFonts w:hint="eastAsia" w:eastAsia="等线"/>
                <w:lang w:val="en-US" w:eastAsia="zh-CN"/>
              </w:rPr>
              <w:t>Transsion Holdings</w:t>
            </w:r>
          </w:p>
        </w:tc>
        <w:tc>
          <w:tcPr>
            <w:tcW w:w="2126" w:type="dxa"/>
            <w:shd w:val="clear" w:color="auto" w:fill="auto"/>
            <w:vAlign w:val="top"/>
          </w:tcPr>
          <w:p>
            <w:pPr>
              <w:jc w:val="left"/>
              <w:rPr>
                <w:rFonts w:eastAsia="等线"/>
              </w:rPr>
            </w:pPr>
            <w:r>
              <w:rPr>
                <w:rFonts w:hint="eastAsia" w:eastAsia="等线"/>
                <w:lang w:val="en-US" w:eastAsia="zh-CN"/>
              </w:rPr>
              <w:t>Disagree</w:t>
            </w:r>
          </w:p>
        </w:tc>
        <w:tc>
          <w:tcPr>
            <w:tcW w:w="6095" w:type="dxa"/>
            <w:shd w:val="clear" w:color="auto" w:fill="auto"/>
            <w:vAlign w:val="top"/>
          </w:tcPr>
          <w:p>
            <w:pPr>
              <w:overflowPunct/>
              <w:autoSpaceDE/>
              <w:autoSpaceDN/>
              <w:adjustRightInd/>
              <w:spacing w:after="180"/>
              <w:jc w:val="left"/>
              <w:textAlignment w:val="auto"/>
              <w:rPr>
                <w:rFonts w:hint="eastAsia" w:eastAsia="等线"/>
                <w:lang w:val="en-US" w:eastAsia="zh-CN"/>
              </w:rPr>
            </w:pPr>
            <w:r>
              <w:rPr>
                <w:rFonts w:hint="eastAsia" w:eastAsia="等线"/>
              </w:rPr>
              <w:t>N</w:t>
            </w:r>
            <w:r>
              <w:rPr>
                <w:rFonts w:eastAsia="等线"/>
              </w:rPr>
              <w:t>ot needed in IoT NTN</w:t>
            </w:r>
            <w:r>
              <w:rPr>
                <w:rFonts w:hint="eastAsia" w:eastAsia="等线"/>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p>
        </w:tc>
        <w:tc>
          <w:tcPr>
            <w:tcW w:w="2126" w:type="dxa"/>
            <w:shd w:val="clear" w:color="auto" w:fill="auto"/>
          </w:tcPr>
          <w:p>
            <w:pPr>
              <w:jc w:val="left"/>
              <w:rPr>
                <w:rFonts w:eastAsia="等线"/>
              </w:rPr>
            </w:pPr>
          </w:p>
        </w:tc>
        <w:tc>
          <w:tcPr>
            <w:tcW w:w="6095" w:type="dxa"/>
            <w:shd w:val="clear" w:color="auto" w:fill="auto"/>
          </w:tcPr>
          <w:p>
            <w:pPr>
              <w:overflowPunct/>
              <w:autoSpaceDE/>
              <w:autoSpaceDN/>
              <w:adjustRightInd/>
              <w:spacing w:after="180"/>
              <w:jc w:val="left"/>
              <w:textAlignment w:val="auto"/>
            </w:pPr>
          </w:p>
        </w:tc>
      </w:tr>
    </w:tbl>
    <w:p/>
    <w:p>
      <w:pPr>
        <w:rPr>
          <w:color w:val="000000"/>
        </w:rPr>
      </w:pPr>
      <w:r>
        <w:rPr>
          <w:color w:val="000000"/>
        </w:rPr>
        <w:t xml:space="preserve">In [1], it is proposed to introduce an explicit configuration to support blind Msg3 retransmission in IoT NTN and UE behaviour would be different depending on whether blind Msg3 retransmission is configured or not. Note that this is also being discussed in NR NTN, i.e. phase 1 of </w:t>
      </w:r>
      <w:r>
        <w:t>[AT118-e]</w:t>
      </w:r>
      <w:r>
        <w:rPr>
          <w:color w:val="000000"/>
        </w:rPr>
        <w:t>[104] and rapporteur assumes that IoT NTN can follow NR NTN’s conclusion.</w:t>
      </w:r>
    </w:p>
    <w:p>
      <w:pPr>
        <w:spacing w:before="156" w:beforeLines="50" w:after="156" w:afterLines="50"/>
        <w:rPr>
          <w:b/>
        </w:rPr>
      </w:pPr>
      <w:r>
        <w:rPr>
          <w:b/>
        </w:rPr>
        <w:t xml:space="preserve">Question 3: Do companies agree that IoT NTN follows NR NTN’s conclusion on whether to </w:t>
      </w:r>
      <w:r>
        <w:rPr>
          <w:b/>
          <w:bCs/>
        </w:rPr>
        <w:t>introduce an explicit configuration to support blind Msg3 retransmission</w:t>
      </w:r>
      <w:r>
        <w:rPr>
          <w:b/>
        </w:rPr>
        <w:t xml:space="preserve">? </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126"/>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E7E6E6"/>
          </w:tcPr>
          <w:p>
            <w:pPr>
              <w:jc w:val="center"/>
              <w:rPr>
                <w:b/>
                <w:lang w:eastAsia="sv-SE"/>
              </w:rPr>
            </w:pPr>
            <w:r>
              <w:rPr>
                <w:b/>
                <w:lang w:eastAsia="sv-SE"/>
              </w:rPr>
              <w:t>Company</w:t>
            </w:r>
          </w:p>
        </w:tc>
        <w:tc>
          <w:tcPr>
            <w:tcW w:w="2126" w:type="dxa"/>
            <w:shd w:val="clear" w:color="auto" w:fill="E7E6E6"/>
          </w:tcPr>
          <w:p>
            <w:pPr>
              <w:jc w:val="center"/>
              <w:rPr>
                <w:b/>
              </w:rPr>
            </w:pPr>
            <w:r>
              <w:rPr>
                <w:b/>
              </w:rPr>
              <w:t>Agree/Disagree</w:t>
            </w:r>
          </w:p>
        </w:tc>
        <w:tc>
          <w:tcPr>
            <w:tcW w:w="6095" w:type="dxa"/>
            <w:shd w:val="clear" w:color="auto" w:fill="E7E6E6"/>
          </w:tcPr>
          <w:p>
            <w:pPr>
              <w:jc w:val="center"/>
              <w:rPr>
                <w:b/>
                <w:lang w:eastAsia="sv-SE"/>
              </w:rPr>
            </w:pPr>
            <w:r>
              <w:rPr>
                <w:b/>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Huawei. HiSilicon</w:t>
            </w:r>
          </w:p>
        </w:tc>
        <w:tc>
          <w:tcPr>
            <w:tcW w:w="2126" w:type="dxa"/>
            <w:shd w:val="clear" w:color="auto" w:fill="auto"/>
          </w:tcPr>
          <w:p>
            <w:pPr>
              <w:jc w:val="left"/>
              <w:rPr>
                <w:rFonts w:eastAsia="等线"/>
              </w:rPr>
            </w:pPr>
            <w:r>
              <w:rPr>
                <w:rFonts w:eastAsia="等线"/>
              </w:rPr>
              <w:t>Disagree</w:t>
            </w:r>
          </w:p>
        </w:tc>
        <w:tc>
          <w:tcPr>
            <w:tcW w:w="6095" w:type="dxa"/>
            <w:shd w:val="clear" w:color="auto" w:fill="auto"/>
          </w:tcPr>
          <w:p>
            <w:pPr>
              <w:overflowPunct/>
              <w:autoSpaceDE/>
              <w:autoSpaceDN/>
              <w:adjustRightInd/>
              <w:spacing w:after="180"/>
              <w:jc w:val="left"/>
              <w:textAlignment w:val="auto"/>
              <w:rPr>
                <w:rFonts w:eastAsia="PMingLiU"/>
                <w:lang w:eastAsia="zh-TW"/>
              </w:rPr>
            </w:pPr>
            <w:r>
              <w:rPr>
                <w:rFonts w:eastAsia="PMingLiU"/>
                <w:lang w:eastAsia="zh-TW"/>
              </w:rPr>
              <w:t>see answer to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MediaTek</w:t>
            </w:r>
          </w:p>
        </w:tc>
        <w:tc>
          <w:tcPr>
            <w:tcW w:w="2126" w:type="dxa"/>
            <w:shd w:val="clear" w:color="auto" w:fill="auto"/>
          </w:tcPr>
          <w:p>
            <w:pPr>
              <w:jc w:val="left"/>
              <w:rPr>
                <w:rFonts w:eastAsia="等线"/>
              </w:rPr>
            </w:pPr>
            <w:r>
              <w:rPr>
                <w:rFonts w:eastAsia="等线"/>
              </w:rPr>
              <w:t>Disagree</w:t>
            </w:r>
          </w:p>
        </w:tc>
        <w:tc>
          <w:tcPr>
            <w:tcW w:w="6095" w:type="dxa"/>
            <w:shd w:val="clear" w:color="auto" w:fill="auto"/>
          </w:tcPr>
          <w:p>
            <w:pPr>
              <w:overflowPunct/>
              <w:autoSpaceDE/>
              <w:autoSpaceDN/>
              <w:adjustRightInd/>
              <w:spacing w:after="180"/>
              <w:jc w:val="left"/>
              <w:textAlignment w:val="auto"/>
              <w:rPr>
                <w:rFonts w:eastAsia="等线"/>
              </w:rPr>
            </w:pPr>
            <w:r>
              <w:rPr>
                <w:rFonts w:eastAsia="等线"/>
              </w:rPr>
              <w:t>See our responses to Question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Malgun Gothic"/>
                <w:lang w:eastAsia="ko-KR"/>
              </w:rPr>
            </w:pPr>
            <w:r>
              <w:rPr>
                <w:rFonts w:eastAsia="Malgun Gothic"/>
                <w:lang w:eastAsia="ko-KR"/>
              </w:rPr>
              <w:t>Qualcomm</w:t>
            </w:r>
          </w:p>
        </w:tc>
        <w:tc>
          <w:tcPr>
            <w:tcW w:w="2126" w:type="dxa"/>
            <w:shd w:val="clear" w:color="auto" w:fill="auto"/>
          </w:tcPr>
          <w:p>
            <w:pPr>
              <w:jc w:val="left"/>
              <w:rPr>
                <w:rFonts w:eastAsia="Malgun Gothic"/>
                <w:lang w:eastAsia="ko-KR"/>
              </w:rPr>
            </w:pPr>
            <w:r>
              <w:rPr>
                <w:rFonts w:eastAsia="Malgun Gothic"/>
                <w:lang w:eastAsia="ko-KR"/>
              </w:rPr>
              <w:t>Disagree</w:t>
            </w:r>
          </w:p>
        </w:tc>
        <w:tc>
          <w:tcPr>
            <w:tcW w:w="6095"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L</w:t>
            </w:r>
            <w:r>
              <w:rPr>
                <w:rFonts w:eastAsia="等线"/>
              </w:rPr>
              <w:t>enovo</w:t>
            </w:r>
          </w:p>
        </w:tc>
        <w:tc>
          <w:tcPr>
            <w:tcW w:w="2126" w:type="dxa"/>
            <w:shd w:val="clear" w:color="auto" w:fill="auto"/>
          </w:tcPr>
          <w:p>
            <w:pPr>
              <w:jc w:val="left"/>
              <w:rPr>
                <w:rFonts w:eastAsia="等线"/>
              </w:rPr>
            </w:pPr>
            <w:r>
              <w:rPr>
                <w:rFonts w:hint="eastAsia" w:eastAsia="等线"/>
              </w:rPr>
              <w:t>D</w:t>
            </w:r>
            <w:r>
              <w:rPr>
                <w:rFonts w:eastAsia="等线"/>
              </w:rPr>
              <w:t>isagree</w:t>
            </w:r>
          </w:p>
        </w:tc>
        <w:tc>
          <w:tcPr>
            <w:tcW w:w="6095" w:type="dxa"/>
            <w:shd w:val="clear" w:color="auto" w:fill="auto"/>
          </w:tcPr>
          <w:p>
            <w:pPr>
              <w:overflowPunct/>
              <w:autoSpaceDE/>
              <w:autoSpaceDN/>
              <w:adjustRightInd/>
              <w:spacing w:after="180"/>
              <w:jc w:val="left"/>
              <w:textAlignment w:val="auto"/>
              <w:rPr>
                <w:rFonts w:eastAsia="等线"/>
              </w:rPr>
            </w:pPr>
            <w:r>
              <w:rPr>
                <w:rFonts w:hint="eastAsia" w:eastAsia="等线"/>
              </w:rPr>
              <w:t>N</w:t>
            </w:r>
            <w:r>
              <w:rPr>
                <w:rFonts w:eastAsia="等线"/>
              </w:rPr>
              <w:t>ot needed in IoT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vAlign w:val="top"/>
          </w:tcPr>
          <w:p>
            <w:pPr>
              <w:rPr>
                <w:rFonts w:eastAsia="等线"/>
              </w:rPr>
            </w:pPr>
            <w:r>
              <w:rPr>
                <w:rFonts w:hint="eastAsia" w:eastAsia="等线"/>
                <w:lang w:val="en-US" w:eastAsia="zh-CN"/>
              </w:rPr>
              <w:t>Transsion Holdings</w:t>
            </w:r>
          </w:p>
        </w:tc>
        <w:tc>
          <w:tcPr>
            <w:tcW w:w="2126" w:type="dxa"/>
            <w:shd w:val="clear" w:color="auto" w:fill="auto"/>
            <w:vAlign w:val="top"/>
          </w:tcPr>
          <w:p>
            <w:pPr>
              <w:jc w:val="left"/>
              <w:rPr>
                <w:rFonts w:eastAsia="等线"/>
              </w:rPr>
            </w:pPr>
            <w:r>
              <w:rPr>
                <w:rFonts w:hint="eastAsia" w:eastAsia="等线"/>
                <w:lang w:val="en-US" w:eastAsia="zh-CN"/>
              </w:rPr>
              <w:t>Disagree</w:t>
            </w:r>
          </w:p>
        </w:tc>
        <w:tc>
          <w:tcPr>
            <w:tcW w:w="6095" w:type="dxa"/>
            <w:shd w:val="clear" w:color="auto" w:fill="auto"/>
            <w:vAlign w:val="top"/>
          </w:tcPr>
          <w:p>
            <w:pPr>
              <w:overflowPunct/>
              <w:autoSpaceDE/>
              <w:autoSpaceDN/>
              <w:adjustRightInd/>
              <w:spacing w:after="180"/>
              <w:jc w:val="left"/>
              <w:textAlignment w:val="auto"/>
              <w:rPr>
                <w:rFonts w:eastAsia="等线"/>
              </w:rPr>
            </w:pPr>
            <w:r>
              <w:rPr>
                <w:rFonts w:hint="eastAsia" w:eastAsia="等线"/>
              </w:rPr>
              <w:t>N</w:t>
            </w:r>
            <w:r>
              <w:rPr>
                <w:rFonts w:eastAsia="等线"/>
              </w:rPr>
              <w:t>ot needed in IoT NTN</w:t>
            </w:r>
            <w:r>
              <w:rPr>
                <w:rFonts w:hint="eastAsia" w:eastAsia="等线"/>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p>
        </w:tc>
        <w:tc>
          <w:tcPr>
            <w:tcW w:w="2126" w:type="dxa"/>
            <w:shd w:val="clear" w:color="auto" w:fill="auto"/>
          </w:tcPr>
          <w:p>
            <w:pPr>
              <w:jc w:val="left"/>
              <w:rPr>
                <w:rFonts w:eastAsia="等线"/>
              </w:rPr>
            </w:pPr>
          </w:p>
        </w:tc>
        <w:tc>
          <w:tcPr>
            <w:tcW w:w="6095" w:type="dxa"/>
            <w:shd w:val="clear" w:color="auto" w:fill="auto"/>
          </w:tcPr>
          <w:p>
            <w:pPr>
              <w:overflowPunct/>
              <w:autoSpaceDE/>
              <w:autoSpaceDN/>
              <w:adjustRightInd/>
              <w:spacing w:after="180"/>
              <w:jc w:val="left"/>
              <w:textAlignment w:val="auto"/>
            </w:pPr>
          </w:p>
        </w:tc>
      </w:tr>
    </w:tbl>
    <w:p/>
    <w:p>
      <w:pPr>
        <w:pStyle w:val="3"/>
        <w:tabs>
          <w:tab w:val="left" w:pos="576"/>
        </w:tabs>
        <w:ind w:left="576" w:hanging="576"/>
        <w:rPr>
          <w:rFonts w:cs="Times New Roman"/>
        </w:rPr>
      </w:pPr>
      <w:r>
        <w:rPr>
          <w:rFonts w:cs="Times New Roman"/>
        </w:rPr>
        <w:t xml:space="preserve">3.2 TA report </w:t>
      </w:r>
    </w:p>
    <w:p>
      <w:pPr>
        <w:pStyle w:val="27"/>
        <w:rPr>
          <w:rFonts w:eastAsia="等线"/>
          <w:i/>
          <w:u w:val="single"/>
        </w:rPr>
      </w:pPr>
      <w:r>
        <w:rPr>
          <w:rFonts w:eastAsia="等线"/>
          <w:i/>
          <w:u w:val="single"/>
        </w:rPr>
        <w:t>Whether SR can be triggered?</w:t>
      </w:r>
    </w:p>
    <w:p>
      <w:pPr>
        <w:pStyle w:val="27"/>
        <w:rPr>
          <w:rFonts w:eastAsia="等线"/>
        </w:rPr>
      </w:pPr>
      <w:r>
        <w:rPr>
          <w:rFonts w:eastAsia="等线"/>
        </w:rPr>
        <w:t>In RAN2#117e, following agreement has been made for NR NTN.</w:t>
      </w:r>
    </w:p>
    <w:p>
      <w:pPr>
        <w:pStyle w:val="88"/>
        <w:numPr>
          <w:ilvl w:val="0"/>
          <w:numId w:val="13"/>
        </w:numPr>
        <w:pBdr>
          <w:top w:val="single" w:color="auto" w:sz="4" w:space="1"/>
          <w:left w:val="single" w:color="auto" w:sz="4" w:space="4"/>
          <w:bottom w:val="single" w:color="auto" w:sz="4" w:space="1"/>
          <w:right w:val="single" w:color="auto" w:sz="4" w:space="4"/>
        </w:pBdr>
        <w:spacing w:line="240" w:lineRule="auto"/>
      </w:pPr>
      <w:bookmarkStart w:id="5" w:name="_Hlk97109364"/>
      <w:r>
        <w:t>If a TA report is triggered and there are no available UL-SCH resources, the network may optionally configure UE to trigger an SR. A UE capability is introduced for this</w:t>
      </w:r>
      <w:bookmarkEnd w:id="5"/>
      <w:r>
        <w:t>.</w:t>
      </w:r>
    </w:p>
    <w:p>
      <w:pPr>
        <w:pStyle w:val="27"/>
        <w:rPr>
          <w:rFonts w:eastAsia="等线"/>
        </w:rPr>
      </w:pPr>
      <w:r>
        <w:rPr>
          <w:rFonts w:eastAsia="等线"/>
        </w:rPr>
        <w:t>In [1], it is proposed that IoT NTN follows NR NTN’s agreements. Given that NR NTN agreements contain many aspects. Following questions are asked to see to which extend companies would like to align with NR NTN.</w:t>
      </w:r>
    </w:p>
    <w:p>
      <w:pPr>
        <w:spacing w:before="156" w:beforeLines="50" w:after="156" w:afterLines="50"/>
        <w:rPr>
          <w:b/>
        </w:rPr>
      </w:pPr>
      <w:r>
        <w:rPr>
          <w:b/>
        </w:rPr>
        <w:t xml:space="preserve">Question 4: Do companies agree that in IoT NTN, UE can trigger SR if a TA report is triggered and there are no available UL-SCH resources? </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126"/>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E7E6E6"/>
          </w:tcPr>
          <w:p>
            <w:pPr>
              <w:jc w:val="center"/>
              <w:rPr>
                <w:b/>
                <w:lang w:eastAsia="sv-SE"/>
              </w:rPr>
            </w:pPr>
            <w:r>
              <w:rPr>
                <w:b/>
                <w:lang w:eastAsia="sv-SE"/>
              </w:rPr>
              <w:t>Company</w:t>
            </w:r>
          </w:p>
        </w:tc>
        <w:tc>
          <w:tcPr>
            <w:tcW w:w="2126" w:type="dxa"/>
            <w:shd w:val="clear" w:color="auto" w:fill="E7E6E6"/>
          </w:tcPr>
          <w:p>
            <w:pPr>
              <w:jc w:val="center"/>
              <w:rPr>
                <w:b/>
              </w:rPr>
            </w:pPr>
            <w:r>
              <w:rPr>
                <w:b/>
              </w:rPr>
              <w:t>Agree/Disagree</w:t>
            </w:r>
          </w:p>
        </w:tc>
        <w:tc>
          <w:tcPr>
            <w:tcW w:w="6095" w:type="dxa"/>
            <w:shd w:val="clear" w:color="auto" w:fill="E7E6E6"/>
          </w:tcPr>
          <w:p>
            <w:pPr>
              <w:jc w:val="center"/>
              <w:rPr>
                <w:b/>
                <w:lang w:eastAsia="sv-SE"/>
              </w:rPr>
            </w:pPr>
            <w:r>
              <w:rPr>
                <w:b/>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Huawei. HiSilicon</w:t>
            </w:r>
          </w:p>
        </w:tc>
        <w:tc>
          <w:tcPr>
            <w:tcW w:w="2126" w:type="dxa"/>
            <w:shd w:val="clear" w:color="auto" w:fill="auto"/>
          </w:tcPr>
          <w:p>
            <w:pPr>
              <w:jc w:val="left"/>
              <w:rPr>
                <w:rFonts w:eastAsia="等线"/>
              </w:rPr>
            </w:pPr>
            <w:r>
              <w:rPr>
                <w:rFonts w:eastAsia="等线"/>
              </w:rPr>
              <w:t>Disagree</w:t>
            </w:r>
          </w:p>
        </w:tc>
        <w:tc>
          <w:tcPr>
            <w:tcW w:w="6095" w:type="dxa"/>
            <w:shd w:val="clear" w:color="auto" w:fill="auto"/>
          </w:tcPr>
          <w:p>
            <w:pPr>
              <w:overflowPunct/>
              <w:autoSpaceDE/>
              <w:autoSpaceDN/>
              <w:adjustRightInd/>
              <w:spacing w:after="180"/>
              <w:jc w:val="left"/>
              <w:textAlignment w:val="auto"/>
              <w:rPr>
                <w:rFonts w:eastAsia="PMingLiU"/>
                <w:lang w:eastAsia="zh-TW"/>
              </w:rPr>
            </w:pPr>
            <w:r>
              <w:rPr>
                <w:rFonts w:eastAsia="PMingLiU"/>
                <w:lang w:eastAsia="zh-TW"/>
              </w:rPr>
              <w:t>The typical traffic pattern is one UL transmission followed optionally by a DL transmission and then the connection release. Triggering RACH only for updating the TA (which is only for UL) will generate unnecessary transmission and waste of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MediaTek</w:t>
            </w:r>
          </w:p>
        </w:tc>
        <w:tc>
          <w:tcPr>
            <w:tcW w:w="2126" w:type="dxa"/>
            <w:shd w:val="clear" w:color="auto" w:fill="auto"/>
          </w:tcPr>
          <w:p>
            <w:pPr>
              <w:jc w:val="left"/>
              <w:rPr>
                <w:rFonts w:eastAsia="等线"/>
              </w:rPr>
            </w:pPr>
            <w:r>
              <w:rPr>
                <w:rFonts w:eastAsia="等线"/>
              </w:rPr>
              <w:t>Disagree</w:t>
            </w:r>
          </w:p>
        </w:tc>
        <w:tc>
          <w:tcPr>
            <w:tcW w:w="6095" w:type="dxa"/>
            <w:shd w:val="clear" w:color="auto" w:fill="auto"/>
          </w:tcPr>
          <w:p>
            <w:pPr>
              <w:overflowPunct/>
              <w:autoSpaceDE/>
              <w:autoSpaceDN/>
              <w:adjustRightInd/>
              <w:spacing w:after="180"/>
              <w:jc w:val="left"/>
              <w:textAlignment w:val="auto"/>
              <w:rPr>
                <w:rFonts w:eastAsia="等线"/>
              </w:rPr>
            </w:pPr>
            <w:r>
              <w:rPr>
                <w:rFonts w:eastAsia="等线"/>
              </w:rPr>
              <w:t>As discussed before in RAN2 117bis-e and pointed out by us,  this is not at all necessary and only has the chance to increase complexity in the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Malgun Gothic"/>
                <w:lang w:eastAsia="ko-KR"/>
              </w:rPr>
            </w:pPr>
            <w:r>
              <w:rPr>
                <w:rFonts w:eastAsia="Malgun Gothic"/>
                <w:lang w:eastAsia="ko-KR"/>
              </w:rPr>
              <w:t>Qualcomm</w:t>
            </w:r>
          </w:p>
        </w:tc>
        <w:tc>
          <w:tcPr>
            <w:tcW w:w="2126" w:type="dxa"/>
            <w:shd w:val="clear" w:color="auto" w:fill="auto"/>
          </w:tcPr>
          <w:p>
            <w:pPr>
              <w:jc w:val="left"/>
              <w:rPr>
                <w:rFonts w:eastAsia="Malgun Gothic"/>
                <w:lang w:eastAsia="ko-KR"/>
              </w:rPr>
            </w:pPr>
            <w:r>
              <w:rPr>
                <w:rFonts w:eastAsia="Malgun Gothic"/>
                <w:lang w:eastAsia="ko-KR"/>
              </w:rPr>
              <w:t>Agree</w:t>
            </w:r>
          </w:p>
        </w:tc>
        <w:tc>
          <w:tcPr>
            <w:tcW w:w="6095" w:type="dxa"/>
            <w:shd w:val="clear" w:color="auto" w:fill="auto"/>
          </w:tcPr>
          <w:p>
            <w:pPr>
              <w:rPr>
                <w:rFonts w:eastAsia="等线"/>
              </w:rPr>
            </w:pPr>
            <w:r>
              <w:rPr>
                <w:rFonts w:eastAsia="等线"/>
              </w:rPr>
              <w:t>The issue of not being able to update the TA in time is more severe in IoT NTN.</w:t>
            </w:r>
          </w:p>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L</w:t>
            </w:r>
            <w:r>
              <w:rPr>
                <w:rFonts w:eastAsia="等线"/>
              </w:rPr>
              <w:t>enovo</w:t>
            </w:r>
          </w:p>
        </w:tc>
        <w:tc>
          <w:tcPr>
            <w:tcW w:w="2126" w:type="dxa"/>
            <w:shd w:val="clear" w:color="auto" w:fill="auto"/>
          </w:tcPr>
          <w:p>
            <w:pPr>
              <w:jc w:val="left"/>
              <w:rPr>
                <w:rFonts w:eastAsia="等线"/>
              </w:rPr>
            </w:pPr>
            <w:r>
              <w:rPr>
                <w:rFonts w:eastAsia="等线"/>
              </w:rPr>
              <w:t>Disagree, but</w:t>
            </w:r>
          </w:p>
        </w:tc>
        <w:tc>
          <w:tcPr>
            <w:tcW w:w="6095" w:type="dxa"/>
            <w:shd w:val="clear" w:color="auto" w:fill="auto"/>
          </w:tcPr>
          <w:p>
            <w:pPr>
              <w:overflowPunct/>
              <w:autoSpaceDE/>
              <w:autoSpaceDN/>
              <w:adjustRightInd/>
              <w:spacing w:after="180"/>
              <w:jc w:val="left"/>
              <w:textAlignment w:val="auto"/>
              <w:rPr>
                <w:rFonts w:eastAsia="等线"/>
              </w:rPr>
            </w:pPr>
            <w:r>
              <w:rPr>
                <w:rFonts w:hint="eastAsia" w:eastAsia="等线"/>
              </w:rPr>
              <w:t>F</w:t>
            </w:r>
            <w:r>
              <w:rPr>
                <w:rFonts w:eastAsia="等线"/>
              </w:rPr>
              <w:t>or now we see no essential reason of reporting TA in RA, and UE may wait until it enters CONNECTED mode to report TA. If any essential reason of reporting TA in RA is identified, we may consider triggering SR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hint="default" w:eastAsia="等线"/>
                <w:lang w:val="en-US" w:eastAsia="zh-CN"/>
              </w:rPr>
            </w:pPr>
            <w:r>
              <w:rPr>
                <w:rFonts w:hint="eastAsia" w:eastAsia="等线"/>
                <w:lang w:val="en-US" w:eastAsia="zh-CN"/>
              </w:rPr>
              <w:t>Transsion Holdings</w:t>
            </w:r>
          </w:p>
        </w:tc>
        <w:tc>
          <w:tcPr>
            <w:tcW w:w="2126" w:type="dxa"/>
            <w:shd w:val="clear" w:color="auto" w:fill="auto"/>
          </w:tcPr>
          <w:p>
            <w:pPr>
              <w:jc w:val="left"/>
              <w:rPr>
                <w:rFonts w:hint="default" w:eastAsia="等线"/>
                <w:lang w:val="en-US" w:eastAsia="zh-CN"/>
              </w:rPr>
            </w:pPr>
            <w:r>
              <w:rPr>
                <w:rFonts w:hint="eastAsia" w:eastAsia="等线"/>
                <w:lang w:val="en-US" w:eastAsia="zh-CN"/>
              </w:rPr>
              <w:t>Agree</w:t>
            </w:r>
          </w:p>
        </w:tc>
        <w:tc>
          <w:tcPr>
            <w:tcW w:w="6095" w:type="dxa"/>
            <w:shd w:val="clear" w:color="auto" w:fill="auto"/>
          </w:tcPr>
          <w:p>
            <w:pPr>
              <w:overflowPunct/>
              <w:autoSpaceDE/>
              <w:autoSpaceDN/>
              <w:adjustRightInd/>
              <w:spacing w:after="180"/>
              <w:jc w:val="left"/>
              <w:textAlignment w:val="auto"/>
              <w:rPr>
                <w:rFonts w:hint="default" w:eastAsia="等线"/>
                <w:lang w:val="en-US" w:eastAsia="zh-CN"/>
              </w:rPr>
            </w:pPr>
            <w:r>
              <w:rPr>
                <w:rFonts w:hint="eastAsia" w:eastAsia="等线"/>
                <w:lang w:val="en-US" w:eastAsia="zh-CN"/>
              </w:rPr>
              <w:t>TA report can be useful for updating the koffset, we think it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p>
        </w:tc>
        <w:tc>
          <w:tcPr>
            <w:tcW w:w="2126" w:type="dxa"/>
            <w:shd w:val="clear" w:color="auto" w:fill="auto"/>
          </w:tcPr>
          <w:p>
            <w:pPr>
              <w:jc w:val="left"/>
              <w:rPr>
                <w:rFonts w:eastAsia="等线"/>
              </w:rPr>
            </w:pPr>
          </w:p>
        </w:tc>
        <w:tc>
          <w:tcPr>
            <w:tcW w:w="6095" w:type="dxa"/>
            <w:shd w:val="clear" w:color="auto" w:fill="auto"/>
          </w:tcPr>
          <w:p>
            <w:pPr>
              <w:overflowPunct/>
              <w:autoSpaceDE/>
              <w:autoSpaceDN/>
              <w:adjustRightInd/>
              <w:spacing w:after="180"/>
              <w:jc w:val="left"/>
              <w:textAlignment w:val="auto"/>
            </w:pPr>
          </w:p>
        </w:tc>
      </w:tr>
    </w:tbl>
    <w:p/>
    <w:p>
      <w:pPr>
        <w:spacing w:before="156" w:beforeLines="50" w:after="156" w:afterLines="50"/>
        <w:rPr>
          <w:b/>
        </w:rPr>
      </w:pPr>
      <w:r>
        <w:rPr>
          <w:b/>
        </w:rPr>
        <w:t xml:space="preserve">Question 5: Do companies agree that in IoT NTN, whether TA report can trigger SR is up to network’s configuration? </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126"/>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E7E6E6"/>
          </w:tcPr>
          <w:p>
            <w:pPr>
              <w:jc w:val="center"/>
              <w:rPr>
                <w:b/>
                <w:lang w:eastAsia="sv-SE"/>
              </w:rPr>
            </w:pPr>
            <w:r>
              <w:rPr>
                <w:b/>
                <w:lang w:eastAsia="sv-SE"/>
              </w:rPr>
              <w:t>Company</w:t>
            </w:r>
          </w:p>
        </w:tc>
        <w:tc>
          <w:tcPr>
            <w:tcW w:w="2126" w:type="dxa"/>
            <w:shd w:val="clear" w:color="auto" w:fill="E7E6E6"/>
          </w:tcPr>
          <w:p>
            <w:pPr>
              <w:jc w:val="center"/>
              <w:rPr>
                <w:b/>
              </w:rPr>
            </w:pPr>
            <w:r>
              <w:rPr>
                <w:b/>
              </w:rPr>
              <w:t>Agree/Disagree</w:t>
            </w:r>
          </w:p>
        </w:tc>
        <w:tc>
          <w:tcPr>
            <w:tcW w:w="6095" w:type="dxa"/>
            <w:shd w:val="clear" w:color="auto" w:fill="E7E6E6"/>
          </w:tcPr>
          <w:p>
            <w:pPr>
              <w:jc w:val="center"/>
              <w:rPr>
                <w:b/>
                <w:lang w:eastAsia="sv-SE"/>
              </w:rPr>
            </w:pPr>
            <w:r>
              <w:rPr>
                <w:b/>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Huawei. HiSilicon</w:t>
            </w:r>
          </w:p>
        </w:tc>
        <w:tc>
          <w:tcPr>
            <w:tcW w:w="2126" w:type="dxa"/>
            <w:shd w:val="clear" w:color="auto" w:fill="auto"/>
          </w:tcPr>
          <w:p>
            <w:pPr>
              <w:jc w:val="left"/>
              <w:rPr>
                <w:rFonts w:eastAsia="等线"/>
              </w:rPr>
            </w:pPr>
            <w:r>
              <w:rPr>
                <w:rFonts w:eastAsia="等线"/>
              </w:rPr>
              <w:t>Disagree</w:t>
            </w:r>
          </w:p>
        </w:tc>
        <w:tc>
          <w:tcPr>
            <w:tcW w:w="6095" w:type="dxa"/>
            <w:shd w:val="clear" w:color="auto" w:fill="auto"/>
          </w:tcPr>
          <w:p>
            <w:pPr>
              <w:overflowPunct/>
              <w:autoSpaceDE/>
              <w:autoSpaceDN/>
              <w:adjustRightInd/>
              <w:spacing w:after="180"/>
              <w:jc w:val="left"/>
              <w:textAlignment w:val="auto"/>
              <w:rPr>
                <w:rFonts w:eastAsia="PMingLiU"/>
                <w:lang w:eastAsia="zh-TW"/>
              </w:rPr>
            </w:pPr>
            <w:r>
              <w:rPr>
                <w:rFonts w:eastAsia="PMingLiU"/>
                <w:lang w:eastAsia="zh-TW"/>
              </w:rPr>
              <w:t>see Answer to Q4. In addition having a feature optional both at the NW and at the UE (see Q6) is a clear show that the feature is not essential and should not be considered in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MediaTek</w:t>
            </w:r>
          </w:p>
        </w:tc>
        <w:tc>
          <w:tcPr>
            <w:tcW w:w="2126" w:type="dxa"/>
            <w:shd w:val="clear" w:color="auto" w:fill="auto"/>
          </w:tcPr>
          <w:p>
            <w:pPr>
              <w:jc w:val="left"/>
              <w:rPr>
                <w:rFonts w:eastAsia="等线"/>
              </w:rPr>
            </w:pPr>
            <w:r>
              <w:rPr>
                <w:rFonts w:eastAsia="等线"/>
              </w:rPr>
              <w:t>Disagree</w:t>
            </w:r>
          </w:p>
        </w:tc>
        <w:tc>
          <w:tcPr>
            <w:tcW w:w="6095" w:type="dxa"/>
            <w:shd w:val="clear" w:color="auto" w:fill="auto"/>
          </w:tcPr>
          <w:p>
            <w:pPr>
              <w:overflowPunct/>
              <w:autoSpaceDE/>
              <w:autoSpaceDN/>
              <w:adjustRightInd/>
              <w:spacing w:after="180"/>
              <w:jc w:val="left"/>
              <w:textAlignment w:val="auto"/>
              <w:rPr>
                <w:rFonts w:eastAsia="等线"/>
              </w:rPr>
            </w:pPr>
            <w:r>
              <w:rPr>
                <w:rFonts w:eastAsia="等线"/>
              </w:rPr>
              <w:t>TA report-based SR-trigger is not needed. Please see our response to Question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Malgun Gothic"/>
                <w:lang w:eastAsia="ko-KR"/>
              </w:rPr>
            </w:pPr>
            <w:r>
              <w:rPr>
                <w:rFonts w:eastAsia="Malgun Gothic"/>
                <w:lang w:eastAsia="ko-KR"/>
              </w:rPr>
              <w:t>Qualcomm</w:t>
            </w:r>
          </w:p>
        </w:tc>
        <w:tc>
          <w:tcPr>
            <w:tcW w:w="2126" w:type="dxa"/>
            <w:shd w:val="clear" w:color="auto" w:fill="auto"/>
          </w:tcPr>
          <w:p>
            <w:pPr>
              <w:jc w:val="left"/>
              <w:rPr>
                <w:rFonts w:eastAsia="Malgun Gothic"/>
                <w:lang w:eastAsia="ko-KR"/>
              </w:rPr>
            </w:pPr>
            <w:r>
              <w:rPr>
                <w:rFonts w:eastAsia="Malgun Gothic"/>
                <w:lang w:eastAsia="ko-KR"/>
              </w:rPr>
              <w:t>Agree</w:t>
            </w:r>
          </w:p>
        </w:tc>
        <w:tc>
          <w:tcPr>
            <w:tcW w:w="6095" w:type="dxa"/>
            <w:shd w:val="clear" w:color="auto" w:fill="auto"/>
          </w:tcPr>
          <w:p>
            <w:pPr>
              <w:rPr>
                <w:rFonts w:eastAsia="等线"/>
              </w:rPr>
            </w:pPr>
            <w:r>
              <w:rPr>
                <w:rFonts w:eastAsia="等线"/>
              </w:rPr>
              <w:t>Ok to follow NR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L</w:t>
            </w:r>
            <w:r>
              <w:rPr>
                <w:rFonts w:eastAsia="等线"/>
              </w:rPr>
              <w:t>enovo</w:t>
            </w:r>
          </w:p>
        </w:tc>
        <w:tc>
          <w:tcPr>
            <w:tcW w:w="2126" w:type="dxa"/>
            <w:shd w:val="clear" w:color="auto" w:fill="auto"/>
          </w:tcPr>
          <w:p>
            <w:pPr>
              <w:jc w:val="left"/>
              <w:rPr>
                <w:rFonts w:eastAsia="等线"/>
              </w:rPr>
            </w:pPr>
            <w:r>
              <w:rPr>
                <w:rFonts w:eastAsia="等线"/>
              </w:rPr>
              <w:t>Disagree, but</w:t>
            </w:r>
          </w:p>
        </w:tc>
        <w:tc>
          <w:tcPr>
            <w:tcW w:w="6095" w:type="dxa"/>
            <w:shd w:val="clear" w:color="auto" w:fill="auto"/>
          </w:tcPr>
          <w:p>
            <w:pPr>
              <w:overflowPunct/>
              <w:autoSpaceDE/>
              <w:autoSpaceDN/>
              <w:adjustRightInd/>
              <w:spacing w:after="180"/>
              <w:jc w:val="left"/>
              <w:textAlignment w:val="auto"/>
              <w:rPr>
                <w:rFonts w:eastAsia="等线"/>
              </w:rPr>
            </w:pPr>
            <w:r>
              <w:rPr>
                <w:rFonts w:hint="eastAsia" w:eastAsia="等线"/>
              </w:rPr>
              <w:t>A</w:t>
            </w:r>
            <w:r>
              <w:rPr>
                <w:rFonts w:eastAsia="等线"/>
              </w:rPr>
              <w:t>s in Q4, we can accept NW configuration based on essential needs of reporting Ta in 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vAlign w:val="top"/>
          </w:tcPr>
          <w:p>
            <w:pPr>
              <w:rPr>
                <w:rFonts w:eastAsia="等线"/>
              </w:rPr>
            </w:pPr>
            <w:r>
              <w:rPr>
                <w:rFonts w:hint="eastAsia" w:eastAsia="等线"/>
                <w:lang w:val="en-US" w:eastAsia="zh-CN"/>
              </w:rPr>
              <w:t>Transsion Holdings</w:t>
            </w:r>
          </w:p>
        </w:tc>
        <w:tc>
          <w:tcPr>
            <w:tcW w:w="2126" w:type="dxa"/>
            <w:shd w:val="clear" w:color="auto" w:fill="auto"/>
            <w:vAlign w:val="top"/>
          </w:tcPr>
          <w:p>
            <w:pPr>
              <w:jc w:val="left"/>
              <w:rPr>
                <w:rFonts w:eastAsia="等线"/>
              </w:rPr>
            </w:pPr>
            <w:r>
              <w:rPr>
                <w:rFonts w:hint="eastAsia" w:eastAsia="等线"/>
                <w:lang w:val="en-US" w:eastAsia="zh-CN"/>
              </w:rPr>
              <w:t>Agree</w:t>
            </w:r>
          </w:p>
        </w:tc>
        <w:tc>
          <w:tcPr>
            <w:tcW w:w="6095"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p>
        </w:tc>
        <w:tc>
          <w:tcPr>
            <w:tcW w:w="2126" w:type="dxa"/>
            <w:shd w:val="clear" w:color="auto" w:fill="auto"/>
          </w:tcPr>
          <w:p>
            <w:pPr>
              <w:jc w:val="left"/>
              <w:rPr>
                <w:rFonts w:eastAsia="等线"/>
              </w:rPr>
            </w:pPr>
          </w:p>
        </w:tc>
        <w:tc>
          <w:tcPr>
            <w:tcW w:w="6095" w:type="dxa"/>
            <w:shd w:val="clear" w:color="auto" w:fill="auto"/>
          </w:tcPr>
          <w:p>
            <w:pPr>
              <w:overflowPunct/>
              <w:autoSpaceDE/>
              <w:autoSpaceDN/>
              <w:adjustRightInd/>
              <w:spacing w:after="180"/>
              <w:jc w:val="left"/>
              <w:textAlignment w:val="auto"/>
            </w:pPr>
          </w:p>
        </w:tc>
      </w:tr>
    </w:tbl>
    <w:p>
      <w:pPr>
        <w:pStyle w:val="27"/>
        <w:rPr>
          <w:rFonts w:eastAsia="等线"/>
        </w:rPr>
      </w:pPr>
    </w:p>
    <w:p>
      <w:pPr>
        <w:spacing w:before="156" w:beforeLines="50" w:after="156" w:afterLines="50"/>
        <w:rPr>
          <w:b/>
        </w:rPr>
      </w:pPr>
      <w:r>
        <w:rPr>
          <w:b/>
        </w:rPr>
        <w:t xml:space="preserve">Question 6: Do companies agree that in IoT NTN, a UE capability is introduced for TA report triggering SR? </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126"/>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E7E6E6"/>
          </w:tcPr>
          <w:p>
            <w:pPr>
              <w:jc w:val="center"/>
              <w:rPr>
                <w:b/>
                <w:lang w:eastAsia="sv-SE"/>
              </w:rPr>
            </w:pPr>
            <w:r>
              <w:rPr>
                <w:b/>
                <w:lang w:eastAsia="sv-SE"/>
              </w:rPr>
              <w:t>Company</w:t>
            </w:r>
          </w:p>
        </w:tc>
        <w:tc>
          <w:tcPr>
            <w:tcW w:w="2126" w:type="dxa"/>
            <w:shd w:val="clear" w:color="auto" w:fill="E7E6E6"/>
          </w:tcPr>
          <w:p>
            <w:pPr>
              <w:jc w:val="center"/>
              <w:rPr>
                <w:b/>
              </w:rPr>
            </w:pPr>
            <w:r>
              <w:rPr>
                <w:b/>
              </w:rPr>
              <w:t>Agree/Disagree</w:t>
            </w:r>
          </w:p>
        </w:tc>
        <w:tc>
          <w:tcPr>
            <w:tcW w:w="6095" w:type="dxa"/>
            <w:shd w:val="clear" w:color="auto" w:fill="E7E6E6"/>
          </w:tcPr>
          <w:p>
            <w:pPr>
              <w:jc w:val="center"/>
              <w:rPr>
                <w:b/>
                <w:lang w:eastAsia="sv-SE"/>
              </w:rPr>
            </w:pPr>
            <w:r>
              <w:rPr>
                <w:b/>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Huawei. HiSilicon</w:t>
            </w:r>
          </w:p>
        </w:tc>
        <w:tc>
          <w:tcPr>
            <w:tcW w:w="2126" w:type="dxa"/>
            <w:shd w:val="clear" w:color="auto" w:fill="auto"/>
          </w:tcPr>
          <w:p>
            <w:pPr>
              <w:jc w:val="left"/>
              <w:rPr>
                <w:rFonts w:eastAsia="等线"/>
              </w:rPr>
            </w:pPr>
            <w:r>
              <w:rPr>
                <w:rFonts w:eastAsia="等线"/>
              </w:rPr>
              <w:t>Disagree</w:t>
            </w:r>
          </w:p>
        </w:tc>
        <w:tc>
          <w:tcPr>
            <w:tcW w:w="6095" w:type="dxa"/>
            <w:shd w:val="clear" w:color="auto" w:fill="auto"/>
          </w:tcPr>
          <w:p>
            <w:pPr>
              <w:overflowPunct/>
              <w:autoSpaceDE/>
              <w:autoSpaceDN/>
              <w:adjustRightInd/>
              <w:spacing w:after="180"/>
              <w:jc w:val="left"/>
              <w:textAlignment w:val="auto"/>
              <w:rPr>
                <w:rFonts w:eastAsia="PMingLiU"/>
                <w:lang w:eastAsia="zh-TW"/>
              </w:rPr>
            </w:pPr>
            <w:r>
              <w:rPr>
                <w:rFonts w:eastAsia="PMingLiU"/>
                <w:lang w:eastAsia="zh-TW"/>
              </w:rPr>
              <w:t xml:space="preserve">see Answer to Q4 and Q5.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MediaTek</w:t>
            </w:r>
          </w:p>
        </w:tc>
        <w:tc>
          <w:tcPr>
            <w:tcW w:w="2126" w:type="dxa"/>
            <w:shd w:val="clear" w:color="auto" w:fill="auto"/>
          </w:tcPr>
          <w:p>
            <w:pPr>
              <w:jc w:val="left"/>
              <w:rPr>
                <w:rFonts w:eastAsia="等线"/>
              </w:rPr>
            </w:pPr>
            <w:r>
              <w:rPr>
                <w:rFonts w:eastAsia="等线"/>
              </w:rPr>
              <w:t>Disagree</w:t>
            </w:r>
          </w:p>
        </w:tc>
        <w:tc>
          <w:tcPr>
            <w:tcW w:w="6095" w:type="dxa"/>
            <w:shd w:val="clear" w:color="auto" w:fill="auto"/>
          </w:tcPr>
          <w:p>
            <w:pPr>
              <w:overflowPunct/>
              <w:autoSpaceDE/>
              <w:autoSpaceDN/>
              <w:adjustRightInd/>
              <w:spacing w:after="180"/>
              <w:jc w:val="left"/>
              <w:textAlignment w:val="auto"/>
              <w:rPr>
                <w:rFonts w:eastAsia="等线"/>
              </w:rPr>
            </w:pPr>
            <w:r>
              <w:rPr>
                <w:rFonts w:eastAsia="等线"/>
              </w:rPr>
              <w:t>The feature itself is not needed. See our responses to Q4 and Q5.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Malgun Gothic"/>
                <w:lang w:eastAsia="ko-KR"/>
              </w:rPr>
            </w:pPr>
            <w:r>
              <w:rPr>
                <w:rFonts w:eastAsia="Malgun Gothic"/>
                <w:lang w:eastAsia="ko-KR"/>
              </w:rPr>
              <w:t>Qualcomm</w:t>
            </w:r>
          </w:p>
        </w:tc>
        <w:tc>
          <w:tcPr>
            <w:tcW w:w="2126" w:type="dxa"/>
            <w:shd w:val="clear" w:color="auto" w:fill="auto"/>
          </w:tcPr>
          <w:p>
            <w:pPr>
              <w:jc w:val="left"/>
              <w:rPr>
                <w:rFonts w:eastAsia="Malgun Gothic"/>
                <w:lang w:eastAsia="ko-KR"/>
              </w:rPr>
            </w:pPr>
            <w:r>
              <w:rPr>
                <w:rFonts w:eastAsia="Malgun Gothic"/>
                <w:lang w:eastAsia="ko-KR"/>
              </w:rPr>
              <w:t>Disagree</w:t>
            </w:r>
          </w:p>
        </w:tc>
        <w:tc>
          <w:tcPr>
            <w:tcW w:w="6095" w:type="dxa"/>
            <w:shd w:val="clear" w:color="auto" w:fill="auto"/>
          </w:tcPr>
          <w:p>
            <w:pPr>
              <w:rPr>
                <w:rFonts w:eastAsia="等线"/>
              </w:rPr>
            </w:pPr>
            <w:r>
              <w:rPr>
                <w:rFonts w:eastAsia="等线"/>
              </w:rPr>
              <w:t>A single capability for TA report in connected mode should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Lenovo</w:t>
            </w:r>
          </w:p>
        </w:tc>
        <w:tc>
          <w:tcPr>
            <w:tcW w:w="2126" w:type="dxa"/>
            <w:shd w:val="clear" w:color="auto" w:fill="auto"/>
          </w:tcPr>
          <w:p>
            <w:pPr>
              <w:jc w:val="left"/>
              <w:rPr>
                <w:rFonts w:eastAsia="等线"/>
              </w:rPr>
            </w:pPr>
            <w:r>
              <w:rPr>
                <w:rFonts w:hint="eastAsia" w:eastAsia="等线"/>
              </w:rPr>
              <w:t>D</w:t>
            </w:r>
            <w:r>
              <w:rPr>
                <w:rFonts w:eastAsia="等线"/>
              </w:rPr>
              <w:t>isagree</w:t>
            </w:r>
          </w:p>
        </w:tc>
        <w:tc>
          <w:tcPr>
            <w:tcW w:w="6095" w:type="dxa"/>
            <w:shd w:val="clear" w:color="auto" w:fill="auto"/>
          </w:tcPr>
          <w:p>
            <w:pPr>
              <w:overflowPunct/>
              <w:autoSpaceDE/>
              <w:autoSpaceDN/>
              <w:adjustRightInd/>
              <w:spacing w:after="180"/>
              <w:jc w:val="left"/>
              <w:textAlignment w:val="auto"/>
              <w:rPr>
                <w:rFonts w:eastAsia="等线"/>
              </w:rPr>
            </w:pPr>
            <w:r>
              <w:rPr>
                <w:rFonts w:hint="eastAsia" w:eastAsia="等线"/>
              </w:rPr>
              <w:t>S</w:t>
            </w:r>
            <w:r>
              <w:rPr>
                <w:rFonts w:eastAsia="等线"/>
              </w:rPr>
              <w:t>ame as Q4 and Q5.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vAlign w:val="top"/>
          </w:tcPr>
          <w:p>
            <w:pPr>
              <w:rPr>
                <w:rFonts w:hint="default" w:eastAsia="等线"/>
                <w:lang w:val="en-US" w:eastAsia="zh-CN"/>
              </w:rPr>
            </w:pPr>
            <w:r>
              <w:rPr>
                <w:rFonts w:hint="eastAsia" w:eastAsia="等线"/>
                <w:lang w:val="en-US" w:eastAsia="zh-CN"/>
              </w:rPr>
              <w:t>Transsion Holdings</w:t>
            </w:r>
          </w:p>
        </w:tc>
        <w:tc>
          <w:tcPr>
            <w:tcW w:w="2126" w:type="dxa"/>
            <w:shd w:val="clear" w:color="auto" w:fill="auto"/>
            <w:vAlign w:val="top"/>
          </w:tcPr>
          <w:p>
            <w:pPr>
              <w:jc w:val="left"/>
              <w:rPr>
                <w:rFonts w:eastAsia="等线"/>
              </w:rPr>
            </w:pPr>
            <w:r>
              <w:rPr>
                <w:rFonts w:eastAsia="Malgun Gothic"/>
                <w:lang w:eastAsia="ko-KR"/>
              </w:rPr>
              <w:t>Disagree</w:t>
            </w:r>
          </w:p>
        </w:tc>
        <w:tc>
          <w:tcPr>
            <w:tcW w:w="6095" w:type="dxa"/>
            <w:shd w:val="clear" w:color="auto" w:fill="auto"/>
          </w:tcPr>
          <w:p>
            <w:pPr>
              <w:overflowPunct/>
              <w:autoSpaceDE/>
              <w:autoSpaceDN/>
              <w:adjustRightInd/>
              <w:spacing w:after="180"/>
              <w:jc w:val="left"/>
              <w:textAlignment w:val="auto"/>
              <w:rPr>
                <w:rFonts w:hint="default" w:eastAsia="等线"/>
                <w:lang w:val="en-US" w:eastAsia="zh-CN"/>
              </w:rPr>
            </w:pPr>
            <w:r>
              <w:rPr>
                <w:rFonts w:eastAsia="等线"/>
              </w:rPr>
              <w:t xml:space="preserve">Support views of </w:t>
            </w:r>
            <w:r>
              <w:rPr>
                <w:rFonts w:eastAsia="Malgun Gothic"/>
                <w:lang w:eastAsia="ko-KR"/>
              </w:rPr>
              <w:t>Qualcomm</w:t>
            </w:r>
            <w:r>
              <w:rPr>
                <w:rFonts w:eastAsia="等线"/>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p>
        </w:tc>
        <w:tc>
          <w:tcPr>
            <w:tcW w:w="2126" w:type="dxa"/>
            <w:shd w:val="clear" w:color="auto" w:fill="auto"/>
          </w:tcPr>
          <w:p>
            <w:pPr>
              <w:jc w:val="left"/>
              <w:rPr>
                <w:rFonts w:eastAsia="等线"/>
              </w:rPr>
            </w:pPr>
          </w:p>
        </w:tc>
        <w:tc>
          <w:tcPr>
            <w:tcW w:w="6095" w:type="dxa"/>
            <w:shd w:val="clear" w:color="auto" w:fill="auto"/>
          </w:tcPr>
          <w:p>
            <w:pPr>
              <w:overflowPunct/>
              <w:autoSpaceDE/>
              <w:autoSpaceDN/>
              <w:adjustRightInd/>
              <w:spacing w:after="180"/>
              <w:jc w:val="left"/>
              <w:textAlignment w:val="auto"/>
            </w:pPr>
          </w:p>
        </w:tc>
      </w:tr>
    </w:tbl>
    <w:p>
      <w:pPr>
        <w:pStyle w:val="27"/>
        <w:rPr>
          <w:rFonts w:eastAsia="等线"/>
        </w:rPr>
      </w:pPr>
    </w:p>
    <w:p>
      <w:pPr>
        <w:pStyle w:val="27"/>
        <w:rPr>
          <w:rFonts w:eastAsia="等线"/>
          <w:i/>
          <w:u w:val="single"/>
        </w:rPr>
      </w:pPr>
      <w:r>
        <w:rPr>
          <w:rFonts w:eastAsia="等线"/>
          <w:i/>
          <w:u w:val="single"/>
        </w:rPr>
        <w:t>Whether configured uplink grant can be used to transmit TA report?</w:t>
      </w:r>
    </w:p>
    <w:p>
      <w:r>
        <w:t>In the current TS 36.321, following is specified in 5.10.2 for NB-IoT.</w:t>
      </w:r>
    </w:p>
    <w:tbl>
      <w:tblPr>
        <w:tblStyle w:val="45"/>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r>
              <w:t xml:space="preserve">For NB-IoT UEs, a configured uplink grant shall be used only for BSR or SPS confirmation transmission, and </w:t>
            </w:r>
            <w:r>
              <w:rPr>
                <w:i/>
              </w:rPr>
              <w:t>skipUplinkTxSPS</w:t>
            </w:r>
            <w:r>
              <w:t xml:space="preserve"> is implicitly configured.</w:t>
            </w:r>
          </w:p>
        </w:tc>
      </w:tr>
    </w:tbl>
    <w:p>
      <w:r>
        <w:t xml:space="preserve">In [1], it is stated that TA report is also important for UL transmission, </w:t>
      </w:r>
      <w:r>
        <w:rPr>
          <w:rFonts w:hint="eastAsia"/>
        </w:rPr>
        <w:t>and</w:t>
      </w:r>
      <w:r>
        <w:t xml:space="preserve"> proposed to allow a configured uplink grant to be used for TA report as well.</w:t>
      </w:r>
    </w:p>
    <w:p/>
    <w:p>
      <w:pPr>
        <w:spacing w:before="156" w:beforeLines="50" w:after="156" w:afterLines="50"/>
        <w:rPr>
          <w:b/>
        </w:rPr>
      </w:pPr>
      <w:r>
        <w:rPr>
          <w:b/>
        </w:rPr>
        <w:t xml:space="preserve">Question 7: Do companies agree that for NB-IoT over NTN, a configured uplink grant shall also be used for TA report? </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126"/>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E7E6E6"/>
          </w:tcPr>
          <w:p>
            <w:pPr>
              <w:jc w:val="center"/>
              <w:rPr>
                <w:b/>
                <w:lang w:eastAsia="sv-SE"/>
              </w:rPr>
            </w:pPr>
            <w:r>
              <w:rPr>
                <w:b/>
                <w:lang w:eastAsia="sv-SE"/>
              </w:rPr>
              <w:t>Company</w:t>
            </w:r>
          </w:p>
        </w:tc>
        <w:tc>
          <w:tcPr>
            <w:tcW w:w="2126" w:type="dxa"/>
            <w:shd w:val="clear" w:color="auto" w:fill="E7E6E6"/>
          </w:tcPr>
          <w:p>
            <w:pPr>
              <w:jc w:val="center"/>
              <w:rPr>
                <w:b/>
              </w:rPr>
            </w:pPr>
            <w:r>
              <w:rPr>
                <w:b/>
              </w:rPr>
              <w:t>Agree/Disagree</w:t>
            </w:r>
          </w:p>
        </w:tc>
        <w:tc>
          <w:tcPr>
            <w:tcW w:w="6095" w:type="dxa"/>
            <w:shd w:val="clear" w:color="auto" w:fill="E7E6E6"/>
          </w:tcPr>
          <w:p>
            <w:pPr>
              <w:jc w:val="center"/>
              <w:rPr>
                <w:b/>
                <w:lang w:eastAsia="sv-SE"/>
              </w:rPr>
            </w:pPr>
            <w:r>
              <w:rPr>
                <w:b/>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Huawei. HiSilicon</w:t>
            </w:r>
          </w:p>
        </w:tc>
        <w:tc>
          <w:tcPr>
            <w:tcW w:w="2126" w:type="dxa"/>
            <w:shd w:val="clear" w:color="auto" w:fill="auto"/>
          </w:tcPr>
          <w:p>
            <w:pPr>
              <w:jc w:val="left"/>
              <w:rPr>
                <w:rFonts w:eastAsia="等线"/>
              </w:rPr>
            </w:pPr>
            <w:r>
              <w:rPr>
                <w:rFonts w:eastAsia="等线"/>
              </w:rPr>
              <w:t>Disagree</w:t>
            </w:r>
          </w:p>
        </w:tc>
        <w:tc>
          <w:tcPr>
            <w:tcW w:w="6095" w:type="dxa"/>
            <w:shd w:val="clear" w:color="auto" w:fill="auto"/>
          </w:tcPr>
          <w:p>
            <w:pPr>
              <w:overflowPunct/>
              <w:autoSpaceDE/>
              <w:autoSpaceDN/>
              <w:adjustRightInd/>
              <w:spacing w:after="180"/>
              <w:jc w:val="left"/>
              <w:textAlignment w:val="auto"/>
              <w:rPr>
                <w:rFonts w:eastAsia="PMingLiU"/>
                <w:lang w:eastAsia="zh-TW"/>
              </w:rPr>
            </w:pPr>
            <w:r>
              <w:rPr>
                <w:rFonts w:eastAsia="PMingLiU"/>
                <w:lang w:eastAsia="zh-TW"/>
              </w:rPr>
              <w:t>see Answer to Q4. In addition this would not be a small change and will impact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MediaTek</w:t>
            </w:r>
          </w:p>
        </w:tc>
        <w:tc>
          <w:tcPr>
            <w:tcW w:w="2126" w:type="dxa"/>
            <w:shd w:val="clear" w:color="auto" w:fill="auto"/>
          </w:tcPr>
          <w:p>
            <w:pPr>
              <w:jc w:val="left"/>
              <w:rPr>
                <w:rFonts w:eastAsia="等线"/>
              </w:rPr>
            </w:pPr>
            <w:r>
              <w:rPr>
                <w:rFonts w:eastAsia="等线"/>
              </w:rPr>
              <w:t>Disagree</w:t>
            </w:r>
          </w:p>
        </w:tc>
        <w:tc>
          <w:tcPr>
            <w:tcW w:w="6095" w:type="dxa"/>
            <w:shd w:val="clear" w:color="auto" w:fill="auto"/>
          </w:tcPr>
          <w:p>
            <w:pPr>
              <w:overflowPunct/>
              <w:autoSpaceDE/>
              <w:autoSpaceDN/>
              <w:adjustRightInd/>
              <w:spacing w:after="180"/>
              <w:jc w:val="left"/>
              <w:textAlignment w:val="auto"/>
              <w:rPr>
                <w:rFonts w:eastAsia="等线"/>
              </w:rPr>
            </w:pPr>
            <w:r>
              <w:rPr>
                <w:rFonts w:eastAsia="等线"/>
              </w:rPr>
              <w:t>Agree with the responses of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Malgun Gothic"/>
                <w:lang w:eastAsia="ko-KR"/>
              </w:rPr>
            </w:pPr>
            <w:r>
              <w:rPr>
                <w:rFonts w:eastAsia="Malgun Gothic"/>
                <w:lang w:eastAsia="ko-KR"/>
              </w:rPr>
              <w:t>Qualcomm</w:t>
            </w:r>
          </w:p>
        </w:tc>
        <w:tc>
          <w:tcPr>
            <w:tcW w:w="2126" w:type="dxa"/>
            <w:shd w:val="clear" w:color="auto" w:fill="auto"/>
          </w:tcPr>
          <w:p>
            <w:pPr>
              <w:jc w:val="left"/>
              <w:rPr>
                <w:rFonts w:eastAsia="Malgun Gothic"/>
                <w:lang w:eastAsia="ko-KR"/>
              </w:rPr>
            </w:pPr>
            <w:r>
              <w:rPr>
                <w:rFonts w:eastAsia="Malgun Gothic"/>
                <w:lang w:eastAsia="ko-KR"/>
              </w:rPr>
              <w:t>Agree</w:t>
            </w:r>
          </w:p>
        </w:tc>
        <w:tc>
          <w:tcPr>
            <w:tcW w:w="6095" w:type="dxa"/>
            <w:shd w:val="clear" w:color="auto" w:fill="auto"/>
          </w:tcPr>
          <w:p>
            <w:pPr>
              <w:rPr>
                <w:rFonts w:eastAsia="等线"/>
              </w:rPr>
            </w:pPr>
            <w:r>
              <w:rPr>
                <w:rFonts w:eastAsia="等线"/>
              </w:rPr>
              <w:t>It is better to use available resource and update the network with current TA in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L</w:t>
            </w:r>
            <w:r>
              <w:rPr>
                <w:rFonts w:eastAsia="等线"/>
              </w:rPr>
              <w:t>enovo</w:t>
            </w:r>
          </w:p>
        </w:tc>
        <w:tc>
          <w:tcPr>
            <w:tcW w:w="2126" w:type="dxa"/>
            <w:shd w:val="clear" w:color="auto" w:fill="auto"/>
          </w:tcPr>
          <w:p>
            <w:pPr>
              <w:jc w:val="left"/>
              <w:rPr>
                <w:rFonts w:eastAsia="等线"/>
              </w:rPr>
            </w:pPr>
            <w:r>
              <w:rPr>
                <w:rFonts w:hint="eastAsia" w:eastAsia="等线"/>
              </w:rPr>
              <w:t>D</w:t>
            </w:r>
            <w:r>
              <w:rPr>
                <w:rFonts w:eastAsia="等线"/>
              </w:rPr>
              <w:t>isagree, but</w:t>
            </w:r>
          </w:p>
        </w:tc>
        <w:tc>
          <w:tcPr>
            <w:tcW w:w="6095" w:type="dxa"/>
            <w:shd w:val="clear" w:color="auto" w:fill="auto"/>
          </w:tcPr>
          <w:p>
            <w:pPr>
              <w:overflowPunct/>
              <w:autoSpaceDE/>
              <w:autoSpaceDN/>
              <w:adjustRightInd/>
              <w:spacing w:after="180"/>
              <w:jc w:val="left"/>
              <w:textAlignment w:val="auto"/>
              <w:rPr>
                <w:rFonts w:eastAsia="等线"/>
              </w:rPr>
            </w:pPr>
            <w:r>
              <w:rPr>
                <w:rFonts w:eastAsia="等线"/>
              </w:rPr>
              <w:t>If any essential reason of reporting TA using dedicated CG is identified, we may consider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vAlign w:val="top"/>
          </w:tcPr>
          <w:p>
            <w:pPr>
              <w:rPr>
                <w:rFonts w:eastAsia="等线"/>
              </w:rPr>
            </w:pPr>
            <w:r>
              <w:rPr>
                <w:rFonts w:hint="eastAsia" w:eastAsia="等线"/>
                <w:lang w:val="en-US" w:eastAsia="zh-CN"/>
              </w:rPr>
              <w:t>Transsion Holdings</w:t>
            </w:r>
          </w:p>
        </w:tc>
        <w:tc>
          <w:tcPr>
            <w:tcW w:w="2126" w:type="dxa"/>
            <w:shd w:val="clear" w:color="auto" w:fill="auto"/>
            <w:vAlign w:val="top"/>
          </w:tcPr>
          <w:p>
            <w:pPr>
              <w:jc w:val="left"/>
              <w:rPr>
                <w:rFonts w:eastAsia="等线"/>
              </w:rPr>
            </w:pPr>
            <w:r>
              <w:rPr>
                <w:rFonts w:eastAsia="Malgun Gothic"/>
                <w:lang w:eastAsia="ko-KR"/>
              </w:rPr>
              <w:t>Disagree</w:t>
            </w:r>
          </w:p>
        </w:tc>
        <w:tc>
          <w:tcPr>
            <w:tcW w:w="6095" w:type="dxa"/>
            <w:shd w:val="clear" w:color="auto" w:fill="auto"/>
          </w:tcPr>
          <w:p>
            <w:pPr>
              <w:overflowPunct/>
              <w:autoSpaceDE/>
              <w:autoSpaceDN/>
              <w:adjustRightInd/>
              <w:spacing w:after="180"/>
              <w:jc w:val="left"/>
              <w:textAlignment w:val="auto"/>
              <w:rPr>
                <w:rFonts w:eastAsia="等线"/>
              </w:rPr>
            </w:pP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p>
        </w:tc>
        <w:tc>
          <w:tcPr>
            <w:tcW w:w="2126" w:type="dxa"/>
            <w:shd w:val="clear" w:color="auto" w:fill="auto"/>
          </w:tcPr>
          <w:p>
            <w:pPr>
              <w:jc w:val="left"/>
              <w:rPr>
                <w:rFonts w:eastAsia="等线"/>
              </w:rPr>
            </w:pPr>
          </w:p>
        </w:tc>
        <w:tc>
          <w:tcPr>
            <w:tcW w:w="6095" w:type="dxa"/>
            <w:shd w:val="clear" w:color="auto" w:fill="auto"/>
          </w:tcPr>
          <w:p>
            <w:pPr>
              <w:overflowPunct/>
              <w:autoSpaceDE/>
              <w:autoSpaceDN/>
              <w:adjustRightInd/>
              <w:spacing w:after="180"/>
              <w:jc w:val="left"/>
              <w:textAlignment w:val="auto"/>
            </w:pPr>
          </w:p>
        </w:tc>
      </w:tr>
    </w:tbl>
    <w:p/>
    <w:p>
      <w:pPr>
        <w:pStyle w:val="2"/>
      </w:pPr>
      <w:r>
        <w:t>4. Round-1 summary</w:t>
      </w:r>
    </w:p>
    <w:p>
      <w:pPr>
        <w:rPr>
          <w:i/>
        </w:rPr>
      </w:pPr>
      <w:r>
        <w:rPr>
          <w:i/>
          <w:highlight w:val="yellow"/>
        </w:rPr>
        <w:t>To be added…</w:t>
      </w:r>
    </w:p>
    <w:p>
      <w:pPr>
        <w:rPr>
          <w:i/>
        </w:rPr>
      </w:pPr>
    </w:p>
    <w:p>
      <w:pPr>
        <w:pStyle w:val="2"/>
      </w:pPr>
      <w:r>
        <w:t>5. References</w:t>
      </w:r>
    </w:p>
    <w:p>
      <w:pPr>
        <w:pStyle w:val="130"/>
        <w:numPr>
          <w:ilvl w:val="0"/>
          <w:numId w:val="14"/>
        </w:numPr>
      </w:pPr>
      <w:r>
        <w:t>R2-2204740</w:t>
      </w:r>
      <w:r>
        <w:tab/>
      </w:r>
      <w:r>
        <w:t>Discussion on mac-ContentionResolutionTimer in IoT NTN</w:t>
      </w:r>
      <w:r>
        <w:tab/>
      </w:r>
      <w:r>
        <w:t>OPPO</w:t>
      </w:r>
    </w:p>
    <w:p>
      <w:pPr>
        <w:pStyle w:val="130"/>
        <w:numPr>
          <w:ilvl w:val="0"/>
          <w:numId w:val="14"/>
        </w:numPr>
      </w:pPr>
      <w:r>
        <w:t>R2-2205725</w:t>
      </w:r>
      <w:r>
        <w:tab/>
      </w:r>
      <w:r>
        <w:t>Alignment with NR NTN for Msg3 blind retransmission</w:t>
      </w:r>
      <w:r>
        <w:tab/>
      </w:r>
      <w:r>
        <w:t>Nokia, Nokia Shanghai Bell</w:t>
      </w:r>
    </w:p>
    <w:p>
      <w:pPr>
        <w:pStyle w:val="130"/>
        <w:numPr>
          <w:ilvl w:val="0"/>
          <w:numId w:val="14"/>
        </w:numPr>
      </w:pPr>
      <w:r>
        <w:t>R2-2204741</w:t>
      </w:r>
      <w:r>
        <w:tab/>
      </w:r>
      <w:r>
        <w:t>Discussion on TA report in IoT NTN</w:t>
      </w:r>
      <w:r>
        <w:tab/>
      </w:r>
      <w:r>
        <w:t>OPPO</w:t>
      </w:r>
    </w:p>
    <w:p>
      <w:pPr>
        <w:pStyle w:val="130"/>
        <w:tabs>
          <w:tab w:val="left" w:pos="567"/>
        </w:tabs>
        <w:ind w:left="0" w:firstLine="0"/>
      </w:pPr>
    </w:p>
    <w:sectPr>
      <w:footerReference r:id="rId4" w:type="default"/>
      <w:headerReference r:id="rId3" w:type="even"/>
      <w:footnotePr>
        <w:numRestart w:val="eachSect"/>
      </w:footnotePr>
      <w:pgSz w:w="11907" w:h="16840"/>
      <w:pgMar w:top="1418" w:right="1134" w:bottom="1134" w:left="1134" w:header="680"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Arial Unicode MS">
    <w:altName w:val="Arial"/>
    <w:panose1 w:val="020B0604020202020204"/>
    <w:charset w:val="80"/>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enter" w:pos="4820"/>
        <w:tab w:val="right" w:pos="9639"/>
      </w:tabs>
      <w:jc w:val="left"/>
    </w:pPr>
    <w:r>
      <w:tab/>
    </w:r>
    <w:r>
      <w:rPr>
        <w:rStyle w:val="48"/>
      </w:rPr>
      <w:fldChar w:fldCharType="begin"/>
    </w:r>
    <w:r>
      <w:rPr>
        <w:rStyle w:val="48"/>
      </w:rPr>
      <w:instrText xml:space="preserve"> PAGE </w:instrText>
    </w:r>
    <w:r>
      <w:rPr>
        <w:rStyle w:val="48"/>
      </w:rPr>
      <w:fldChar w:fldCharType="separate"/>
    </w:r>
    <w:r>
      <w:rPr>
        <w:rStyle w:val="48"/>
      </w:rPr>
      <w:t>1</w:t>
    </w:r>
    <w:r>
      <w:rPr>
        <w:rStyle w:val="48"/>
      </w:rPr>
      <w:fldChar w:fldCharType="end"/>
    </w:r>
    <w:r>
      <w:rPr>
        <w:rStyle w:val="48"/>
      </w:rPr>
      <w:t>/</w:t>
    </w:r>
    <w:r>
      <w:rPr>
        <w:rStyle w:val="48"/>
      </w:rPr>
      <w:fldChar w:fldCharType="begin"/>
    </w:r>
    <w:r>
      <w:rPr>
        <w:rStyle w:val="48"/>
      </w:rPr>
      <w:instrText xml:space="preserve"> NUMPAGES </w:instrText>
    </w:r>
    <w:r>
      <w:rPr>
        <w:rStyle w:val="48"/>
      </w:rPr>
      <w:fldChar w:fldCharType="separate"/>
    </w:r>
    <w:r>
      <w:rPr>
        <w:rStyle w:val="48"/>
      </w:rPr>
      <w:t>5</w:t>
    </w:r>
    <w:r>
      <w:rPr>
        <w:rStyle w:val="48"/>
      </w:rPr>
      <w:fldChar w:fldCharType="end"/>
    </w:r>
    <w:r>
      <w:rPr>
        <w:rStyle w:val="4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3">
    <w:nsid w:val="41673EF1"/>
    <w:multiLevelType w:val="multilevel"/>
    <w:tmpl w:val="41673EF1"/>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4">
    <w:nsid w:val="4BDF65F6"/>
    <w:multiLevelType w:val="multilevel"/>
    <w:tmpl w:val="4BDF65F6"/>
    <w:lvl w:ilvl="0" w:tentative="0">
      <w:start w:val="1"/>
      <w:numFmt w:val="decimal"/>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521F44A7"/>
    <w:multiLevelType w:val="multilevel"/>
    <w:tmpl w:val="521F44A7"/>
    <w:lvl w:ilvl="0" w:tentative="0">
      <w:start w:val="1"/>
      <w:numFmt w:val="bullet"/>
      <w:pStyle w:val="13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5FAA35AD"/>
    <w:multiLevelType w:val="multilevel"/>
    <w:tmpl w:val="5FAA35AD"/>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8">
    <w:nsid w:val="60C53E83"/>
    <w:multiLevelType w:val="multilevel"/>
    <w:tmpl w:val="60C53E83"/>
    <w:lvl w:ilvl="0" w:tentative="0">
      <w:start w:val="1"/>
      <w:numFmt w:val="decimal"/>
      <w:lvlText w:val="%1."/>
      <w:lvlJc w:val="left"/>
      <w:pPr>
        <w:ind w:left="1619" w:hanging="360"/>
      </w:pPr>
      <w:rPr>
        <w:rFonts w:hint="default"/>
        <w:b w:val="0"/>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9">
    <w:nsid w:val="6E760327"/>
    <w:multiLevelType w:val="multilevel"/>
    <w:tmpl w:val="6E760327"/>
    <w:lvl w:ilvl="0" w:tentative="0">
      <w:start w:val="1"/>
      <w:numFmt w:val="decimal"/>
      <w:pStyle w:val="115"/>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lang w:val="en-GB"/>
      </w:rPr>
    </w:lvl>
    <w:lvl w:ilvl="2" w:tentative="0">
      <w:start w:val="1"/>
      <w:numFmt w:val="decimal"/>
      <w:lvlText w:val="%1.%2.%3"/>
      <w:lvlJc w:val="left"/>
      <w:pPr>
        <w:tabs>
          <w:tab w:val="left" w:pos="2564"/>
        </w:tabs>
        <w:ind w:left="2564" w:hanging="2564"/>
      </w:pPr>
      <w:rPr>
        <w:rFonts w:hint="default"/>
      </w:rPr>
    </w:lvl>
    <w:lvl w:ilvl="3" w:tentative="0">
      <w:start w:val="1"/>
      <w:numFmt w:val="decimal"/>
      <w:lvlText w:val="%1.%2.%3.%4"/>
      <w:lvlJc w:val="left"/>
      <w:pPr>
        <w:tabs>
          <w:tab w:val="left" w:pos="1290"/>
        </w:tabs>
        <w:ind w:left="1290" w:hanging="1290"/>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0">
    <w:nsid w:val="70146DC0"/>
    <w:multiLevelType w:val="multilevel"/>
    <w:tmpl w:val="70146DC0"/>
    <w:lvl w:ilvl="0" w:tentative="0">
      <w:start w:val="1"/>
      <w:numFmt w:val="bullet"/>
      <w:pStyle w:val="12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5627DDD"/>
    <w:multiLevelType w:val="multilevel"/>
    <w:tmpl w:val="75627DDD"/>
    <w:lvl w:ilvl="0" w:tentative="0">
      <w:start w:val="1"/>
      <w:numFmt w:val="decimal"/>
      <w:lvlText w:val="%1."/>
      <w:lvlJc w:val="left"/>
      <w:pPr>
        <w:ind w:left="360" w:hanging="360"/>
      </w:pPr>
      <w:rPr>
        <w:rFonts w:hint="default"/>
      </w:rPr>
    </w:lvl>
    <w:lvl w:ilvl="1" w:tentative="0">
      <w:start w:val="2"/>
      <w:numFmt w:val="decimal"/>
      <w:isLgl/>
      <w:lvlText w:val="%1.%2"/>
      <w:lvlJc w:val="left"/>
      <w:pPr>
        <w:ind w:left="528" w:hanging="528"/>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12">
    <w:nsid w:val="78F76F6F"/>
    <w:multiLevelType w:val="singleLevel"/>
    <w:tmpl w:val="78F76F6F"/>
    <w:lvl w:ilvl="0" w:tentative="0">
      <w:start w:val="1"/>
      <w:numFmt w:val="bullet"/>
      <w:pStyle w:val="140"/>
      <w:lvlText w:val=""/>
      <w:lvlJc w:val="left"/>
      <w:pPr>
        <w:tabs>
          <w:tab w:val="left" w:pos="360"/>
        </w:tabs>
        <w:ind w:left="360" w:hanging="360"/>
      </w:pPr>
      <w:rPr>
        <w:rFonts w:hint="default" w:ascii="Symbol" w:hAnsi="Symbol"/>
      </w:rPr>
    </w:lvl>
  </w:abstractNum>
  <w:abstractNum w:abstractNumId="13">
    <w:nsid w:val="7F547DFD"/>
    <w:multiLevelType w:val="singleLevel"/>
    <w:tmpl w:val="7F547DFD"/>
    <w:lvl w:ilvl="0" w:tentative="0">
      <w:start w:val="1"/>
      <w:numFmt w:val="bullet"/>
      <w:pStyle w:val="103"/>
      <w:lvlText w:val=""/>
      <w:lvlJc w:val="left"/>
      <w:pPr>
        <w:tabs>
          <w:tab w:val="left" w:pos="1418"/>
        </w:tabs>
        <w:ind w:left="1418" w:hanging="426"/>
      </w:pPr>
      <w:rPr>
        <w:rFonts w:hint="default" w:ascii="Wingdings" w:hAnsi="Wingdings"/>
      </w:rPr>
    </w:lvl>
  </w:abstractNum>
  <w:num w:numId="1">
    <w:abstractNumId w:val="1"/>
  </w:num>
  <w:num w:numId="2">
    <w:abstractNumId w:val="6"/>
  </w:num>
  <w:num w:numId="3">
    <w:abstractNumId w:val="0"/>
  </w:num>
  <w:num w:numId="4">
    <w:abstractNumId w:val="2"/>
  </w:num>
  <w:num w:numId="5">
    <w:abstractNumId w:val="13"/>
  </w:num>
  <w:num w:numId="6">
    <w:abstractNumId w:val="9"/>
  </w:num>
  <w:num w:numId="7">
    <w:abstractNumId w:val="10"/>
  </w:num>
  <w:num w:numId="8">
    <w:abstractNumId w:val="5"/>
  </w:num>
  <w:num w:numId="9">
    <w:abstractNumId w:val="12"/>
  </w:num>
  <w:num w:numId="10">
    <w:abstractNumId w:val="11"/>
  </w:num>
  <w:num w:numId="11">
    <w:abstractNumId w:val="3"/>
  </w:num>
  <w:num w:numId="12">
    <w:abstractNumId w:val="7"/>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displayBackgroundShape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4BB"/>
    <w:rsid w:val="000006E1"/>
    <w:rsid w:val="00001156"/>
    <w:rsid w:val="000013AA"/>
    <w:rsid w:val="00002A37"/>
    <w:rsid w:val="000037A1"/>
    <w:rsid w:val="000046E3"/>
    <w:rsid w:val="00004F98"/>
    <w:rsid w:val="0000515A"/>
    <w:rsid w:val="00005353"/>
    <w:rsid w:val="000054F2"/>
    <w:rsid w:val="000055C6"/>
    <w:rsid w:val="0000629F"/>
    <w:rsid w:val="0000637D"/>
    <w:rsid w:val="00006446"/>
    <w:rsid w:val="000066CF"/>
    <w:rsid w:val="00006896"/>
    <w:rsid w:val="00007CDC"/>
    <w:rsid w:val="000109FA"/>
    <w:rsid w:val="000112BC"/>
    <w:rsid w:val="00011B28"/>
    <w:rsid w:val="00014EF7"/>
    <w:rsid w:val="00015D15"/>
    <w:rsid w:val="00016256"/>
    <w:rsid w:val="000174B1"/>
    <w:rsid w:val="000203DC"/>
    <w:rsid w:val="00020616"/>
    <w:rsid w:val="00023602"/>
    <w:rsid w:val="00024D72"/>
    <w:rsid w:val="0002564D"/>
    <w:rsid w:val="00025ECA"/>
    <w:rsid w:val="00026666"/>
    <w:rsid w:val="00027573"/>
    <w:rsid w:val="000275D6"/>
    <w:rsid w:val="00030FCB"/>
    <w:rsid w:val="00032244"/>
    <w:rsid w:val="00032533"/>
    <w:rsid w:val="000325B8"/>
    <w:rsid w:val="00032D18"/>
    <w:rsid w:val="00034A8E"/>
    <w:rsid w:val="00034C15"/>
    <w:rsid w:val="00034C43"/>
    <w:rsid w:val="0003688D"/>
    <w:rsid w:val="00036BA1"/>
    <w:rsid w:val="000378B8"/>
    <w:rsid w:val="00040095"/>
    <w:rsid w:val="00041E1C"/>
    <w:rsid w:val="000422E2"/>
    <w:rsid w:val="00042485"/>
    <w:rsid w:val="00042794"/>
    <w:rsid w:val="00042F22"/>
    <w:rsid w:val="00043406"/>
    <w:rsid w:val="000444EF"/>
    <w:rsid w:val="000450D0"/>
    <w:rsid w:val="000451C7"/>
    <w:rsid w:val="000460BB"/>
    <w:rsid w:val="00046743"/>
    <w:rsid w:val="00047856"/>
    <w:rsid w:val="00047DA2"/>
    <w:rsid w:val="00050C0F"/>
    <w:rsid w:val="00051816"/>
    <w:rsid w:val="00051DC4"/>
    <w:rsid w:val="00052A07"/>
    <w:rsid w:val="00052ABE"/>
    <w:rsid w:val="000534E3"/>
    <w:rsid w:val="0005397C"/>
    <w:rsid w:val="00053A86"/>
    <w:rsid w:val="000541AD"/>
    <w:rsid w:val="0005474C"/>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45F"/>
    <w:rsid w:val="000639D0"/>
    <w:rsid w:val="00063B8A"/>
    <w:rsid w:val="00064019"/>
    <w:rsid w:val="00064158"/>
    <w:rsid w:val="0006487E"/>
    <w:rsid w:val="00064F78"/>
    <w:rsid w:val="00065E1A"/>
    <w:rsid w:val="000667BD"/>
    <w:rsid w:val="00066BAB"/>
    <w:rsid w:val="00067762"/>
    <w:rsid w:val="00067944"/>
    <w:rsid w:val="00071CEF"/>
    <w:rsid w:val="000721C1"/>
    <w:rsid w:val="00075338"/>
    <w:rsid w:val="0007593F"/>
    <w:rsid w:val="0007620B"/>
    <w:rsid w:val="00076F72"/>
    <w:rsid w:val="0007704B"/>
    <w:rsid w:val="00077B4E"/>
    <w:rsid w:val="00077E5F"/>
    <w:rsid w:val="0008036A"/>
    <w:rsid w:val="00080B1B"/>
    <w:rsid w:val="00081218"/>
    <w:rsid w:val="00081AE6"/>
    <w:rsid w:val="000834A9"/>
    <w:rsid w:val="000839E5"/>
    <w:rsid w:val="00083A21"/>
    <w:rsid w:val="00084576"/>
    <w:rsid w:val="00084FCF"/>
    <w:rsid w:val="000850C3"/>
    <w:rsid w:val="000855EB"/>
    <w:rsid w:val="00085B52"/>
    <w:rsid w:val="000866F2"/>
    <w:rsid w:val="0009009F"/>
    <w:rsid w:val="0009018C"/>
    <w:rsid w:val="000902A0"/>
    <w:rsid w:val="00090366"/>
    <w:rsid w:val="000909D2"/>
    <w:rsid w:val="00090D57"/>
    <w:rsid w:val="00091557"/>
    <w:rsid w:val="00091FBD"/>
    <w:rsid w:val="000924C1"/>
    <w:rsid w:val="000924F0"/>
    <w:rsid w:val="00093474"/>
    <w:rsid w:val="000934A5"/>
    <w:rsid w:val="00093F7C"/>
    <w:rsid w:val="0009493B"/>
    <w:rsid w:val="00094AA3"/>
    <w:rsid w:val="0009510F"/>
    <w:rsid w:val="000967E3"/>
    <w:rsid w:val="000969E9"/>
    <w:rsid w:val="0009757B"/>
    <w:rsid w:val="000975FD"/>
    <w:rsid w:val="00097AAA"/>
    <w:rsid w:val="000A1B7B"/>
    <w:rsid w:val="000A247B"/>
    <w:rsid w:val="000A26C2"/>
    <w:rsid w:val="000A2735"/>
    <w:rsid w:val="000A2D01"/>
    <w:rsid w:val="000A380B"/>
    <w:rsid w:val="000A4665"/>
    <w:rsid w:val="000A4ACC"/>
    <w:rsid w:val="000A56F2"/>
    <w:rsid w:val="000A5729"/>
    <w:rsid w:val="000A590F"/>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57A2"/>
    <w:rsid w:val="000C6324"/>
    <w:rsid w:val="000C66FC"/>
    <w:rsid w:val="000C7251"/>
    <w:rsid w:val="000C7913"/>
    <w:rsid w:val="000C7BAD"/>
    <w:rsid w:val="000D0D07"/>
    <w:rsid w:val="000D22DF"/>
    <w:rsid w:val="000D26AE"/>
    <w:rsid w:val="000D378C"/>
    <w:rsid w:val="000D3FD1"/>
    <w:rsid w:val="000D41F2"/>
    <w:rsid w:val="000D4797"/>
    <w:rsid w:val="000D4958"/>
    <w:rsid w:val="000D49B3"/>
    <w:rsid w:val="000D4B48"/>
    <w:rsid w:val="000D5545"/>
    <w:rsid w:val="000D5C36"/>
    <w:rsid w:val="000E0527"/>
    <w:rsid w:val="000E07DA"/>
    <w:rsid w:val="000E1084"/>
    <w:rsid w:val="000E14FA"/>
    <w:rsid w:val="000E19AB"/>
    <w:rsid w:val="000E1E92"/>
    <w:rsid w:val="000E223F"/>
    <w:rsid w:val="000E296A"/>
    <w:rsid w:val="000E2D88"/>
    <w:rsid w:val="000E2E79"/>
    <w:rsid w:val="000E3648"/>
    <w:rsid w:val="000E4338"/>
    <w:rsid w:val="000E58A8"/>
    <w:rsid w:val="000E5F5E"/>
    <w:rsid w:val="000E6542"/>
    <w:rsid w:val="000E760E"/>
    <w:rsid w:val="000E79C5"/>
    <w:rsid w:val="000F0619"/>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D94"/>
    <w:rsid w:val="000F6DF3"/>
    <w:rsid w:val="000F7F57"/>
    <w:rsid w:val="001005FF"/>
    <w:rsid w:val="001009C4"/>
    <w:rsid w:val="00100A8E"/>
    <w:rsid w:val="00100B27"/>
    <w:rsid w:val="00102812"/>
    <w:rsid w:val="00103245"/>
    <w:rsid w:val="00103425"/>
    <w:rsid w:val="001042AC"/>
    <w:rsid w:val="0010501D"/>
    <w:rsid w:val="001057DA"/>
    <w:rsid w:val="001062FB"/>
    <w:rsid w:val="001063E6"/>
    <w:rsid w:val="00106E59"/>
    <w:rsid w:val="0011098C"/>
    <w:rsid w:val="001110A6"/>
    <w:rsid w:val="001114D0"/>
    <w:rsid w:val="00111647"/>
    <w:rsid w:val="00111671"/>
    <w:rsid w:val="001116C6"/>
    <w:rsid w:val="00112042"/>
    <w:rsid w:val="00112475"/>
    <w:rsid w:val="001129A9"/>
    <w:rsid w:val="00112C28"/>
    <w:rsid w:val="00113092"/>
    <w:rsid w:val="00113CF4"/>
    <w:rsid w:val="00114988"/>
    <w:rsid w:val="00114A7A"/>
    <w:rsid w:val="001153EA"/>
    <w:rsid w:val="00115643"/>
    <w:rsid w:val="001158A9"/>
    <w:rsid w:val="00116143"/>
    <w:rsid w:val="00116765"/>
    <w:rsid w:val="00117B4D"/>
    <w:rsid w:val="00120EF3"/>
    <w:rsid w:val="0012163D"/>
    <w:rsid w:val="00121750"/>
    <w:rsid w:val="0012177D"/>
    <w:rsid w:val="001219F5"/>
    <w:rsid w:val="00121A20"/>
    <w:rsid w:val="001223A6"/>
    <w:rsid w:val="0012290A"/>
    <w:rsid w:val="00122CD7"/>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57F7"/>
    <w:rsid w:val="00136B2C"/>
    <w:rsid w:val="0013749F"/>
    <w:rsid w:val="00137AB5"/>
    <w:rsid w:val="00137F0B"/>
    <w:rsid w:val="00140EDD"/>
    <w:rsid w:val="001420C4"/>
    <w:rsid w:val="0014248D"/>
    <w:rsid w:val="001428B5"/>
    <w:rsid w:val="00143188"/>
    <w:rsid w:val="00143A38"/>
    <w:rsid w:val="00144174"/>
    <w:rsid w:val="001443EB"/>
    <w:rsid w:val="0014484A"/>
    <w:rsid w:val="0014488F"/>
    <w:rsid w:val="00145046"/>
    <w:rsid w:val="001455E5"/>
    <w:rsid w:val="00145659"/>
    <w:rsid w:val="00146E4C"/>
    <w:rsid w:val="00146E51"/>
    <w:rsid w:val="001514DB"/>
    <w:rsid w:val="00151E23"/>
    <w:rsid w:val="001521F6"/>
    <w:rsid w:val="00152325"/>
    <w:rsid w:val="00152406"/>
    <w:rsid w:val="001525D3"/>
    <w:rsid w:val="001526E0"/>
    <w:rsid w:val="00153A5C"/>
    <w:rsid w:val="00153AF5"/>
    <w:rsid w:val="00153E0F"/>
    <w:rsid w:val="0015462A"/>
    <w:rsid w:val="00154F73"/>
    <w:rsid w:val="001551B5"/>
    <w:rsid w:val="00156804"/>
    <w:rsid w:val="00156D1C"/>
    <w:rsid w:val="00157C26"/>
    <w:rsid w:val="00160475"/>
    <w:rsid w:val="001605D8"/>
    <w:rsid w:val="001616DF"/>
    <w:rsid w:val="00161F48"/>
    <w:rsid w:val="00162B15"/>
    <w:rsid w:val="00163C88"/>
    <w:rsid w:val="0016406B"/>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236"/>
    <w:rsid w:val="00176A65"/>
    <w:rsid w:val="0017791E"/>
    <w:rsid w:val="00180084"/>
    <w:rsid w:val="0018015C"/>
    <w:rsid w:val="0018143F"/>
    <w:rsid w:val="00181694"/>
    <w:rsid w:val="00181BA6"/>
    <w:rsid w:val="00182A76"/>
    <w:rsid w:val="00183C22"/>
    <w:rsid w:val="00184227"/>
    <w:rsid w:val="00184609"/>
    <w:rsid w:val="0018482B"/>
    <w:rsid w:val="001850DE"/>
    <w:rsid w:val="00185578"/>
    <w:rsid w:val="001857D0"/>
    <w:rsid w:val="00186B4A"/>
    <w:rsid w:val="001875EB"/>
    <w:rsid w:val="00190664"/>
    <w:rsid w:val="00190AC1"/>
    <w:rsid w:val="00190B1D"/>
    <w:rsid w:val="0019112B"/>
    <w:rsid w:val="001927D1"/>
    <w:rsid w:val="0019341A"/>
    <w:rsid w:val="001938D2"/>
    <w:rsid w:val="00193C64"/>
    <w:rsid w:val="00195C58"/>
    <w:rsid w:val="001966A9"/>
    <w:rsid w:val="001973F3"/>
    <w:rsid w:val="00197DF9"/>
    <w:rsid w:val="00197E05"/>
    <w:rsid w:val="001A01E7"/>
    <w:rsid w:val="001A04AA"/>
    <w:rsid w:val="001A04C2"/>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A4C"/>
    <w:rsid w:val="001A6CBA"/>
    <w:rsid w:val="001B05F9"/>
    <w:rsid w:val="001B0B5A"/>
    <w:rsid w:val="001B0B6C"/>
    <w:rsid w:val="001B0D8A"/>
    <w:rsid w:val="001B0D97"/>
    <w:rsid w:val="001B198C"/>
    <w:rsid w:val="001B1FC1"/>
    <w:rsid w:val="001B23D9"/>
    <w:rsid w:val="001B4034"/>
    <w:rsid w:val="001B40B9"/>
    <w:rsid w:val="001B4FC2"/>
    <w:rsid w:val="001B5478"/>
    <w:rsid w:val="001B5A5D"/>
    <w:rsid w:val="001B7807"/>
    <w:rsid w:val="001B7BDF"/>
    <w:rsid w:val="001C0931"/>
    <w:rsid w:val="001C1985"/>
    <w:rsid w:val="001C1CE5"/>
    <w:rsid w:val="001C2BCC"/>
    <w:rsid w:val="001C3D2A"/>
    <w:rsid w:val="001C447D"/>
    <w:rsid w:val="001C47F2"/>
    <w:rsid w:val="001C496F"/>
    <w:rsid w:val="001C78F3"/>
    <w:rsid w:val="001D0D9D"/>
    <w:rsid w:val="001D179D"/>
    <w:rsid w:val="001D1B73"/>
    <w:rsid w:val="001D240E"/>
    <w:rsid w:val="001D317F"/>
    <w:rsid w:val="001D36FF"/>
    <w:rsid w:val="001D3D1D"/>
    <w:rsid w:val="001D41B5"/>
    <w:rsid w:val="001D421D"/>
    <w:rsid w:val="001D4D8A"/>
    <w:rsid w:val="001D51BA"/>
    <w:rsid w:val="001D5733"/>
    <w:rsid w:val="001D5808"/>
    <w:rsid w:val="001D5864"/>
    <w:rsid w:val="001D5C56"/>
    <w:rsid w:val="001D5D1D"/>
    <w:rsid w:val="001D6342"/>
    <w:rsid w:val="001D634F"/>
    <w:rsid w:val="001D6B06"/>
    <w:rsid w:val="001D6D53"/>
    <w:rsid w:val="001D72A0"/>
    <w:rsid w:val="001E027A"/>
    <w:rsid w:val="001E0376"/>
    <w:rsid w:val="001E0D46"/>
    <w:rsid w:val="001E1805"/>
    <w:rsid w:val="001E3012"/>
    <w:rsid w:val="001E4418"/>
    <w:rsid w:val="001E51FB"/>
    <w:rsid w:val="001E58E2"/>
    <w:rsid w:val="001E64F9"/>
    <w:rsid w:val="001E6984"/>
    <w:rsid w:val="001E6F4F"/>
    <w:rsid w:val="001E73CD"/>
    <w:rsid w:val="001E7AED"/>
    <w:rsid w:val="001F0892"/>
    <w:rsid w:val="001F0AFC"/>
    <w:rsid w:val="001F2D4C"/>
    <w:rsid w:val="001F334D"/>
    <w:rsid w:val="001F3916"/>
    <w:rsid w:val="001F39D9"/>
    <w:rsid w:val="001F4534"/>
    <w:rsid w:val="001F4D6E"/>
    <w:rsid w:val="001F5028"/>
    <w:rsid w:val="001F54C5"/>
    <w:rsid w:val="001F54FB"/>
    <w:rsid w:val="001F55A5"/>
    <w:rsid w:val="001F6274"/>
    <w:rsid w:val="001F662C"/>
    <w:rsid w:val="001F7074"/>
    <w:rsid w:val="001F7A7C"/>
    <w:rsid w:val="001F7B45"/>
    <w:rsid w:val="001F7C42"/>
    <w:rsid w:val="00200490"/>
    <w:rsid w:val="00200935"/>
    <w:rsid w:val="00200D8A"/>
    <w:rsid w:val="0020183E"/>
    <w:rsid w:val="00201D1C"/>
    <w:rsid w:val="00201F3A"/>
    <w:rsid w:val="0020248D"/>
    <w:rsid w:val="002029DE"/>
    <w:rsid w:val="00202E05"/>
    <w:rsid w:val="00203671"/>
    <w:rsid w:val="00203888"/>
    <w:rsid w:val="00203E97"/>
    <w:rsid w:val="00203F1D"/>
    <w:rsid w:val="00203F96"/>
    <w:rsid w:val="002057F1"/>
    <w:rsid w:val="002069B2"/>
    <w:rsid w:val="00206FD3"/>
    <w:rsid w:val="002075B1"/>
    <w:rsid w:val="00207CFE"/>
    <w:rsid w:val="00207DA2"/>
    <w:rsid w:val="00207FA3"/>
    <w:rsid w:val="00210F3F"/>
    <w:rsid w:val="00211097"/>
    <w:rsid w:val="00213C71"/>
    <w:rsid w:val="00213CFB"/>
    <w:rsid w:val="00213DF7"/>
    <w:rsid w:val="002140B0"/>
    <w:rsid w:val="00214316"/>
    <w:rsid w:val="00214A48"/>
    <w:rsid w:val="00214DA8"/>
    <w:rsid w:val="00215423"/>
    <w:rsid w:val="002158FA"/>
    <w:rsid w:val="00216585"/>
    <w:rsid w:val="002167A9"/>
    <w:rsid w:val="00216F2C"/>
    <w:rsid w:val="00217D79"/>
    <w:rsid w:val="00220600"/>
    <w:rsid w:val="002208D1"/>
    <w:rsid w:val="00220F69"/>
    <w:rsid w:val="00221174"/>
    <w:rsid w:val="00221393"/>
    <w:rsid w:val="002215C9"/>
    <w:rsid w:val="002224DB"/>
    <w:rsid w:val="002227AD"/>
    <w:rsid w:val="002227B0"/>
    <w:rsid w:val="00222E04"/>
    <w:rsid w:val="00223A58"/>
    <w:rsid w:val="00223FCB"/>
    <w:rsid w:val="00224098"/>
    <w:rsid w:val="0022461A"/>
    <w:rsid w:val="00224C86"/>
    <w:rsid w:val="002252C3"/>
    <w:rsid w:val="00225C54"/>
    <w:rsid w:val="00225E91"/>
    <w:rsid w:val="00226DB0"/>
    <w:rsid w:val="00226FAE"/>
    <w:rsid w:val="00226FB1"/>
    <w:rsid w:val="002278D5"/>
    <w:rsid w:val="002301A8"/>
    <w:rsid w:val="00230765"/>
    <w:rsid w:val="002319E4"/>
    <w:rsid w:val="00231DF8"/>
    <w:rsid w:val="00231EA1"/>
    <w:rsid w:val="002326C2"/>
    <w:rsid w:val="00233058"/>
    <w:rsid w:val="00234E22"/>
    <w:rsid w:val="00235632"/>
    <w:rsid w:val="00235872"/>
    <w:rsid w:val="00235FFB"/>
    <w:rsid w:val="00241559"/>
    <w:rsid w:val="002435B3"/>
    <w:rsid w:val="0024373E"/>
    <w:rsid w:val="00243B26"/>
    <w:rsid w:val="0024558E"/>
    <w:rsid w:val="0024561B"/>
    <w:rsid w:val="002458EB"/>
    <w:rsid w:val="0024591B"/>
    <w:rsid w:val="00245A75"/>
    <w:rsid w:val="00246623"/>
    <w:rsid w:val="002468AB"/>
    <w:rsid w:val="002500C8"/>
    <w:rsid w:val="002502D2"/>
    <w:rsid w:val="00250390"/>
    <w:rsid w:val="00250F2B"/>
    <w:rsid w:val="00251AE8"/>
    <w:rsid w:val="00251DE3"/>
    <w:rsid w:val="00251E6C"/>
    <w:rsid w:val="002532D8"/>
    <w:rsid w:val="0025386C"/>
    <w:rsid w:val="00254ADB"/>
    <w:rsid w:val="002553C8"/>
    <w:rsid w:val="002558BE"/>
    <w:rsid w:val="00256137"/>
    <w:rsid w:val="002566E7"/>
    <w:rsid w:val="002571F0"/>
    <w:rsid w:val="00257543"/>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802E1"/>
    <w:rsid w:val="002804D3"/>
    <w:rsid w:val="002805F5"/>
    <w:rsid w:val="00280751"/>
    <w:rsid w:val="00280D01"/>
    <w:rsid w:val="00282191"/>
    <w:rsid w:val="0028280A"/>
    <w:rsid w:val="002832EB"/>
    <w:rsid w:val="00284A04"/>
    <w:rsid w:val="002862DB"/>
    <w:rsid w:val="00286ACD"/>
    <w:rsid w:val="00287378"/>
    <w:rsid w:val="00287838"/>
    <w:rsid w:val="002879DB"/>
    <w:rsid w:val="0029012D"/>
    <w:rsid w:val="002907B5"/>
    <w:rsid w:val="00290944"/>
    <w:rsid w:val="00290CBE"/>
    <w:rsid w:val="00290E78"/>
    <w:rsid w:val="002920F3"/>
    <w:rsid w:val="00292CEF"/>
    <w:rsid w:val="00292EB7"/>
    <w:rsid w:val="00293025"/>
    <w:rsid w:val="002930EA"/>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6BA0"/>
    <w:rsid w:val="002A70E7"/>
    <w:rsid w:val="002A78D9"/>
    <w:rsid w:val="002B042B"/>
    <w:rsid w:val="002B1903"/>
    <w:rsid w:val="002B20CE"/>
    <w:rsid w:val="002B24D6"/>
    <w:rsid w:val="002B254D"/>
    <w:rsid w:val="002B2B79"/>
    <w:rsid w:val="002B333E"/>
    <w:rsid w:val="002B3E10"/>
    <w:rsid w:val="002B3F42"/>
    <w:rsid w:val="002B4D04"/>
    <w:rsid w:val="002B55F8"/>
    <w:rsid w:val="002B625A"/>
    <w:rsid w:val="002B6C7F"/>
    <w:rsid w:val="002B725B"/>
    <w:rsid w:val="002C0ED0"/>
    <w:rsid w:val="002C0F30"/>
    <w:rsid w:val="002C19DB"/>
    <w:rsid w:val="002C2DE8"/>
    <w:rsid w:val="002C32D7"/>
    <w:rsid w:val="002C3665"/>
    <w:rsid w:val="002C3CF6"/>
    <w:rsid w:val="002C3D0E"/>
    <w:rsid w:val="002C41E6"/>
    <w:rsid w:val="002C426C"/>
    <w:rsid w:val="002C4AB9"/>
    <w:rsid w:val="002C563A"/>
    <w:rsid w:val="002C6BBB"/>
    <w:rsid w:val="002C6CF9"/>
    <w:rsid w:val="002C7540"/>
    <w:rsid w:val="002D071A"/>
    <w:rsid w:val="002D10D4"/>
    <w:rsid w:val="002D1508"/>
    <w:rsid w:val="002D15AD"/>
    <w:rsid w:val="002D2D59"/>
    <w:rsid w:val="002D34B2"/>
    <w:rsid w:val="002D544F"/>
    <w:rsid w:val="002D5C38"/>
    <w:rsid w:val="002D5D04"/>
    <w:rsid w:val="002D5E68"/>
    <w:rsid w:val="002D6000"/>
    <w:rsid w:val="002D64F9"/>
    <w:rsid w:val="002D75D3"/>
    <w:rsid w:val="002D7637"/>
    <w:rsid w:val="002D774D"/>
    <w:rsid w:val="002E0F69"/>
    <w:rsid w:val="002E109F"/>
    <w:rsid w:val="002E179E"/>
    <w:rsid w:val="002E17F2"/>
    <w:rsid w:val="002E184B"/>
    <w:rsid w:val="002E1A81"/>
    <w:rsid w:val="002E1B40"/>
    <w:rsid w:val="002E2397"/>
    <w:rsid w:val="002E2EBC"/>
    <w:rsid w:val="002E3EA6"/>
    <w:rsid w:val="002E7A01"/>
    <w:rsid w:val="002E7C4D"/>
    <w:rsid w:val="002E7CAE"/>
    <w:rsid w:val="002E7E3F"/>
    <w:rsid w:val="002F0249"/>
    <w:rsid w:val="002F17C7"/>
    <w:rsid w:val="002F1918"/>
    <w:rsid w:val="002F1BE3"/>
    <w:rsid w:val="002F2771"/>
    <w:rsid w:val="002F37A9"/>
    <w:rsid w:val="002F37F2"/>
    <w:rsid w:val="002F4310"/>
    <w:rsid w:val="002F6251"/>
    <w:rsid w:val="002F671E"/>
    <w:rsid w:val="002F6EC7"/>
    <w:rsid w:val="002F718B"/>
    <w:rsid w:val="002F7C91"/>
    <w:rsid w:val="00300234"/>
    <w:rsid w:val="00300832"/>
    <w:rsid w:val="003015E0"/>
    <w:rsid w:val="00301CE6"/>
    <w:rsid w:val="00301E69"/>
    <w:rsid w:val="0030256B"/>
    <w:rsid w:val="003025CC"/>
    <w:rsid w:val="00302695"/>
    <w:rsid w:val="00302B8D"/>
    <w:rsid w:val="003034C3"/>
    <w:rsid w:val="00303FF3"/>
    <w:rsid w:val="0030501F"/>
    <w:rsid w:val="00305C1E"/>
    <w:rsid w:val="003066C7"/>
    <w:rsid w:val="0030755B"/>
    <w:rsid w:val="00307BA1"/>
    <w:rsid w:val="00307D2A"/>
    <w:rsid w:val="00311702"/>
    <w:rsid w:val="003117C2"/>
    <w:rsid w:val="00311E82"/>
    <w:rsid w:val="0031246D"/>
    <w:rsid w:val="003125A2"/>
    <w:rsid w:val="003130B9"/>
    <w:rsid w:val="00313FD6"/>
    <w:rsid w:val="00313FF4"/>
    <w:rsid w:val="003143BD"/>
    <w:rsid w:val="0031629C"/>
    <w:rsid w:val="003167B2"/>
    <w:rsid w:val="00317900"/>
    <w:rsid w:val="00317D3D"/>
    <w:rsid w:val="003203ED"/>
    <w:rsid w:val="003206CB"/>
    <w:rsid w:val="00320F8E"/>
    <w:rsid w:val="0032148D"/>
    <w:rsid w:val="00321CCD"/>
    <w:rsid w:val="00322C9F"/>
    <w:rsid w:val="00323CCE"/>
    <w:rsid w:val="00324D23"/>
    <w:rsid w:val="00325B42"/>
    <w:rsid w:val="00326574"/>
    <w:rsid w:val="00326806"/>
    <w:rsid w:val="00326BBC"/>
    <w:rsid w:val="00326DE7"/>
    <w:rsid w:val="003278E2"/>
    <w:rsid w:val="00330EB6"/>
    <w:rsid w:val="00331751"/>
    <w:rsid w:val="00331DBC"/>
    <w:rsid w:val="00332239"/>
    <w:rsid w:val="003323B2"/>
    <w:rsid w:val="00333496"/>
    <w:rsid w:val="00334579"/>
    <w:rsid w:val="00334DA1"/>
    <w:rsid w:val="003352C7"/>
    <w:rsid w:val="00335858"/>
    <w:rsid w:val="0033594E"/>
    <w:rsid w:val="0033605C"/>
    <w:rsid w:val="00336400"/>
    <w:rsid w:val="003365A4"/>
    <w:rsid w:val="00336BDA"/>
    <w:rsid w:val="00336E89"/>
    <w:rsid w:val="00340892"/>
    <w:rsid w:val="00340F30"/>
    <w:rsid w:val="0034108A"/>
    <w:rsid w:val="00342BD7"/>
    <w:rsid w:val="00342D3F"/>
    <w:rsid w:val="00343512"/>
    <w:rsid w:val="0034373E"/>
    <w:rsid w:val="00344037"/>
    <w:rsid w:val="00346869"/>
    <w:rsid w:val="00346DB5"/>
    <w:rsid w:val="003477B1"/>
    <w:rsid w:val="00347F0B"/>
    <w:rsid w:val="00350C83"/>
    <w:rsid w:val="003528CC"/>
    <w:rsid w:val="00353C21"/>
    <w:rsid w:val="00354EB9"/>
    <w:rsid w:val="00355178"/>
    <w:rsid w:val="00355D32"/>
    <w:rsid w:val="00356957"/>
    <w:rsid w:val="00356A88"/>
    <w:rsid w:val="00356CB6"/>
    <w:rsid w:val="00356D1B"/>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CC"/>
    <w:rsid w:val="00372D99"/>
    <w:rsid w:val="003730E5"/>
    <w:rsid w:val="00373C67"/>
    <w:rsid w:val="00374294"/>
    <w:rsid w:val="003742AC"/>
    <w:rsid w:val="00375570"/>
    <w:rsid w:val="00377CE1"/>
    <w:rsid w:val="003800BE"/>
    <w:rsid w:val="00381B10"/>
    <w:rsid w:val="00382B7F"/>
    <w:rsid w:val="00382BE0"/>
    <w:rsid w:val="00382D5A"/>
    <w:rsid w:val="0038303C"/>
    <w:rsid w:val="003831E2"/>
    <w:rsid w:val="00383A0E"/>
    <w:rsid w:val="00384602"/>
    <w:rsid w:val="0038495C"/>
    <w:rsid w:val="003850E0"/>
    <w:rsid w:val="00385BF0"/>
    <w:rsid w:val="00390339"/>
    <w:rsid w:val="00390659"/>
    <w:rsid w:val="00390FBC"/>
    <w:rsid w:val="00391498"/>
    <w:rsid w:val="003917D7"/>
    <w:rsid w:val="00391BD6"/>
    <w:rsid w:val="0039231E"/>
    <w:rsid w:val="00392578"/>
    <w:rsid w:val="0039340E"/>
    <w:rsid w:val="003939FF"/>
    <w:rsid w:val="00393E5D"/>
    <w:rsid w:val="0039426A"/>
    <w:rsid w:val="0039448F"/>
    <w:rsid w:val="00394498"/>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5D84"/>
    <w:rsid w:val="003A6382"/>
    <w:rsid w:val="003A67F5"/>
    <w:rsid w:val="003A6BAC"/>
    <w:rsid w:val="003A77E2"/>
    <w:rsid w:val="003A7EF3"/>
    <w:rsid w:val="003B0225"/>
    <w:rsid w:val="003B0326"/>
    <w:rsid w:val="003B07A7"/>
    <w:rsid w:val="003B0A52"/>
    <w:rsid w:val="003B0DF5"/>
    <w:rsid w:val="003B159C"/>
    <w:rsid w:val="003B24EE"/>
    <w:rsid w:val="003B369F"/>
    <w:rsid w:val="003B36A3"/>
    <w:rsid w:val="003B4D7E"/>
    <w:rsid w:val="003B542D"/>
    <w:rsid w:val="003B6501"/>
    <w:rsid w:val="003B66DA"/>
    <w:rsid w:val="003B77DF"/>
    <w:rsid w:val="003B7E35"/>
    <w:rsid w:val="003B7FE5"/>
    <w:rsid w:val="003C0033"/>
    <w:rsid w:val="003C11C8"/>
    <w:rsid w:val="003C19DA"/>
    <w:rsid w:val="003C23C9"/>
    <w:rsid w:val="003C2702"/>
    <w:rsid w:val="003C327D"/>
    <w:rsid w:val="003C38EB"/>
    <w:rsid w:val="003C411B"/>
    <w:rsid w:val="003C5070"/>
    <w:rsid w:val="003C5215"/>
    <w:rsid w:val="003C6696"/>
    <w:rsid w:val="003C7806"/>
    <w:rsid w:val="003D0FF7"/>
    <w:rsid w:val="003D109F"/>
    <w:rsid w:val="003D2478"/>
    <w:rsid w:val="003D24DC"/>
    <w:rsid w:val="003D2688"/>
    <w:rsid w:val="003D27F0"/>
    <w:rsid w:val="003D3A88"/>
    <w:rsid w:val="003D3AFB"/>
    <w:rsid w:val="003D3C45"/>
    <w:rsid w:val="003D3F09"/>
    <w:rsid w:val="003D3F86"/>
    <w:rsid w:val="003D59E0"/>
    <w:rsid w:val="003D5B1F"/>
    <w:rsid w:val="003D5FB0"/>
    <w:rsid w:val="003D62C8"/>
    <w:rsid w:val="003D764B"/>
    <w:rsid w:val="003D7756"/>
    <w:rsid w:val="003D7900"/>
    <w:rsid w:val="003E1007"/>
    <w:rsid w:val="003E1499"/>
    <w:rsid w:val="003E15FA"/>
    <w:rsid w:val="003E2466"/>
    <w:rsid w:val="003E2B9B"/>
    <w:rsid w:val="003E2EC0"/>
    <w:rsid w:val="003E3C77"/>
    <w:rsid w:val="003E432C"/>
    <w:rsid w:val="003E4D35"/>
    <w:rsid w:val="003E55E4"/>
    <w:rsid w:val="003E6405"/>
    <w:rsid w:val="003E6B41"/>
    <w:rsid w:val="003E74E3"/>
    <w:rsid w:val="003E783B"/>
    <w:rsid w:val="003F05C7"/>
    <w:rsid w:val="003F13A4"/>
    <w:rsid w:val="003F13CE"/>
    <w:rsid w:val="003F1455"/>
    <w:rsid w:val="003F2904"/>
    <w:rsid w:val="003F2C3C"/>
    <w:rsid w:val="003F2CD4"/>
    <w:rsid w:val="003F3F5A"/>
    <w:rsid w:val="003F435A"/>
    <w:rsid w:val="003F4C16"/>
    <w:rsid w:val="003F6350"/>
    <w:rsid w:val="003F6BBE"/>
    <w:rsid w:val="003F7F51"/>
    <w:rsid w:val="004000E8"/>
    <w:rsid w:val="00400664"/>
    <w:rsid w:val="00401ACA"/>
    <w:rsid w:val="00401CEA"/>
    <w:rsid w:val="00402058"/>
    <w:rsid w:val="00402DCF"/>
    <w:rsid w:val="00402E2B"/>
    <w:rsid w:val="004035E4"/>
    <w:rsid w:val="00404835"/>
    <w:rsid w:val="0040498B"/>
    <w:rsid w:val="0040512B"/>
    <w:rsid w:val="004052E5"/>
    <w:rsid w:val="00405CA5"/>
    <w:rsid w:val="00405F23"/>
    <w:rsid w:val="00406CB3"/>
    <w:rsid w:val="00407C5F"/>
    <w:rsid w:val="00407CD3"/>
    <w:rsid w:val="00407D10"/>
    <w:rsid w:val="00410134"/>
    <w:rsid w:val="00410B72"/>
    <w:rsid w:val="00410F18"/>
    <w:rsid w:val="00410FAD"/>
    <w:rsid w:val="00411000"/>
    <w:rsid w:val="00411D71"/>
    <w:rsid w:val="00412045"/>
    <w:rsid w:val="0041263E"/>
    <w:rsid w:val="00412EBB"/>
    <w:rsid w:val="00413454"/>
    <w:rsid w:val="00413692"/>
    <w:rsid w:val="004139D9"/>
    <w:rsid w:val="00413AAC"/>
    <w:rsid w:val="00413E92"/>
    <w:rsid w:val="0041523C"/>
    <w:rsid w:val="00415DFC"/>
    <w:rsid w:val="00415F50"/>
    <w:rsid w:val="004160E7"/>
    <w:rsid w:val="004167D7"/>
    <w:rsid w:val="00416A98"/>
    <w:rsid w:val="00417191"/>
    <w:rsid w:val="00420317"/>
    <w:rsid w:val="004203AB"/>
    <w:rsid w:val="0042051A"/>
    <w:rsid w:val="00421105"/>
    <w:rsid w:val="004223AC"/>
    <w:rsid w:val="00424211"/>
    <w:rsid w:val="004242F4"/>
    <w:rsid w:val="00425B88"/>
    <w:rsid w:val="00427248"/>
    <w:rsid w:val="00427572"/>
    <w:rsid w:val="00427620"/>
    <w:rsid w:val="00427629"/>
    <w:rsid w:val="004276D1"/>
    <w:rsid w:val="00431973"/>
    <w:rsid w:val="0043252F"/>
    <w:rsid w:val="00432AC8"/>
    <w:rsid w:val="0043408E"/>
    <w:rsid w:val="00435E43"/>
    <w:rsid w:val="00435FEB"/>
    <w:rsid w:val="00436CF8"/>
    <w:rsid w:val="00437447"/>
    <w:rsid w:val="00437D2D"/>
    <w:rsid w:val="00437DA4"/>
    <w:rsid w:val="004413C3"/>
    <w:rsid w:val="004416D8"/>
    <w:rsid w:val="00441A92"/>
    <w:rsid w:val="00443897"/>
    <w:rsid w:val="004441AE"/>
    <w:rsid w:val="00444F56"/>
    <w:rsid w:val="00446488"/>
    <w:rsid w:val="00446D86"/>
    <w:rsid w:val="0044780B"/>
    <w:rsid w:val="00447CAE"/>
    <w:rsid w:val="00450337"/>
    <w:rsid w:val="004513DD"/>
    <w:rsid w:val="00451774"/>
    <w:rsid w:val="004517AA"/>
    <w:rsid w:val="00452988"/>
    <w:rsid w:val="004529C7"/>
    <w:rsid w:val="00452B54"/>
    <w:rsid w:val="00452CAC"/>
    <w:rsid w:val="00452ECD"/>
    <w:rsid w:val="00454242"/>
    <w:rsid w:val="004553E5"/>
    <w:rsid w:val="0045553D"/>
    <w:rsid w:val="0045569A"/>
    <w:rsid w:val="00455AF1"/>
    <w:rsid w:val="00455BAA"/>
    <w:rsid w:val="0045600C"/>
    <w:rsid w:val="00456AF1"/>
    <w:rsid w:val="00456EC0"/>
    <w:rsid w:val="00456EDB"/>
    <w:rsid w:val="00457565"/>
    <w:rsid w:val="004575A7"/>
    <w:rsid w:val="00457B71"/>
    <w:rsid w:val="00460C7F"/>
    <w:rsid w:val="0046181F"/>
    <w:rsid w:val="00463066"/>
    <w:rsid w:val="004635A0"/>
    <w:rsid w:val="00464003"/>
    <w:rsid w:val="004645BD"/>
    <w:rsid w:val="004652FD"/>
    <w:rsid w:val="0046534E"/>
    <w:rsid w:val="004659CF"/>
    <w:rsid w:val="004669E2"/>
    <w:rsid w:val="0046755E"/>
    <w:rsid w:val="00467573"/>
    <w:rsid w:val="00467FCF"/>
    <w:rsid w:val="00470C31"/>
    <w:rsid w:val="0047194C"/>
    <w:rsid w:val="004734D0"/>
    <w:rsid w:val="00474473"/>
    <w:rsid w:val="0047469F"/>
    <w:rsid w:val="004746E3"/>
    <w:rsid w:val="0047515E"/>
    <w:rsid w:val="0047556B"/>
    <w:rsid w:val="0047568A"/>
    <w:rsid w:val="00476DC7"/>
    <w:rsid w:val="00477768"/>
    <w:rsid w:val="00480006"/>
    <w:rsid w:val="00480779"/>
    <w:rsid w:val="004808AF"/>
    <w:rsid w:val="00480E14"/>
    <w:rsid w:val="00481E5F"/>
    <w:rsid w:val="00482612"/>
    <w:rsid w:val="00482B6D"/>
    <w:rsid w:val="004835F1"/>
    <w:rsid w:val="00483F9B"/>
    <w:rsid w:val="0048432B"/>
    <w:rsid w:val="0048464E"/>
    <w:rsid w:val="00484CE7"/>
    <w:rsid w:val="00485F2C"/>
    <w:rsid w:val="00486862"/>
    <w:rsid w:val="00486DE6"/>
    <w:rsid w:val="00487225"/>
    <w:rsid w:val="00487256"/>
    <w:rsid w:val="004874D0"/>
    <w:rsid w:val="00487C37"/>
    <w:rsid w:val="00490DE1"/>
    <w:rsid w:val="004914F8"/>
    <w:rsid w:val="00491624"/>
    <w:rsid w:val="00492BC5"/>
    <w:rsid w:val="00494F2B"/>
    <w:rsid w:val="00495973"/>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B08EB"/>
    <w:rsid w:val="004B0F34"/>
    <w:rsid w:val="004B236F"/>
    <w:rsid w:val="004B2B31"/>
    <w:rsid w:val="004B4D75"/>
    <w:rsid w:val="004B572C"/>
    <w:rsid w:val="004B5C2F"/>
    <w:rsid w:val="004B5D8E"/>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0C0"/>
    <w:rsid w:val="004D22F6"/>
    <w:rsid w:val="004D24D8"/>
    <w:rsid w:val="004D3697"/>
    <w:rsid w:val="004D36B1"/>
    <w:rsid w:val="004D38A9"/>
    <w:rsid w:val="004D3F54"/>
    <w:rsid w:val="004D555F"/>
    <w:rsid w:val="004D5B4A"/>
    <w:rsid w:val="004D6910"/>
    <w:rsid w:val="004D6AC5"/>
    <w:rsid w:val="004D761C"/>
    <w:rsid w:val="004D7EBD"/>
    <w:rsid w:val="004E0F4D"/>
    <w:rsid w:val="004E143B"/>
    <w:rsid w:val="004E1FAA"/>
    <w:rsid w:val="004E2680"/>
    <w:rsid w:val="004E28F9"/>
    <w:rsid w:val="004E31E8"/>
    <w:rsid w:val="004E462E"/>
    <w:rsid w:val="004E4E16"/>
    <w:rsid w:val="004E5334"/>
    <w:rsid w:val="004E56DC"/>
    <w:rsid w:val="004E5AF1"/>
    <w:rsid w:val="004E76F4"/>
    <w:rsid w:val="004E78BE"/>
    <w:rsid w:val="004F03F8"/>
    <w:rsid w:val="004F0B4E"/>
    <w:rsid w:val="004F0B6C"/>
    <w:rsid w:val="004F0E52"/>
    <w:rsid w:val="004F1DF4"/>
    <w:rsid w:val="004F2078"/>
    <w:rsid w:val="004F3A53"/>
    <w:rsid w:val="004F4DA3"/>
    <w:rsid w:val="004F5A97"/>
    <w:rsid w:val="004F6375"/>
    <w:rsid w:val="004F64CD"/>
    <w:rsid w:val="004F69DA"/>
    <w:rsid w:val="004F70C8"/>
    <w:rsid w:val="004F7183"/>
    <w:rsid w:val="004F7C46"/>
    <w:rsid w:val="004F7FE2"/>
    <w:rsid w:val="00500028"/>
    <w:rsid w:val="00500306"/>
    <w:rsid w:val="005012C2"/>
    <w:rsid w:val="00502F76"/>
    <w:rsid w:val="00503242"/>
    <w:rsid w:val="00505110"/>
    <w:rsid w:val="005058F7"/>
    <w:rsid w:val="00506557"/>
    <w:rsid w:val="005065C9"/>
    <w:rsid w:val="0050677A"/>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3561"/>
    <w:rsid w:val="0052475A"/>
    <w:rsid w:val="00525D52"/>
    <w:rsid w:val="00530643"/>
    <w:rsid w:val="0053177B"/>
    <w:rsid w:val="00531A22"/>
    <w:rsid w:val="00532167"/>
    <w:rsid w:val="00532D9C"/>
    <w:rsid w:val="00534B59"/>
    <w:rsid w:val="00536726"/>
    <w:rsid w:val="00536759"/>
    <w:rsid w:val="00536A2A"/>
    <w:rsid w:val="00536B1E"/>
    <w:rsid w:val="00537228"/>
    <w:rsid w:val="00537C62"/>
    <w:rsid w:val="00537EF4"/>
    <w:rsid w:val="00537F1A"/>
    <w:rsid w:val="005400A0"/>
    <w:rsid w:val="0054126D"/>
    <w:rsid w:val="00541A35"/>
    <w:rsid w:val="005424E6"/>
    <w:rsid w:val="00542BCE"/>
    <w:rsid w:val="005432BF"/>
    <w:rsid w:val="00543D55"/>
    <w:rsid w:val="00543FD9"/>
    <w:rsid w:val="0054469B"/>
    <w:rsid w:val="00544B59"/>
    <w:rsid w:val="00546970"/>
    <w:rsid w:val="00546B4D"/>
    <w:rsid w:val="00546E69"/>
    <w:rsid w:val="00550BC1"/>
    <w:rsid w:val="00552585"/>
    <w:rsid w:val="00552EC7"/>
    <w:rsid w:val="00553EAD"/>
    <w:rsid w:val="00554E19"/>
    <w:rsid w:val="00555B57"/>
    <w:rsid w:val="00555D41"/>
    <w:rsid w:val="00556E48"/>
    <w:rsid w:val="00557DA2"/>
    <w:rsid w:val="00560F67"/>
    <w:rsid w:val="0056121F"/>
    <w:rsid w:val="0056129B"/>
    <w:rsid w:val="00562DDD"/>
    <w:rsid w:val="00563E01"/>
    <w:rsid w:val="005642E1"/>
    <w:rsid w:val="005643CD"/>
    <w:rsid w:val="00564E60"/>
    <w:rsid w:val="00564F70"/>
    <w:rsid w:val="005653B8"/>
    <w:rsid w:val="005655E9"/>
    <w:rsid w:val="00565D3C"/>
    <w:rsid w:val="00566735"/>
    <w:rsid w:val="00567BFC"/>
    <w:rsid w:val="00567D93"/>
    <w:rsid w:val="0057098F"/>
    <w:rsid w:val="005710B2"/>
    <w:rsid w:val="0057126F"/>
    <w:rsid w:val="005712B0"/>
    <w:rsid w:val="00572439"/>
    <w:rsid w:val="00572505"/>
    <w:rsid w:val="005733A4"/>
    <w:rsid w:val="00574736"/>
    <w:rsid w:val="00575A2F"/>
    <w:rsid w:val="00575C66"/>
    <w:rsid w:val="00575E42"/>
    <w:rsid w:val="0057664C"/>
    <w:rsid w:val="0057683D"/>
    <w:rsid w:val="00577396"/>
    <w:rsid w:val="00577412"/>
    <w:rsid w:val="0057792A"/>
    <w:rsid w:val="00580B93"/>
    <w:rsid w:val="0058100A"/>
    <w:rsid w:val="00582809"/>
    <w:rsid w:val="00582886"/>
    <w:rsid w:val="00583916"/>
    <w:rsid w:val="00585321"/>
    <w:rsid w:val="00586233"/>
    <w:rsid w:val="00587725"/>
    <w:rsid w:val="0058798C"/>
    <w:rsid w:val="0058799F"/>
    <w:rsid w:val="005900FA"/>
    <w:rsid w:val="0059020C"/>
    <w:rsid w:val="0059087A"/>
    <w:rsid w:val="005935A4"/>
    <w:rsid w:val="005939E2"/>
    <w:rsid w:val="005948C2"/>
    <w:rsid w:val="00595DCA"/>
    <w:rsid w:val="005975B0"/>
    <w:rsid w:val="0059779B"/>
    <w:rsid w:val="0059779D"/>
    <w:rsid w:val="005A011C"/>
    <w:rsid w:val="005A035E"/>
    <w:rsid w:val="005A0DF4"/>
    <w:rsid w:val="005A0E12"/>
    <w:rsid w:val="005A19A7"/>
    <w:rsid w:val="005A209A"/>
    <w:rsid w:val="005A2139"/>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347"/>
    <w:rsid w:val="005C0A0D"/>
    <w:rsid w:val="005C1C7D"/>
    <w:rsid w:val="005C1CB3"/>
    <w:rsid w:val="005C20A7"/>
    <w:rsid w:val="005C39AC"/>
    <w:rsid w:val="005C5C7E"/>
    <w:rsid w:val="005C5E2E"/>
    <w:rsid w:val="005C6593"/>
    <w:rsid w:val="005C69DF"/>
    <w:rsid w:val="005C6E6B"/>
    <w:rsid w:val="005C74FB"/>
    <w:rsid w:val="005C7ACD"/>
    <w:rsid w:val="005C7DEF"/>
    <w:rsid w:val="005D06AD"/>
    <w:rsid w:val="005D0B62"/>
    <w:rsid w:val="005D11F8"/>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C8D"/>
    <w:rsid w:val="005E1EC3"/>
    <w:rsid w:val="005E385F"/>
    <w:rsid w:val="005E3BDB"/>
    <w:rsid w:val="005E401A"/>
    <w:rsid w:val="005E44DC"/>
    <w:rsid w:val="005E48D8"/>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3A6"/>
    <w:rsid w:val="005F743E"/>
    <w:rsid w:val="005F7E30"/>
    <w:rsid w:val="00600B48"/>
    <w:rsid w:val="0060283C"/>
    <w:rsid w:val="006039AD"/>
    <w:rsid w:val="006046A5"/>
    <w:rsid w:val="00604F14"/>
    <w:rsid w:val="00605419"/>
    <w:rsid w:val="00605901"/>
    <w:rsid w:val="00606272"/>
    <w:rsid w:val="006062C4"/>
    <w:rsid w:val="00606AE5"/>
    <w:rsid w:val="00610F1B"/>
    <w:rsid w:val="00611B83"/>
    <w:rsid w:val="00613257"/>
    <w:rsid w:val="0061342C"/>
    <w:rsid w:val="0061469B"/>
    <w:rsid w:val="006146CE"/>
    <w:rsid w:val="00614DD5"/>
    <w:rsid w:val="0061513A"/>
    <w:rsid w:val="00616F60"/>
    <w:rsid w:val="0061725C"/>
    <w:rsid w:val="00617D70"/>
    <w:rsid w:val="00620A71"/>
    <w:rsid w:val="00620D80"/>
    <w:rsid w:val="006218FB"/>
    <w:rsid w:val="00621940"/>
    <w:rsid w:val="00623301"/>
    <w:rsid w:val="006234A6"/>
    <w:rsid w:val="006234AC"/>
    <w:rsid w:val="00623A29"/>
    <w:rsid w:val="00623F75"/>
    <w:rsid w:val="00624245"/>
    <w:rsid w:val="0062427F"/>
    <w:rsid w:val="00624314"/>
    <w:rsid w:val="00624412"/>
    <w:rsid w:val="0062455D"/>
    <w:rsid w:val="00624E32"/>
    <w:rsid w:val="0062532C"/>
    <w:rsid w:val="00625DCE"/>
    <w:rsid w:val="00626EA2"/>
    <w:rsid w:val="00630001"/>
    <w:rsid w:val="00630942"/>
    <w:rsid w:val="006311B3"/>
    <w:rsid w:val="00632442"/>
    <w:rsid w:val="0063284C"/>
    <w:rsid w:val="00632B50"/>
    <w:rsid w:val="00632BE1"/>
    <w:rsid w:val="00632E33"/>
    <w:rsid w:val="00633502"/>
    <w:rsid w:val="0063366C"/>
    <w:rsid w:val="00634884"/>
    <w:rsid w:val="00634BA8"/>
    <w:rsid w:val="00636398"/>
    <w:rsid w:val="006368D3"/>
    <w:rsid w:val="006377EC"/>
    <w:rsid w:val="006409D3"/>
    <w:rsid w:val="0064151F"/>
    <w:rsid w:val="00641533"/>
    <w:rsid w:val="00641D12"/>
    <w:rsid w:val="00641F07"/>
    <w:rsid w:val="0064208D"/>
    <w:rsid w:val="00643475"/>
    <w:rsid w:val="00643542"/>
    <w:rsid w:val="0064396A"/>
    <w:rsid w:val="0064608A"/>
    <w:rsid w:val="0064624E"/>
    <w:rsid w:val="006478BF"/>
    <w:rsid w:val="00650AB9"/>
    <w:rsid w:val="00650DCF"/>
    <w:rsid w:val="00652BFB"/>
    <w:rsid w:val="00652DA0"/>
    <w:rsid w:val="0065316E"/>
    <w:rsid w:val="006536C1"/>
    <w:rsid w:val="00653EF5"/>
    <w:rsid w:val="00653FAD"/>
    <w:rsid w:val="0065448C"/>
    <w:rsid w:val="00655178"/>
    <w:rsid w:val="00655733"/>
    <w:rsid w:val="00655ACD"/>
    <w:rsid w:val="0065609F"/>
    <w:rsid w:val="00656A92"/>
    <w:rsid w:val="00656DDE"/>
    <w:rsid w:val="0066011D"/>
    <w:rsid w:val="006607C0"/>
    <w:rsid w:val="00660879"/>
    <w:rsid w:val="006613A6"/>
    <w:rsid w:val="0066199D"/>
    <w:rsid w:val="00661C2F"/>
    <w:rsid w:val="006627A2"/>
    <w:rsid w:val="00662F45"/>
    <w:rsid w:val="006634E6"/>
    <w:rsid w:val="0066377D"/>
    <w:rsid w:val="0066425B"/>
    <w:rsid w:val="00664954"/>
    <w:rsid w:val="006655EE"/>
    <w:rsid w:val="0066598E"/>
    <w:rsid w:val="00665A06"/>
    <w:rsid w:val="00667B9E"/>
    <w:rsid w:val="00667EE7"/>
    <w:rsid w:val="006700B5"/>
    <w:rsid w:val="0067086C"/>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6EB"/>
    <w:rsid w:val="00676D66"/>
    <w:rsid w:val="00676F11"/>
    <w:rsid w:val="00676FA0"/>
    <w:rsid w:val="006771F9"/>
    <w:rsid w:val="00677302"/>
    <w:rsid w:val="00677377"/>
    <w:rsid w:val="006776D7"/>
    <w:rsid w:val="00681003"/>
    <w:rsid w:val="006817C9"/>
    <w:rsid w:val="00682298"/>
    <w:rsid w:val="006824BA"/>
    <w:rsid w:val="006827A1"/>
    <w:rsid w:val="00682CA0"/>
    <w:rsid w:val="00683072"/>
    <w:rsid w:val="00683ECE"/>
    <w:rsid w:val="00685AED"/>
    <w:rsid w:val="00686494"/>
    <w:rsid w:val="00687865"/>
    <w:rsid w:val="0069055A"/>
    <w:rsid w:val="006915E7"/>
    <w:rsid w:val="00691672"/>
    <w:rsid w:val="00692374"/>
    <w:rsid w:val="00692537"/>
    <w:rsid w:val="0069409C"/>
    <w:rsid w:val="00695FC2"/>
    <w:rsid w:val="00696949"/>
    <w:rsid w:val="00696D26"/>
    <w:rsid w:val="00697013"/>
    <w:rsid w:val="00697052"/>
    <w:rsid w:val="006976F4"/>
    <w:rsid w:val="006A007F"/>
    <w:rsid w:val="006A12D1"/>
    <w:rsid w:val="006A35C0"/>
    <w:rsid w:val="006A46FB"/>
    <w:rsid w:val="006A5E28"/>
    <w:rsid w:val="006A697B"/>
    <w:rsid w:val="006A7AFF"/>
    <w:rsid w:val="006B115F"/>
    <w:rsid w:val="006B1816"/>
    <w:rsid w:val="006B2099"/>
    <w:rsid w:val="006B2249"/>
    <w:rsid w:val="006B2C74"/>
    <w:rsid w:val="006B45C2"/>
    <w:rsid w:val="006B50CF"/>
    <w:rsid w:val="006B5412"/>
    <w:rsid w:val="006B5C66"/>
    <w:rsid w:val="006B6928"/>
    <w:rsid w:val="006C03B8"/>
    <w:rsid w:val="006C0C69"/>
    <w:rsid w:val="006C1408"/>
    <w:rsid w:val="006C16B6"/>
    <w:rsid w:val="006C1DB4"/>
    <w:rsid w:val="006C23F3"/>
    <w:rsid w:val="006C49F2"/>
    <w:rsid w:val="006C5055"/>
    <w:rsid w:val="006C5CFC"/>
    <w:rsid w:val="006C5EC9"/>
    <w:rsid w:val="006C6059"/>
    <w:rsid w:val="006C692C"/>
    <w:rsid w:val="006C6949"/>
    <w:rsid w:val="006C7522"/>
    <w:rsid w:val="006C7E3E"/>
    <w:rsid w:val="006D1081"/>
    <w:rsid w:val="006D13F6"/>
    <w:rsid w:val="006D181A"/>
    <w:rsid w:val="006D1FDB"/>
    <w:rsid w:val="006D20BF"/>
    <w:rsid w:val="006D33E7"/>
    <w:rsid w:val="006D3C8D"/>
    <w:rsid w:val="006D4996"/>
    <w:rsid w:val="006D50EC"/>
    <w:rsid w:val="006D5270"/>
    <w:rsid w:val="006D59E9"/>
    <w:rsid w:val="006D5B2C"/>
    <w:rsid w:val="006D5D0F"/>
    <w:rsid w:val="006D5D9A"/>
    <w:rsid w:val="006D607B"/>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58D4"/>
    <w:rsid w:val="006F5AFE"/>
    <w:rsid w:val="006F5D53"/>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1157"/>
    <w:rsid w:val="00712287"/>
    <w:rsid w:val="00712772"/>
    <w:rsid w:val="0071340C"/>
    <w:rsid w:val="00713A70"/>
    <w:rsid w:val="00713AEA"/>
    <w:rsid w:val="00713CF6"/>
    <w:rsid w:val="00713D85"/>
    <w:rsid w:val="007148D3"/>
    <w:rsid w:val="007149CF"/>
    <w:rsid w:val="00715B9A"/>
    <w:rsid w:val="00716101"/>
    <w:rsid w:val="00716138"/>
    <w:rsid w:val="0071688C"/>
    <w:rsid w:val="00720277"/>
    <w:rsid w:val="00721049"/>
    <w:rsid w:val="0072126E"/>
    <w:rsid w:val="00721628"/>
    <w:rsid w:val="00721AE9"/>
    <w:rsid w:val="00721B50"/>
    <w:rsid w:val="00721B95"/>
    <w:rsid w:val="00722CD5"/>
    <w:rsid w:val="0072409B"/>
    <w:rsid w:val="0072441F"/>
    <w:rsid w:val="007249FC"/>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5F2"/>
    <w:rsid w:val="00740E58"/>
    <w:rsid w:val="007429B1"/>
    <w:rsid w:val="00742B6F"/>
    <w:rsid w:val="00742F37"/>
    <w:rsid w:val="00742FD1"/>
    <w:rsid w:val="00743630"/>
    <w:rsid w:val="00743BEC"/>
    <w:rsid w:val="007445A0"/>
    <w:rsid w:val="00744BD8"/>
    <w:rsid w:val="0074524B"/>
    <w:rsid w:val="007454A1"/>
    <w:rsid w:val="00745AFA"/>
    <w:rsid w:val="00747D8B"/>
    <w:rsid w:val="007504C4"/>
    <w:rsid w:val="00751228"/>
    <w:rsid w:val="00752976"/>
    <w:rsid w:val="00755CA0"/>
    <w:rsid w:val="00756DA9"/>
    <w:rsid w:val="007571E1"/>
    <w:rsid w:val="007573FE"/>
    <w:rsid w:val="007577B4"/>
    <w:rsid w:val="007604B2"/>
    <w:rsid w:val="007605F1"/>
    <w:rsid w:val="00760784"/>
    <w:rsid w:val="007612D1"/>
    <w:rsid w:val="00761BA4"/>
    <w:rsid w:val="00761E15"/>
    <w:rsid w:val="0076421C"/>
    <w:rsid w:val="00764375"/>
    <w:rsid w:val="00764A3B"/>
    <w:rsid w:val="00765281"/>
    <w:rsid w:val="00766ADD"/>
    <w:rsid w:val="00766BAD"/>
    <w:rsid w:val="007673DF"/>
    <w:rsid w:val="007700D2"/>
    <w:rsid w:val="00770F7C"/>
    <w:rsid w:val="0077113F"/>
    <w:rsid w:val="007711C8"/>
    <w:rsid w:val="00771B71"/>
    <w:rsid w:val="00771CA7"/>
    <w:rsid w:val="007725AC"/>
    <w:rsid w:val="007726CE"/>
    <w:rsid w:val="0077292E"/>
    <w:rsid w:val="00772D54"/>
    <w:rsid w:val="00772F7E"/>
    <w:rsid w:val="007748DE"/>
    <w:rsid w:val="00774F26"/>
    <w:rsid w:val="00775299"/>
    <w:rsid w:val="007755F2"/>
    <w:rsid w:val="00776416"/>
    <w:rsid w:val="00776971"/>
    <w:rsid w:val="00777CA3"/>
    <w:rsid w:val="0078177E"/>
    <w:rsid w:val="00781975"/>
    <w:rsid w:val="0078304C"/>
    <w:rsid w:val="00783393"/>
    <w:rsid w:val="00783673"/>
    <w:rsid w:val="007843D5"/>
    <w:rsid w:val="00785490"/>
    <w:rsid w:val="0078554D"/>
    <w:rsid w:val="00785E91"/>
    <w:rsid w:val="007868C0"/>
    <w:rsid w:val="007869BE"/>
    <w:rsid w:val="00787E00"/>
    <w:rsid w:val="007915CE"/>
    <w:rsid w:val="00791B4E"/>
    <w:rsid w:val="0079249E"/>
    <w:rsid w:val="007925EA"/>
    <w:rsid w:val="00792A8E"/>
    <w:rsid w:val="00793CD8"/>
    <w:rsid w:val="007946DD"/>
    <w:rsid w:val="00795151"/>
    <w:rsid w:val="007951D1"/>
    <w:rsid w:val="00795B22"/>
    <w:rsid w:val="00795C92"/>
    <w:rsid w:val="00795D6E"/>
    <w:rsid w:val="00796231"/>
    <w:rsid w:val="00797D34"/>
    <w:rsid w:val="007A0B89"/>
    <w:rsid w:val="007A0DF6"/>
    <w:rsid w:val="007A1068"/>
    <w:rsid w:val="007A16D8"/>
    <w:rsid w:val="007A1CB3"/>
    <w:rsid w:val="007A306F"/>
    <w:rsid w:val="007A43A6"/>
    <w:rsid w:val="007A5473"/>
    <w:rsid w:val="007A58A6"/>
    <w:rsid w:val="007A5D82"/>
    <w:rsid w:val="007A6C76"/>
    <w:rsid w:val="007B05B3"/>
    <w:rsid w:val="007B0E7F"/>
    <w:rsid w:val="007B1ABB"/>
    <w:rsid w:val="007B2F1C"/>
    <w:rsid w:val="007B3D2D"/>
    <w:rsid w:val="007B3ECC"/>
    <w:rsid w:val="007B4560"/>
    <w:rsid w:val="007B4A11"/>
    <w:rsid w:val="007B4B5A"/>
    <w:rsid w:val="007B4F40"/>
    <w:rsid w:val="007B501F"/>
    <w:rsid w:val="007B50AE"/>
    <w:rsid w:val="007B51DF"/>
    <w:rsid w:val="007B58E0"/>
    <w:rsid w:val="007B5B53"/>
    <w:rsid w:val="007B5ECD"/>
    <w:rsid w:val="007B69DC"/>
    <w:rsid w:val="007C05DD"/>
    <w:rsid w:val="007C0D65"/>
    <w:rsid w:val="007C1AB8"/>
    <w:rsid w:val="007C232B"/>
    <w:rsid w:val="007C25C7"/>
    <w:rsid w:val="007C3319"/>
    <w:rsid w:val="007C3D18"/>
    <w:rsid w:val="007C4656"/>
    <w:rsid w:val="007C4CF2"/>
    <w:rsid w:val="007C60BF"/>
    <w:rsid w:val="007C6531"/>
    <w:rsid w:val="007C6A07"/>
    <w:rsid w:val="007C75A1"/>
    <w:rsid w:val="007C77A5"/>
    <w:rsid w:val="007C7BC8"/>
    <w:rsid w:val="007D04E5"/>
    <w:rsid w:val="007D0BD6"/>
    <w:rsid w:val="007D1E2F"/>
    <w:rsid w:val="007D1E8B"/>
    <w:rsid w:val="007D3009"/>
    <w:rsid w:val="007D3017"/>
    <w:rsid w:val="007D31FC"/>
    <w:rsid w:val="007D5799"/>
    <w:rsid w:val="007D5901"/>
    <w:rsid w:val="007D607D"/>
    <w:rsid w:val="007D66D4"/>
    <w:rsid w:val="007D6726"/>
    <w:rsid w:val="007D7228"/>
    <w:rsid w:val="007D7526"/>
    <w:rsid w:val="007D7C25"/>
    <w:rsid w:val="007E02E4"/>
    <w:rsid w:val="007E0630"/>
    <w:rsid w:val="007E1487"/>
    <w:rsid w:val="007E2608"/>
    <w:rsid w:val="007E27DB"/>
    <w:rsid w:val="007E2A54"/>
    <w:rsid w:val="007E4412"/>
    <w:rsid w:val="007E4610"/>
    <w:rsid w:val="007E4715"/>
    <w:rsid w:val="007E505B"/>
    <w:rsid w:val="007E5377"/>
    <w:rsid w:val="007E5EFF"/>
    <w:rsid w:val="007E7091"/>
    <w:rsid w:val="007E7F7C"/>
    <w:rsid w:val="007F007D"/>
    <w:rsid w:val="007F1ED7"/>
    <w:rsid w:val="007F22C6"/>
    <w:rsid w:val="007F2E47"/>
    <w:rsid w:val="007F3A50"/>
    <w:rsid w:val="007F439D"/>
    <w:rsid w:val="007F5108"/>
    <w:rsid w:val="007F7230"/>
    <w:rsid w:val="007F74E4"/>
    <w:rsid w:val="00800535"/>
    <w:rsid w:val="00800CCE"/>
    <w:rsid w:val="008018AA"/>
    <w:rsid w:val="00802055"/>
    <w:rsid w:val="00802D2F"/>
    <w:rsid w:val="008030E4"/>
    <w:rsid w:val="00803787"/>
    <w:rsid w:val="00803FAE"/>
    <w:rsid w:val="00804F20"/>
    <w:rsid w:val="008054EC"/>
    <w:rsid w:val="008055DC"/>
    <w:rsid w:val="0080605F"/>
    <w:rsid w:val="0080657E"/>
    <w:rsid w:val="00807786"/>
    <w:rsid w:val="00807ACB"/>
    <w:rsid w:val="00807C4C"/>
    <w:rsid w:val="00807D52"/>
    <w:rsid w:val="00807F20"/>
    <w:rsid w:val="00810A8E"/>
    <w:rsid w:val="00810FB2"/>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E6D"/>
    <w:rsid w:val="00821184"/>
    <w:rsid w:val="00821B84"/>
    <w:rsid w:val="00821CB8"/>
    <w:rsid w:val="00822515"/>
    <w:rsid w:val="008235DB"/>
    <w:rsid w:val="00823B06"/>
    <w:rsid w:val="008243DB"/>
    <w:rsid w:val="008249FB"/>
    <w:rsid w:val="00824AB4"/>
    <w:rsid w:val="00824B7D"/>
    <w:rsid w:val="008250ED"/>
    <w:rsid w:val="00825284"/>
    <w:rsid w:val="008253C4"/>
    <w:rsid w:val="00825C42"/>
    <w:rsid w:val="00825D25"/>
    <w:rsid w:val="00825E64"/>
    <w:rsid w:val="00827642"/>
    <w:rsid w:val="00827A23"/>
    <w:rsid w:val="00827D6F"/>
    <w:rsid w:val="008302D7"/>
    <w:rsid w:val="00831863"/>
    <w:rsid w:val="008324CD"/>
    <w:rsid w:val="00832AE8"/>
    <w:rsid w:val="00832C6C"/>
    <w:rsid w:val="00833F09"/>
    <w:rsid w:val="008340C7"/>
    <w:rsid w:val="00834348"/>
    <w:rsid w:val="0083439C"/>
    <w:rsid w:val="008352AD"/>
    <w:rsid w:val="0083556C"/>
    <w:rsid w:val="008358E8"/>
    <w:rsid w:val="008376AC"/>
    <w:rsid w:val="00837B4D"/>
    <w:rsid w:val="008412EA"/>
    <w:rsid w:val="00841660"/>
    <w:rsid w:val="0084355D"/>
    <w:rsid w:val="008444E8"/>
    <w:rsid w:val="0084481A"/>
    <w:rsid w:val="00844E80"/>
    <w:rsid w:val="00845754"/>
    <w:rsid w:val="00845EC0"/>
    <w:rsid w:val="008467E3"/>
    <w:rsid w:val="00846B02"/>
    <w:rsid w:val="00846CEA"/>
    <w:rsid w:val="00846FE7"/>
    <w:rsid w:val="00847682"/>
    <w:rsid w:val="00847903"/>
    <w:rsid w:val="00852AF5"/>
    <w:rsid w:val="00852F94"/>
    <w:rsid w:val="00853286"/>
    <w:rsid w:val="00853FD9"/>
    <w:rsid w:val="008550FC"/>
    <w:rsid w:val="008561D0"/>
    <w:rsid w:val="00856866"/>
    <w:rsid w:val="00856911"/>
    <w:rsid w:val="00856BFA"/>
    <w:rsid w:val="0085720B"/>
    <w:rsid w:val="00857276"/>
    <w:rsid w:val="00857F50"/>
    <w:rsid w:val="00860D88"/>
    <w:rsid w:val="008617E4"/>
    <w:rsid w:val="0086318D"/>
    <w:rsid w:val="0086347D"/>
    <w:rsid w:val="008643E6"/>
    <w:rsid w:val="008647DF"/>
    <w:rsid w:val="00865AE3"/>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3C2"/>
    <w:rsid w:val="008764B0"/>
    <w:rsid w:val="00876932"/>
    <w:rsid w:val="00876994"/>
    <w:rsid w:val="00876B4D"/>
    <w:rsid w:val="00876CE3"/>
    <w:rsid w:val="0087700C"/>
    <w:rsid w:val="0087701B"/>
    <w:rsid w:val="00877F18"/>
    <w:rsid w:val="00880032"/>
    <w:rsid w:val="0088030B"/>
    <w:rsid w:val="00880EFC"/>
    <w:rsid w:val="0088139C"/>
    <w:rsid w:val="00881614"/>
    <w:rsid w:val="0088205D"/>
    <w:rsid w:val="00882393"/>
    <w:rsid w:val="00885B0E"/>
    <w:rsid w:val="00885BD5"/>
    <w:rsid w:val="00887637"/>
    <w:rsid w:val="00890223"/>
    <w:rsid w:val="00891A15"/>
    <w:rsid w:val="00891C3C"/>
    <w:rsid w:val="00891C82"/>
    <w:rsid w:val="00892165"/>
    <w:rsid w:val="0089292C"/>
    <w:rsid w:val="00892F30"/>
    <w:rsid w:val="008931A2"/>
    <w:rsid w:val="00893365"/>
    <w:rsid w:val="00893442"/>
    <w:rsid w:val="00894A88"/>
    <w:rsid w:val="00895386"/>
    <w:rsid w:val="0089561B"/>
    <w:rsid w:val="00895AD2"/>
    <w:rsid w:val="00895EAC"/>
    <w:rsid w:val="008967C3"/>
    <w:rsid w:val="008968B5"/>
    <w:rsid w:val="00896DA4"/>
    <w:rsid w:val="00897469"/>
    <w:rsid w:val="00897B38"/>
    <w:rsid w:val="00897E0A"/>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A7BDC"/>
    <w:rsid w:val="008A7D8F"/>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58A"/>
    <w:rsid w:val="008B7997"/>
    <w:rsid w:val="008B7B5C"/>
    <w:rsid w:val="008C0B84"/>
    <w:rsid w:val="008C0C99"/>
    <w:rsid w:val="008C0D2D"/>
    <w:rsid w:val="008C1C91"/>
    <w:rsid w:val="008C2017"/>
    <w:rsid w:val="008C314A"/>
    <w:rsid w:val="008C4958"/>
    <w:rsid w:val="008C4B24"/>
    <w:rsid w:val="008C4BA6"/>
    <w:rsid w:val="008C4BAA"/>
    <w:rsid w:val="008C54B7"/>
    <w:rsid w:val="008C5B10"/>
    <w:rsid w:val="008C5EF1"/>
    <w:rsid w:val="008C6206"/>
    <w:rsid w:val="008C62BD"/>
    <w:rsid w:val="008C6AE8"/>
    <w:rsid w:val="008C6C9F"/>
    <w:rsid w:val="008C7573"/>
    <w:rsid w:val="008D0D79"/>
    <w:rsid w:val="008D1668"/>
    <w:rsid w:val="008D1FC8"/>
    <w:rsid w:val="008D269F"/>
    <w:rsid w:val="008D34F1"/>
    <w:rsid w:val="008D39D8"/>
    <w:rsid w:val="008D3D25"/>
    <w:rsid w:val="008D560F"/>
    <w:rsid w:val="008D68BC"/>
    <w:rsid w:val="008D6D1A"/>
    <w:rsid w:val="008E065E"/>
    <w:rsid w:val="008E0927"/>
    <w:rsid w:val="008E10EA"/>
    <w:rsid w:val="008E16ED"/>
    <w:rsid w:val="008E1909"/>
    <w:rsid w:val="008E1990"/>
    <w:rsid w:val="008E2426"/>
    <w:rsid w:val="008E45FC"/>
    <w:rsid w:val="008E4D7C"/>
    <w:rsid w:val="008E56A4"/>
    <w:rsid w:val="008E645B"/>
    <w:rsid w:val="008E6620"/>
    <w:rsid w:val="008E6B42"/>
    <w:rsid w:val="008F0CC9"/>
    <w:rsid w:val="008F0DA9"/>
    <w:rsid w:val="008F159A"/>
    <w:rsid w:val="008F1EAB"/>
    <w:rsid w:val="008F2432"/>
    <w:rsid w:val="008F2D7E"/>
    <w:rsid w:val="008F33DC"/>
    <w:rsid w:val="008F39DD"/>
    <w:rsid w:val="008F3FBF"/>
    <w:rsid w:val="008F42F9"/>
    <w:rsid w:val="008F477F"/>
    <w:rsid w:val="008F4C8F"/>
    <w:rsid w:val="00900A7E"/>
    <w:rsid w:val="00900FA3"/>
    <w:rsid w:val="00902350"/>
    <w:rsid w:val="00902696"/>
    <w:rsid w:val="00902A4F"/>
    <w:rsid w:val="0090336B"/>
    <w:rsid w:val="00903A14"/>
    <w:rsid w:val="009053AA"/>
    <w:rsid w:val="0090559C"/>
    <w:rsid w:val="0090574A"/>
    <w:rsid w:val="009061E2"/>
    <w:rsid w:val="00906939"/>
    <w:rsid w:val="00907EBB"/>
    <w:rsid w:val="00910A74"/>
    <w:rsid w:val="00910B7D"/>
    <w:rsid w:val="00911C5D"/>
    <w:rsid w:val="00911DFB"/>
    <w:rsid w:val="00913325"/>
    <w:rsid w:val="009138FB"/>
    <w:rsid w:val="009139D9"/>
    <w:rsid w:val="00913E19"/>
    <w:rsid w:val="0091432C"/>
    <w:rsid w:val="00914AD8"/>
    <w:rsid w:val="00915297"/>
    <w:rsid w:val="0091538F"/>
    <w:rsid w:val="00916079"/>
    <w:rsid w:val="00917170"/>
    <w:rsid w:val="00917CE9"/>
    <w:rsid w:val="00917F53"/>
    <w:rsid w:val="00920BF2"/>
    <w:rsid w:val="00921D86"/>
    <w:rsid w:val="00922010"/>
    <w:rsid w:val="009231A6"/>
    <w:rsid w:val="0092347D"/>
    <w:rsid w:val="00924B46"/>
    <w:rsid w:val="0092645C"/>
    <w:rsid w:val="00927D85"/>
    <w:rsid w:val="009305EA"/>
    <w:rsid w:val="009306E7"/>
    <w:rsid w:val="00931196"/>
    <w:rsid w:val="00931BD9"/>
    <w:rsid w:val="00932336"/>
    <w:rsid w:val="0093233C"/>
    <w:rsid w:val="00933142"/>
    <w:rsid w:val="009344A2"/>
    <w:rsid w:val="009347A8"/>
    <w:rsid w:val="00934C28"/>
    <w:rsid w:val="009368F3"/>
    <w:rsid w:val="0093694D"/>
    <w:rsid w:val="00936D4E"/>
    <w:rsid w:val="00937628"/>
    <w:rsid w:val="00941636"/>
    <w:rsid w:val="009417B3"/>
    <w:rsid w:val="0094248C"/>
    <w:rsid w:val="00943272"/>
    <w:rsid w:val="00943742"/>
    <w:rsid w:val="009447A9"/>
    <w:rsid w:val="00944B7A"/>
    <w:rsid w:val="00944E39"/>
    <w:rsid w:val="00945C05"/>
    <w:rsid w:val="00945C46"/>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574F2"/>
    <w:rsid w:val="009601EC"/>
    <w:rsid w:val="00960CF6"/>
    <w:rsid w:val="00960F58"/>
    <w:rsid w:val="009610A5"/>
    <w:rsid w:val="00961921"/>
    <w:rsid w:val="00962AFA"/>
    <w:rsid w:val="009632C7"/>
    <w:rsid w:val="0096430A"/>
    <w:rsid w:val="00964B5A"/>
    <w:rsid w:val="00964C3B"/>
    <w:rsid w:val="0096554B"/>
    <w:rsid w:val="0096584A"/>
    <w:rsid w:val="00965A7E"/>
    <w:rsid w:val="00965AED"/>
    <w:rsid w:val="009672D2"/>
    <w:rsid w:val="00967990"/>
    <w:rsid w:val="00971626"/>
    <w:rsid w:val="00971F08"/>
    <w:rsid w:val="00972DBF"/>
    <w:rsid w:val="00972DC9"/>
    <w:rsid w:val="00973C82"/>
    <w:rsid w:val="00973D68"/>
    <w:rsid w:val="009756EE"/>
    <w:rsid w:val="00975E3B"/>
    <w:rsid w:val="0097603D"/>
    <w:rsid w:val="0097621C"/>
    <w:rsid w:val="00976949"/>
    <w:rsid w:val="009770BA"/>
    <w:rsid w:val="00980035"/>
    <w:rsid w:val="00980477"/>
    <w:rsid w:val="009806B1"/>
    <w:rsid w:val="0098257B"/>
    <w:rsid w:val="009826A4"/>
    <w:rsid w:val="009828BD"/>
    <w:rsid w:val="00982CD5"/>
    <w:rsid w:val="009843F3"/>
    <w:rsid w:val="00985089"/>
    <w:rsid w:val="00985253"/>
    <w:rsid w:val="009853B3"/>
    <w:rsid w:val="009856A8"/>
    <w:rsid w:val="009857BB"/>
    <w:rsid w:val="00985C79"/>
    <w:rsid w:val="00986B00"/>
    <w:rsid w:val="0098738F"/>
    <w:rsid w:val="00987F98"/>
    <w:rsid w:val="00990557"/>
    <w:rsid w:val="00990630"/>
    <w:rsid w:val="00990B98"/>
    <w:rsid w:val="00991761"/>
    <w:rsid w:val="0099237A"/>
    <w:rsid w:val="009926EC"/>
    <w:rsid w:val="00992A90"/>
    <w:rsid w:val="00993A85"/>
    <w:rsid w:val="0099426A"/>
    <w:rsid w:val="00994B72"/>
    <w:rsid w:val="00994DCA"/>
    <w:rsid w:val="009960EC"/>
    <w:rsid w:val="00996D7A"/>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CDE"/>
    <w:rsid w:val="009B1F30"/>
    <w:rsid w:val="009B2B7D"/>
    <w:rsid w:val="009B3611"/>
    <w:rsid w:val="009B3846"/>
    <w:rsid w:val="009B3AC2"/>
    <w:rsid w:val="009B3F2D"/>
    <w:rsid w:val="009B46F4"/>
    <w:rsid w:val="009B4C87"/>
    <w:rsid w:val="009B4DF4"/>
    <w:rsid w:val="009B4E01"/>
    <w:rsid w:val="009B564E"/>
    <w:rsid w:val="009B5C66"/>
    <w:rsid w:val="009B798F"/>
    <w:rsid w:val="009B7E87"/>
    <w:rsid w:val="009C0E03"/>
    <w:rsid w:val="009C2F60"/>
    <w:rsid w:val="009C326D"/>
    <w:rsid w:val="009C403E"/>
    <w:rsid w:val="009C44DC"/>
    <w:rsid w:val="009C5565"/>
    <w:rsid w:val="009C5E10"/>
    <w:rsid w:val="009C731D"/>
    <w:rsid w:val="009C762B"/>
    <w:rsid w:val="009D0713"/>
    <w:rsid w:val="009D0E0C"/>
    <w:rsid w:val="009D35C0"/>
    <w:rsid w:val="009D37F3"/>
    <w:rsid w:val="009D4FF0"/>
    <w:rsid w:val="009D5A44"/>
    <w:rsid w:val="009D703C"/>
    <w:rsid w:val="009D718F"/>
    <w:rsid w:val="009D7895"/>
    <w:rsid w:val="009E068F"/>
    <w:rsid w:val="009E06B2"/>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1983"/>
    <w:rsid w:val="009F344F"/>
    <w:rsid w:val="009F441D"/>
    <w:rsid w:val="009F7643"/>
    <w:rsid w:val="00A01D3A"/>
    <w:rsid w:val="00A01D53"/>
    <w:rsid w:val="00A0304B"/>
    <w:rsid w:val="00A031D8"/>
    <w:rsid w:val="00A03531"/>
    <w:rsid w:val="00A03D3B"/>
    <w:rsid w:val="00A0401C"/>
    <w:rsid w:val="00A04378"/>
    <w:rsid w:val="00A048A8"/>
    <w:rsid w:val="00A04988"/>
    <w:rsid w:val="00A04F49"/>
    <w:rsid w:val="00A051D2"/>
    <w:rsid w:val="00A05BD3"/>
    <w:rsid w:val="00A05D16"/>
    <w:rsid w:val="00A064DF"/>
    <w:rsid w:val="00A067DD"/>
    <w:rsid w:val="00A071BD"/>
    <w:rsid w:val="00A07E2D"/>
    <w:rsid w:val="00A109A1"/>
    <w:rsid w:val="00A11327"/>
    <w:rsid w:val="00A1284B"/>
    <w:rsid w:val="00A12999"/>
    <w:rsid w:val="00A12A39"/>
    <w:rsid w:val="00A12CE2"/>
    <w:rsid w:val="00A13367"/>
    <w:rsid w:val="00A13C00"/>
    <w:rsid w:val="00A13DAC"/>
    <w:rsid w:val="00A13E54"/>
    <w:rsid w:val="00A15219"/>
    <w:rsid w:val="00A15765"/>
    <w:rsid w:val="00A15892"/>
    <w:rsid w:val="00A17DBA"/>
    <w:rsid w:val="00A17F63"/>
    <w:rsid w:val="00A2170F"/>
    <w:rsid w:val="00A2193B"/>
    <w:rsid w:val="00A231A6"/>
    <w:rsid w:val="00A2351A"/>
    <w:rsid w:val="00A23BA4"/>
    <w:rsid w:val="00A24F7D"/>
    <w:rsid w:val="00A264A9"/>
    <w:rsid w:val="00A27785"/>
    <w:rsid w:val="00A27E0D"/>
    <w:rsid w:val="00A30187"/>
    <w:rsid w:val="00A30E31"/>
    <w:rsid w:val="00A3164E"/>
    <w:rsid w:val="00A31688"/>
    <w:rsid w:val="00A34005"/>
    <w:rsid w:val="00A3448A"/>
    <w:rsid w:val="00A34C7F"/>
    <w:rsid w:val="00A36029"/>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77E"/>
    <w:rsid w:val="00A45B74"/>
    <w:rsid w:val="00A46150"/>
    <w:rsid w:val="00A462A2"/>
    <w:rsid w:val="00A464A4"/>
    <w:rsid w:val="00A51904"/>
    <w:rsid w:val="00A520B5"/>
    <w:rsid w:val="00A52E1D"/>
    <w:rsid w:val="00A55AFD"/>
    <w:rsid w:val="00A563DD"/>
    <w:rsid w:val="00A57317"/>
    <w:rsid w:val="00A57C9D"/>
    <w:rsid w:val="00A57FE5"/>
    <w:rsid w:val="00A60C79"/>
    <w:rsid w:val="00A61499"/>
    <w:rsid w:val="00A6233E"/>
    <w:rsid w:val="00A62A77"/>
    <w:rsid w:val="00A62CBD"/>
    <w:rsid w:val="00A63483"/>
    <w:rsid w:val="00A63F04"/>
    <w:rsid w:val="00A6530D"/>
    <w:rsid w:val="00A657D7"/>
    <w:rsid w:val="00A659F2"/>
    <w:rsid w:val="00A660AC"/>
    <w:rsid w:val="00A66AF9"/>
    <w:rsid w:val="00A66E55"/>
    <w:rsid w:val="00A675C5"/>
    <w:rsid w:val="00A67664"/>
    <w:rsid w:val="00A67E6C"/>
    <w:rsid w:val="00A70632"/>
    <w:rsid w:val="00A71B99"/>
    <w:rsid w:val="00A724D6"/>
    <w:rsid w:val="00A7263E"/>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09E"/>
    <w:rsid w:val="00A8555A"/>
    <w:rsid w:val="00A85E7C"/>
    <w:rsid w:val="00A866A5"/>
    <w:rsid w:val="00A87427"/>
    <w:rsid w:val="00A87C5B"/>
    <w:rsid w:val="00A9099A"/>
    <w:rsid w:val="00A90C7C"/>
    <w:rsid w:val="00A92879"/>
    <w:rsid w:val="00A92BEC"/>
    <w:rsid w:val="00A92F39"/>
    <w:rsid w:val="00A93DF0"/>
    <w:rsid w:val="00A93EA4"/>
    <w:rsid w:val="00A9442A"/>
    <w:rsid w:val="00A94C5C"/>
    <w:rsid w:val="00A956D0"/>
    <w:rsid w:val="00A95ACB"/>
    <w:rsid w:val="00A95B80"/>
    <w:rsid w:val="00A96B42"/>
    <w:rsid w:val="00A97C01"/>
    <w:rsid w:val="00AA016F"/>
    <w:rsid w:val="00AA1ED6"/>
    <w:rsid w:val="00AA2E15"/>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AB8"/>
    <w:rsid w:val="00AB56A5"/>
    <w:rsid w:val="00AB645F"/>
    <w:rsid w:val="00AB655E"/>
    <w:rsid w:val="00AB6AF7"/>
    <w:rsid w:val="00AC007F"/>
    <w:rsid w:val="00AC2C74"/>
    <w:rsid w:val="00AC2ECD"/>
    <w:rsid w:val="00AC3119"/>
    <w:rsid w:val="00AC359D"/>
    <w:rsid w:val="00AC3E65"/>
    <w:rsid w:val="00AC424A"/>
    <w:rsid w:val="00AC4947"/>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1FB9"/>
    <w:rsid w:val="00AE23D8"/>
    <w:rsid w:val="00AE27AC"/>
    <w:rsid w:val="00AE2CAC"/>
    <w:rsid w:val="00AE2D06"/>
    <w:rsid w:val="00AE40E0"/>
    <w:rsid w:val="00AE42B2"/>
    <w:rsid w:val="00AE4DBA"/>
    <w:rsid w:val="00AE4F07"/>
    <w:rsid w:val="00AE63AB"/>
    <w:rsid w:val="00AE66BB"/>
    <w:rsid w:val="00AE728A"/>
    <w:rsid w:val="00AE74DE"/>
    <w:rsid w:val="00AE7BDB"/>
    <w:rsid w:val="00AF0508"/>
    <w:rsid w:val="00AF163B"/>
    <w:rsid w:val="00AF1787"/>
    <w:rsid w:val="00AF1C5D"/>
    <w:rsid w:val="00AF2B22"/>
    <w:rsid w:val="00AF3ECC"/>
    <w:rsid w:val="00AF42D7"/>
    <w:rsid w:val="00AF469B"/>
    <w:rsid w:val="00AF4BCC"/>
    <w:rsid w:val="00AF5FDE"/>
    <w:rsid w:val="00AF5FFB"/>
    <w:rsid w:val="00AF73F2"/>
    <w:rsid w:val="00AF7682"/>
    <w:rsid w:val="00AF78ED"/>
    <w:rsid w:val="00AF7B02"/>
    <w:rsid w:val="00AF7CAA"/>
    <w:rsid w:val="00B006FE"/>
    <w:rsid w:val="00B007CB"/>
    <w:rsid w:val="00B00A30"/>
    <w:rsid w:val="00B01B23"/>
    <w:rsid w:val="00B02AA9"/>
    <w:rsid w:val="00B02BF3"/>
    <w:rsid w:val="00B02C89"/>
    <w:rsid w:val="00B02FA3"/>
    <w:rsid w:val="00B03A3C"/>
    <w:rsid w:val="00B05084"/>
    <w:rsid w:val="00B054B4"/>
    <w:rsid w:val="00B0704A"/>
    <w:rsid w:val="00B07B7A"/>
    <w:rsid w:val="00B101E0"/>
    <w:rsid w:val="00B130C7"/>
    <w:rsid w:val="00B133D4"/>
    <w:rsid w:val="00B13851"/>
    <w:rsid w:val="00B15394"/>
    <w:rsid w:val="00B157F9"/>
    <w:rsid w:val="00B15D9E"/>
    <w:rsid w:val="00B15F8F"/>
    <w:rsid w:val="00B16563"/>
    <w:rsid w:val="00B173FE"/>
    <w:rsid w:val="00B20256"/>
    <w:rsid w:val="00B20D09"/>
    <w:rsid w:val="00B21270"/>
    <w:rsid w:val="00B23015"/>
    <w:rsid w:val="00B24636"/>
    <w:rsid w:val="00B2468A"/>
    <w:rsid w:val="00B24893"/>
    <w:rsid w:val="00B248B0"/>
    <w:rsid w:val="00B25016"/>
    <w:rsid w:val="00B25563"/>
    <w:rsid w:val="00B255D8"/>
    <w:rsid w:val="00B26318"/>
    <w:rsid w:val="00B2763F"/>
    <w:rsid w:val="00B27AAC"/>
    <w:rsid w:val="00B30247"/>
    <w:rsid w:val="00B30929"/>
    <w:rsid w:val="00B30FDE"/>
    <w:rsid w:val="00B31172"/>
    <w:rsid w:val="00B31295"/>
    <w:rsid w:val="00B316DB"/>
    <w:rsid w:val="00B319B7"/>
    <w:rsid w:val="00B32978"/>
    <w:rsid w:val="00B330E9"/>
    <w:rsid w:val="00B331B4"/>
    <w:rsid w:val="00B334CC"/>
    <w:rsid w:val="00B33A1D"/>
    <w:rsid w:val="00B33B54"/>
    <w:rsid w:val="00B33FE2"/>
    <w:rsid w:val="00B3432E"/>
    <w:rsid w:val="00B34FD4"/>
    <w:rsid w:val="00B372AA"/>
    <w:rsid w:val="00B37B82"/>
    <w:rsid w:val="00B37EE5"/>
    <w:rsid w:val="00B4013C"/>
    <w:rsid w:val="00B40445"/>
    <w:rsid w:val="00B40A39"/>
    <w:rsid w:val="00B41888"/>
    <w:rsid w:val="00B420FF"/>
    <w:rsid w:val="00B42A16"/>
    <w:rsid w:val="00B43349"/>
    <w:rsid w:val="00B434D4"/>
    <w:rsid w:val="00B45A52"/>
    <w:rsid w:val="00B46175"/>
    <w:rsid w:val="00B46996"/>
    <w:rsid w:val="00B47D5E"/>
    <w:rsid w:val="00B5126F"/>
    <w:rsid w:val="00B52102"/>
    <w:rsid w:val="00B533B8"/>
    <w:rsid w:val="00B53ECF"/>
    <w:rsid w:val="00B54B5D"/>
    <w:rsid w:val="00B54C8D"/>
    <w:rsid w:val="00B55E89"/>
    <w:rsid w:val="00B55EF3"/>
    <w:rsid w:val="00B57496"/>
    <w:rsid w:val="00B6038F"/>
    <w:rsid w:val="00B609C8"/>
    <w:rsid w:val="00B615DA"/>
    <w:rsid w:val="00B6238A"/>
    <w:rsid w:val="00B62464"/>
    <w:rsid w:val="00B6253B"/>
    <w:rsid w:val="00B62756"/>
    <w:rsid w:val="00B6329B"/>
    <w:rsid w:val="00B63F68"/>
    <w:rsid w:val="00B664C7"/>
    <w:rsid w:val="00B70061"/>
    <w:rsid w:val="00B709E6"/>
    <w:rsid w:val="00B717BF"/>
    <w:rsid w:val="00B72F63"/>
    <w:rsid w:val="00B73968"/>
    <w:rsid w:val="00B739F6"/>
    <w:rsid w:val="00B74E1E"/>
    <w:rsid w:val="00B74EB2"/>
    <w:rsid w:val="00B765B1"/>
    <w:rsid w:val="00B76F8E"/>
    <w:rsid w:val="00B77703"/>
    <w:rsid w:val="00B77E97"/>
    <w:rsid w:val="00B81A6C"/>
    <w:rsid w:val="00B82630"/>
    <w:rsid w:val="00B82D3C"/>
    <w:rsid w:val="00B8303C"/>
    <w:rsid w:val="00B83A8B"/>
    <w:rsid w:val="00B85DE5"/>
    <w:rsid w:val="00B8620A"/>
    <w:rsid w:val="00B869D5"/>
    <w:rsid w:val="00B86B0E"/>
    <w:rsid w:val="00B87522"/>
    <w:rsid w:val="00B90737"/>
    <w:rsid w:val="00B90F73"/>
    <w:rsid w:val="00B914B1"/>
    <w:rsid w:val="00B92B31"/>
    <w:rsid w:val="00B92EB5"/>
    <w:rsid w:val="00B93B59"/>
    <w:rsid w:val="00B9406A"/>
    <w:rsid w:val="00B94CD1"/>
    <w:rsid w:val="00B96135"/>
    <w:rsid w:val="00B962A5"/>
    <w:rsid w:val="00B966D4"/>
    <w:rsid w:val="00B969F5"/>
    <w:rsid w:val="00BA0D16"/>
    <w:rsid w:val="00BA131A"/>
    <w:rsid w:val="00BA149F"/>
    <w:rsid w:val="00BA1655"/>
    <w:rsid w:val="00BA203D"/>
    <w:rsid w:val="00BA2280"/>
    <w:rsid w:val="00BA2A08"/>
    <w:rsid w:val="00BA37AA"/>
    <w:rsid w:val="00BA56D2"/>
    <w:rsid w:val="00BA5AC8"/>
    <w:rsid w:val="00BA7506"/>
    <w:rsid w:val="00BA755A"/>
    <w:rsid w:val="00BA76E0"/>
    <w:rsid w:val="00BA7D94"/>
    <w:rsid w:val="00BB09DF"/>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6936"/>
    <w:rsid w:val="00BC7F70"/>
    <w:rsid w:val="00BD025D"/>
    <w:rsid w:val="00BD07EB"/>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366"/>
    <w:rsid w:val="00BE1234"/>
    <w:rsid w:val="00BE12E2"/>
    <w:rsid w:val="00BE1446"/>
    <w:rsid w:val="00BE2144"/>
    <w:rsid w:val="00BE2E9C"/>
    <w:rsid w:val="00BE2FA6"/>
    <w:rsid w:val="00BE333F"/>
    <w:rsid w:val="00BE3D21"/>
    <w:rsid w:val="00BE4C64"/>
    <w:rsid w:val="00BE5B0F"/>
    <w:rsid w:val="00BE5E49"/>
    <w:rsid w:val="00BE71F6"/>
    <w:rsid w:val="00BE7406"/>
    <w:rsid w:val="00BE7603"/>
    <w:rsid w:val="00BE7D47"/>
    <w:rsid w:val="00BF1596"/>
    <w:rsid w:val="00BF2FB5"/>
    <w:rsid w:val="00BF3279"/>
    <w:rsid w:val="00BF3C7F"/>
    <w:rsid w:val="00BF3DA1"/>
    <w:rsid w:val="00BF4ACC"/>
    <w:rsid w:val="00BF5835"/>
    <w:rsid w:val="00BF60DA"/>
    <w:rsid w:val="00BF71B9"/>
    <w:rsid w:val="00BF74C7"/>
    <w:rsid w:val="00C01402"/>
    <w:rsid w:val="00C015F1"/>
    <w:rsid w:val="00C01758"/>
    <w:rsid w:val="00C01F33"/>
    <w:rsid w:val="00C02B99"/>
    <w:rsid w:val="00C02CC6"/>
    <w:rsid w:val="00C040F7"/>
    <w:rsid w:val="00C044AB"/>
    <w:rsid w:val="00C044DB"/>
    <w:rsid w:val="00C045C4"/>
    <w:rsid w:val="00C0482C"/>
    <w:rsid w:val="00C05706"/>
    <w:rsid w:val="00C05DC1"/>
    <w:rsid w:val="00C05FFB"/>
    <w:rsid w:val="00C06285"/>
    <w:rsid w:val="00C069DD"/>
    <w:rsid w:val="00C07377"/>
    <w:rsid w:val="00C10121"/>
    <w:rsid w:val="00C10478"/>
    <w:rsid w:val="00C12107"/>
    <w:rsid w:val="00C12342"/>
    <w:rsid w:val="00C1283C"/>
    <w:rsid w:val="00C12AFA"/>
    <w:rsid w:val="00C13A48"/>
    <w:rsid w:val="00C13AE8"/>
    <w:rsid w:val="00C1408C"/>
    <w:rsid w:val="00C144C2"/>
    <w:rsid w:val="00C14590"/>
    <w:rsid w:val="00C14D4B"/>
    <w:rsid w:val="00C15049"/>
    <w:rsid w:val="00C15176"/>
    <w:rsid w:val="00C1522E"/>
    <w:rsid w:val="00C154BB"/>
    <w:rsid w:val="00C15637"/>
    <w:rsid w:val="00C15ABD"/>
    <w:rsid w:val="00C15FD6"/>
    <w:rsid w:val="00C202C0"/>
    <w:rsid w:val="00C20C98"/>
    <w:rsid w:val="00C21E99"/>
    <w:rsid w:val="00C228C8"/>
    <w:rsid w:val="00C22D53"/>
    <w:rsid w:val="00C23725"/>
    <w:rsid w:val="00C237D9"/>
    <w:rsid w:val="00C244DA"/>
    <w:rsid w:val="00C24EFA"/>
    <w:rsid w:val="00C24F9B"/>
    <w:rsid w:val="00C25746"/>
    <w:rsid w:val="00C264C2"/>
    <w:rsid w:val="00C27405"/>
    <w:rsid w:val="00C279B5"/>
    <w:rsid w:val="00C27C45"/>
    <w:rsid w:val="00C30260"/>
    <w:rsid w:val="00C30A2D"/>
    <w:rsid w:val="00C30B8F"/>
    <w:rsid w:val="00C31A38"/>
    <w:rsid w:val="00C3351A"/>
    <w:rsid w:val="00C3354C"/>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13A"/>
    <w:rsid w:val="00C47FDA"/>
    <w:rsid w:val="00C50824"/>
    <w:rsid w:val="00C516E0"/>
    <w:rsid w:val="00C51996"/>
    <w:rsid w:val="00C52487"/>
    <w:rsid w:val="00C524F7"/>
    <w:rsid w:val="00C52EE4"/>
    <w:rsid w:val="00C53DF7"/>
    <w:rsid w:val="00C5493C"/>
    <w:rsid w:val="00C54995"/>
    <w:rsid w:val="00C54D41"/>
    <w:rsid w:val="00C5532A"/>
    <w:rsid w:val="00C554CF"/>
    <w:rsid w:val="00C555AF"/>
    <w:rsid w:val="00C56F50"/>
    <w:rsid w:val="00C6056E"/>
    <w:rsid w:val="00C60783"/>
    <w:rsid w:val="00C61215"/>
    <w:rsid w:val="00C61714"/>
    <w:rsid w:val="00C62553"/>
    <w:rsid w:val="00C6306B"/>
    <w:rsid w:val="00C63A96"/>
    <w:rsid w:val="00C64672"/>
    <w:rsid w:val="00C64791"/>
    <w:rsid w:val="00C668EC"/>
    <w:rsid w:val="00C66B28"/>
    <w:rsid w:val="00C66C3F"/>
    <w:rsid w:val="00C67775"/>
    <w:rsid w:val="00C6781C"/>
    <w:rsid w:val="00C678F7"/>
    <w:rsid w:val="00C70628"/>
    <w:rsid w:val="00C70697"/>
    <w:rsid w:val="00C70C39"/>
    <w:rsid w:val="00C715DB"/>
    <w:rsid w:val="00C718BC"/>
    <w:rsid w:val="00C72735"/>
    <w:rsid w:val="00C72B36"/>
    <w:rsid w:val="00C72EF4"/>
    <w:rsid w:val="00C73B8D"/>
    <w:rsid w:val="00C73FF0"/>
    <w:rsid w:val="00C74077"/>
    <w:rsid w:val="00C740B7"/>
    <w:rsid w:val="00C75D2F"/>
    <w:rsid w:val="00C76759"/>
    <w:rsid w:val="00C767BE"/>
    <w:rsid w:val="00C76E3C"/>
    <w:rsid w:val="00C808E9"/>
    <w:rsid w:val="00C81568"/>
    <w:rsid w:val="00C81861"/>
    <w:rsid w:val="00C81A4A"/>
    <w:rsid w:val="00C82BB0"/>
    <w:rsid w:val="00C83147"/>
    <w:rsid w:val="00C84584"/>
    <w:rsid w:val="00C84B86"/>
    <w:rsid w:val="00C8500D"/>
    <w:rsid w:val="00C874E6"/>
    <w:rsid w:val="00C87EE9"/>
    <w:rsid w:val="00C9027A"/>
    <w:rsid w:val="00C9068E"/>
    <w:rsid w:val="00C92603"/>
    <w:rsid w:val="00C93599"/>
    <w:rsid w:val="00C9365E"/>
    <w:rsid w:val="00C93C4B"/>
    <w:rsid w:val="00C944AB"/>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A776B"/>
    <w:rsid w:val="00CA7FF5"/>
    <w:rsid w:val="00CB00AD"/>
    <w:rsid w:val="00CB18C1"/>
    <w:rsid w:val="00CB1EDB"/>
    <w:rsid w:val="00CB1F63"/>
    <w:rsid w:val="00CB3275"/>
    <w:rsid w:val="00CB3778"/>
    <w:rsid w:val="00CB4738"/>
    <w:rsid w:val="00CB568E"/>
    <w:rsid w:val="00CB5C56"/>
    <w:rsid w:val="00CB6433"/>
    <w:rsid w:val="00CB66F5"/>
    <w:rsid w:val="00CB7170"/>
    <w:rsid w:val="00CB71BD"/>
    <w:rsid w:val="00CB785D"/>
    <w:rsid w:val="00CB799E"/>
    <w:rsid w:val="00CB7ADF"/>
    <w:rsid w:val="00CB7EE9"/>
    <w:rsid w:val="00CC03D0"/>
    <w:rsid w:val="00CC040E"/>
    <w:rsid w:val="00CC0B3C"/>
    <w:rsid w:val="00CC1040"/>
    <w:rsid w:val="00CC111F"/>
    <w:rsid w:val="00CC2011"/>
    <w:rsid w:val="00CC3EA0"/>
    <w:rsid w:val="00CC4601"/>
    <w:rsid w:val="00CC5F2D"/>
    <w:rsid w:val="00CC7B45"/>
    <w:rsid w:val="00CD1188"/>
    <w:rsid w:val="00CD19CB"/>
    <w:rsid w:val="00CD201C"/>
    <w:rsid w:val="00CD2691"/>
    <w:rsid w:val="00CD28EA"/>
    <w:rsid w:val="00CD2ED1"/>
    <w:rsid w:val="00CD337B"/>
    <w:rsid w:val="00CD463E"/>
    <w:rsid w:val="00CD4FD6"/>
    <w:rsid w:val="00CD542A"/>
    <w:rsid w:val="00CD5C7A"/>
    <w:rsid w:val="00CE0086"/>
    <w:rsid w:val="00CE0424"/>
    <w:rsid w:val="00CE21B9"/>
    <w:rsid w:val="00CE33C5"/>
    <w:rsid w:val="00CE440C"/>
    <w:rsid w:val="00CE4EBA"/>
    <w:rsid w:val="00CE6069"/>
    <w:rsid w:val="00CE722E"/>
    <w:rsid w:val="00CE7561"/>
    <w:rsid w:val="00CE7C8E"/>
    <w:rsid w:val="00CF0526"/>
    <w:rsid w:val="00CF0635"/>
    <w:rsid w:val="00CF1354"/>
    <w:rsid w:val="00CF1E32"/>
    <w:rsid w:val="00CF3B1F"/>
    <w:rsid w:val="00CF3BF6"/>
    <w:rsid w:val="00CF3CEC"/>
    <w:rsid w:val="00CF5542"/>
    <w:rsid w:val="00CF57E5"/>
    <w:rsid w:val="00CF5A46"/>
    <w:rsid w:val="00CF5CAB"/>
    <w:rsid w:val="00CF625B"/>
    <w:rsid w:val="00CF687E"/>
    <w:rsid w:val="00CF7490"/>
    <w:rsid w:val="00CF7AC9"/>
    <w:rsid w:val="00D00D7D"/>
    <w:rsid w:val="00D014FD"/>
    <w:rsid w:val="00D0182F"/>
    <w:rsid w:val="00D02520"/>
    <w:rsid w:val="00D02C0E"/>
    <w:rsid w:val="00D0349B"/>
    <w:rsid w:val="00D06A03"/>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DA"/>
    <w:rsid w:val="00D17BDF"/>
    <w:rsid w:val="00D2108B"/>
    <w:rsid w:val="00D211A2"/>
    <w:rsid w:val="00D21692"/>
    <w:rsid w:val="00D22127"/>
    <w:rsid w:val="00D2232E"/>
    <w:rsid w:val="00D2339F"/>
    <w:rsid w:val="00D239A7"/>
    <w:rsid w:val="00D23F47"/>
    <w:rsid w:val="00D25216"/>
    <w:rsid w:val="00D25C57"/>
    <w:rsid w:val="00D272AE"/>
    <w:rsid w:val="00D317D7"/>
    <w:rsid w:val="00D31AE5"/>
    <w:rsid w:val="00D31CE2"/>
    <w:rsid w:val="00D32631"/>
    <w:rsid w:val="00D32F30"/>
    <w:rsid w:val="00D34123"/>
    <w:rsid w:val="00D34BA6"/>
    <w:rsid w:val="00D36E5C"/>
    <w:rsid w:val="00D36E71"/>
    <w:rsid w:val="00D377EC"/>
    <w:rsid w:val="00D37D87"/>
    <w:rsid w:val="00D40110"/>
    <w:rsid w:val="00D406DD"/>
    <w:rsid w:val="00D40A16"/>
    <w:rsid w:val="00D40A45"/>
    <w:rsid w:val="00D40B33"/>
    <w:rsid w:val="00D40CBF"/>
    <w:rsid w:val="00D41B46"/>
    <w:rsid w:val="00D429A8"/>
    <w:rsid w:val="00D4318F"/>
    <w:rsid w:val="00D431B6"/>
    <w:rsid w:val="00D438BF"/>
    <w:rsid w:val="00D43E89"/>
    <w:rsid w:val="00D43FC2"/>
    <w:rsid w:val="00D440F8"/>
    <w:rsid w:val="00D46091"/>
    <w:rsid w:val="00D46896"/>
    <w:rsid w:val="00D46DA5"/>
    <w:rsid w:val="00D46FCC"/>
    <w:rsid w:val="00D4769D"/>
    <w:rsid w:val="00D502E9"/>
    <w:rsid w:val="00D50534"/>
    <w:rsid w:val="00D50E85"/>
    <w:rsid w:val="00D51313"/>
    <w:rsid w:val="00D51873"/>
    <w:rsid w:val="00D51F39"/>
    <w:rsid w:val="00D52C36"/>
    <w:rsid w:val="00D530A2"/>
    <w:rsid w:val="00D532D0"/>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664B7"/>
    <w:rsid w:val="00D70174"/>
    <w:rsid w:val="00D708B0"/>
    <w:rsid w:val="00D70A04"/>
    <w:rsid w:val="00D71CFA"/>
    <w:rsid w:val="00D720D6"/>
    <w:rsid w:val="00D7218E"/>
    <w:rsid w:val="00D72243"/>
    <w:rsid w:val="00D730E5"/>
    <w:rsid w:val="00D73455"/>
    <w:rsid w:val="00D74063"/>
    <w:rsid w:val="00D74A25"/>
    <w:rsid w:val="00D7578C"/>
    <w:rsid w:val="00D75DD4"/>
    <w:rsid w:val="00D7627D"/>
    <w:rsid w:val="00D766C1"/>
    <w:rsid w:val="00D77407"/>
    <w:rsid w:val="00D77450"/>
    <w:rsid w:val="00D77926"/>
    <w:rsid w:val="00D77B1D"/>
    <w:rsid w:val="00D77EF5"/>
    <w:rsid w:val="00D8021F"/>
    <w:rsid w:val="00D80383"/>
    <w:rsid w:val="00D81FFD"/>
    <w:rsid w:val="00D821CE"/>
    <w:rsid w:val="00D823C6"/>
    <w:rsid w:val="00D83AAA"/>
    <w:rsid w:val="00D83E1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4E2"/>
    <w:rsid w:val="00D9453C"/>
    <w:rsid w:val="00D95C19"/>
    <w:rsid w:val="00D972E3"/>
    <w:rsid w:val="00D97590"/>
    <w:rsid w:val="00DA0D4E"/>
    <w:rsid w:val="00DA0FDC"/>
    <w:rsid w:val="00DA1B30"/>
    <w:rsid w:val="00DA27FA"/>
    <w:rsid w:val="00DA28D4"/>
    <w:rsid w:val="00DA2FE4"/>
    <w:rsid w:val="00DA305E"/>
    <w:rsid w:val="00DA4C4F"/>
    <w:rsid w:val="00DA5329"/>
    <w:rsid w:val="00DA5417"/>
    <w:rsid w:val="00DA5432"/>
    <w:rsid w:val="00DA5602"/>
    <w:rsid w:val="00DA56E8"/>
    <w:rsid w:val="00DA5AF7"/>
    <w:rsid w:val="00DA6DC8"/>
    <w:rsid w:val="00DA7B40"/>
    <w:rsid w:val="00DB03D2"/>
    <w:rsid w:val="00DB0A9F"/>
    <w:rsid w:val="00DB1361"/>
    <w:rsid w:val="00DB2D12"/>
    <w:rsid w:val="00DB3185"/>
    <w:rsid w:val="00DB32AB"/>
    <w:rsid w:val="00DB377D"/>
    <w:rsid w:val="00DB3C22"/>
    <w:rsid w:val="00DB3FD0"/>
    <w:rsid w:val="00DB404D"/>
    <w:rsid w:val="00DB5F1F"/>
    <w:rsid w:val="00DB679F"/>
    <w:rsid w:val="00DB74AC"/>
    <w:rsid w:val="00DB7680"/>
    <w:rsid w:val="00DB7F51"/>
    <w:rsid w:val="00DC06B9"/>
    <w:rsid w:val="00DC0F09"/>
    <w:rsid w:val="00DC120C"/>
    <w:rsid w:val="00DC137A"/>
    <w:rsid w:val="00DC2CB7"/>
    <w:rsid w:val="00DC2D36"/>
    <w:rsid w:val="00DC2D88"/>
    <w:rsid w:val="00DC3113"/>
    <w:rsid w:val="00DC489D"/>
    <w:rsid w:val="00DC53EF"/>
    <w:rsid w:val="00DC5BC1"/>
    <w:rsid w:val="00DC7EDF"/>
    <w:rsid w:val="00DD0DA3"/>
    <w:rsid w:val="00DD1315"/>
    <w:rsid w:val="00DD184D"/>
    <w:rsid w:val="00DD2063"/>
    <w:rsid w:val="00DD22BC"/>
    <w:rsid w:val="00DD3020"/>
    <w:rsid w:val="00DD444F"/>
    <w:rsid w:val="00DD56D7"/>
    <w:rsid w:val="00DD62C0"/>
    <w:rsid w:val="00DD7512"/>
    <w:rsid w:val="00DE06BE"/>
    <w:rsid w:val="00DE1399"/>
    <w:rsid w:val="00DE3A83"/>
    <w:rsid w:val="00DE3AB1"/>
    <w:rsid w:val="00DE3C29"/>
    <w:rsid w:val="00DE4A40"/>
    <w:rsid w:val="00DE4BA6"/>
    <w:rsid w:val="00DE5128"/>
    <w:rsid w:val="00DE5608"/>
    <w:rsid w:val="00DE58D0"/>
    <w:rsid w:val="00DE59D5"/>
    <w:rsid w:val="00DE5E1D"/>
    <w:rsid w:val="00DE654F"/>
    <w:rsid w:val="00DE6709"/>
    <w:rsid w:val="00DE6972"/>
    <w:rsid w:val="00DE6A6A"/>
    <w:rsid w:val="00DE7618"/>
    <w:rsid w:val="00DE774D"/>
    <w:rsid w:val="00DF0343"/>
    <w:rsid w:val="00DF0B6E"/>
    <w:rsid w:val="00DF15E0"/>
    <w:rsid w:val="00DF37A0"/>
    <w:rsid w:val="00DF4241"/>
    <w:rsid w:val="00DF691F"/>
    <w:rsid w:val="00DF6C09"/>
    <w:rsid w:val="00DF7192"/>
    <w:rsid w:val="00E003EA"/>
    <w:rsid w:val="00E0059D"/>
    <w:rsid w:val="00E01525"/>
    <w:rsid w:val="00E01A8F"/>
    <w:rsid w:val="00E02DD1"/>
    <w:rsid w:val="00E0393B"/>
    <w:rsid w:val="00E03C19"/>
    <w:rsid w:val="00E0461E"/>
    <w:rsid w:val="00E049D0"/>
    <w:rsid w:val="00E05F2B"/>
    <w:rsid w:val="00E06036"/>
    <w:rsid w:val="00E06046"/>
    <w:rsid w:val="00E062EF"/>
    <w:rsid w:val="00E067AA"/>
    <w:rsid w:val="00E06BB0"/>
    <w:rsid w:val="00E06CA4"/>
    <w:rsid w:val="00E06D30"/>
    <w:rsid w:val="00E07575"/>
    <w:rsid w:val="00E0789E"/>
    <w:rsid w:val="00E07909"/>
    <w:rsid w:val="00E07A51"/>
    <w:rsid w:val="00E105A6"/>
    <w:rsid w:val="00E10C47"/>
    <w:rsid w:val="00E110E7"/>
    <w:rsid w:val="00E113AA"/>
    <w:rsid w:val="00E1148A"/>
    <w:rsid w:val="00E11736"/>
    <w:rsid w:val="00E11B20"/>
    <w:rsid w:val="00E11DCC"/>
    <w:rsid w:val="00E13731"/>
    <w:rsid w:val="00E13E17"/>
    <w:rsid w:val="00E141DB"/>
    <w:rsid w:val="00E14DFB"/>
    <w:rsid w:val="00E15EEC"/>
    <w:rsid w:val="00E165D2"/>
    <w:rsid w:val="00E16AFA"/>
    <w:rsid w:val="00E17509"/>
    <w:rsid w:val="00E17A3D"/>
    <w:rsid w:val="00E17FA2"/>
    <w:rsid w:val="00E218DB"/>
    <w:rsid w:val="00E21AC1"/>
    <w:rsid w:val="00E22330"/>
    <w:rsid w:val="00E22410"/>
    <w:rsid w:val="00E24373"/>
    <w:rsid w:val="00E247E3"/>
    <w:rsid w:val="00E25748"/>
    <w:rsid w:val="00E25C86"/>
    <w:rsid w:val="00E2682A"/>
    <w:rsid w:val="00E26A6D"/>
    <w:rsid w:val="00E3044E"/>
    <w:rsid w:val="00E30B5A"/>
    <w:rsid w:val="00E31134"/>
    <w:rsid w:val="00E3123D"/>
    <w:rsid w:val="00E313D5"/>
    <w:rsid w:val="00E31461"/>
    <w:rsid w:val="00E31625"/>
    <w:rsid w:val="00E31CEF"/>
    <w:rsid w:val="00E31D43"/>
    <w:rsid w:val="00E325AF"/>
    <w:rsid w:val="00E32608"/>
    <w:rsid w:val="00E33452"/>
    <w:rsid w:val="00E34188"/>
    <w:rsid w:val="00E34B6E"/>
    <w:rsid w:val="00E34D5F"/>
    <w:rsid w:val="00E35559"/>
    <w:rsid w:val="00E3581C"/>
    <w:rsid w:val="00E35ABC"/>
    <w:rsid w:val="00E3723A"/>
    <w:rsid w:val="00E37824"/>
    <w:rsid w:val="00E37860"/>
    <w:rsid w:val="00E37E68"/>
    <w:rsid w:val="00E37FA2"/>
    <w:rsid w:val="00E412FC"/>
    <w:rsid w:val="00E42212"/>
    <w:rsid w:val="00E434B5"/>
    <w:rsid w:val="00E43E29"/>
    <w:rsid w:val="00E446F1"/>
    <w:rsid w:val="00E45D12"/>
    <w:rsid w:val="00E46886"/>
    <w:rsid w:val="00E46A57"/>
    <w:rsid w:val="00E47513"/>
    <w:rsid w:val="00E477D0"/>
    <w:rsid w:val="00E47AEF"/>
    <w:rsid w:val="00E47FE5"/>
    <w:rsid w:val="00E512E2"/>
    <w:rsid w:val="00E51E60"/>
    <w:rsid w:val="00E5226B"/>
    <w:rsid w:val="00E5261F"/>
    <w:rsid w:val="00E53B75"/>
    <w:rsid w:val="00E54E3B"/>
    <w:rsid w:val="00E5524C"/>
    <w:rsid w:val="00E557E1"/>
    <w:rsid w:val="00E55BA0"/>
    <w:rsid w:val="00E55F3E"/>
    <w:rsid w:val="00E57565"/>
    <w:rsid w:val="00E57805"/>
    <w:rsid w:val="00E6011E"/>
    <w:rsid w:val="00E60A05"/>
    <w:rsid w:val="00E6106A"/>
    <w:rsid w:val="00E614B8"/>
    <w:rsid w:val="00E61D41"/>
    <w:rsid w:val="00E62FEE"/>
    <w:rsid w:val="00E63838"/>
    <w:rsid w:val="00E64434"/>
    <w:rsid w:val="00E65C27"/>
    <w:rsid w:val="00E66210"/>
    <w:rsid w:val="00E66CBA"/>
    <w:rsid w:val="00E6749B"/>
    <w:rsid w:val="00E67C51"/>
    <w:rsid w:val="00E70446"/>
    <w:rsid w:val="00E71B71"/>
    <w:rsid w:val="00E7278F"/>
    <w:rsid w:val="00E72C4F"/>
    <w:rsid w:val="00E72EFC"/>
    <w:rsid w:val="00E73A73"/>
    <w:rsid w:val="00E7418E"/>
    <w:rsid w:val="00E74715"/>
    <w:rsid w:val="00E758EC"/>
    <w:rsid w:val="00E7788C"/>
    <w:rsid w:val="00E80985"/>
    <w:rsid w:val="00E80BFF"/>
    <w:rsid w:val="00E81D96"/>
    <w:rsid w:val="00E8234C"/>
    <w:rsid w:val="00E83AA9"/>
    <w:rsid w:val="00E8431C"/>
    <w:rsid w:val="00E85928"/>
    <w:rsid w:val="00E87822"/>
    <w:rsid w:val="00E90395"/>
    <w:rsid w:val="00E90985"/>
    <w:rsid w:val="00E90E49"/>
    <w:rsid w:val="00E91070"/>
    <w:rsid w:val="00E912C5"/>
    <w:rsid w:val="00E916EC"/>
    <w:rsid w:val="00E917F9"/>
    <w:rsid w:val="00E91B7D"/>
    <w:rsid w:val="00E92031"/>
    <w:rsid w:val="00E9291C"/>
    <w:rsid w:val="00E92E2D"/>
    <w:rsid w:val="00E92FC4"/>
    <w:rsid w:val="00E93FFE"/>
    <w:rsid w:val="00E941EB"/>
    <w:rsid w:val="00E94244"/>
    <w:rsid w:val="00E94341"/>
    <w:rsid w:val="00E94A68"/>
    <w:rsid w:val="00E94F8A"/>
    <w:rsid w:val="00E96B19"/>
    <w:rsid w:val="00E97663"/>
    <w:rsid w:val="00EA14AA"/>
    <w:rsid w:val="00EA22DB"/>
    <w:rsid w:val="00EA3A1A"/>
    <w:rsid w:val="00EA5E94"/>
    <w:rsid w:val="00EA6725"/>
    <w:rsid w:val="00EA7A41"/>
    <w:rsid w:val="00EB077B"/>
    <w:rsid w:val="00EB0CDB"/>
    <w:rsid w:val="00EB127D"/>
    <w:rsid w:val="00EB32A1"/>
    <w:rsid w:val="00EB35B7"/>
    <w:rsid w:val="00EB3C82"/>
    <w:rsid w:val="00EB4AB2"/>
    <w:rsid w:val="00EB4EA2"/>
    <w:rsid w:val="00EB4EF4"/>
    <w:rsid w:val="00EB50BE"/>
    <w:rsid w:val="00EB5158"/>
    <w:rsid w:val="00EB57FF"/>
    <w:rsid w:val="00EB6317"/>
    <w:rsid w:val="00EB7516"/>
    <w:rsid w:val="00EC06CC"/>
    <w:rsid w:val="00EC08EA"/>
    <w:rsid w:val="00EC0C64"/>
    <w:rsid w:val="00EC109F"/>
    <w:rsid w:val="00EC1529"/>
    <w:rsid w:val="00EC27C6"/>
    <w:rsid w:val="00EC2BDE"/>
    <w:rsid w:val="00EC30E6"/>
    <w:rsid w:val="00EC4207"/>
    <w:rsid w:val="00EC4284"/>
    <w:rsid w:val="00EC47E9"/>
    <w:rsid w:val="00EC5653"/>
    <w:rsid w:val="00EC5671"/>
    <w:rsid w:val="00EC5F81"/>
    <w:rsid w:val="00EC6DDD"/>
    <w:rsid w:val="00EC71CE"/>
    <w:rsid w:val="00EC7370"/>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83E"/>
    <w:rsid w:val="00EE1D54"/>
    <w:rsid w:val="00EE21D7"/>
    <w:rsid w:val="00EE260A"/>
    <w:rsid w:val="00EE28F4"/>
    <w:rsid w:val="00EE2CE8"/>
    <w:rsid w:val="00EE42C2"/>
    <w:rsid w:val="00EE5E99"/>
    <w:rsid w:val="00EF14DB"/>
    <w:rsid w:val="00EF18FE"/>
    <w:rsid w:val="00EF1EBB"/>
    <w:rsid w:val="00EF2322"/>
    <w:rsid w:val="00EF279B"/>
    <w:rsid w:val="00EF27D9"/>
    <w:rsid w:val="00EF449C"/>
    <w:rsid w:val="00EF456C"/>
    <w:rsid w:val="00EF47C0"/>
    <w:rsid w:val="00EF4BE7"/>
    <w:rsid w:val="00EF5787"/>
    <w:rsid w:val="00EF5816"/>
    <w:rsid w:val="00EF5894"/>
    <w:rsid w:val="00EF60D0"/>
    <w:rsid w:val="00EF718B"/>
    <w:rsid w:val="00EF7957"/>
    <w:rsid w:val="00EF7EFF"/>
    <w:rsid w:val="00F016C4"/>
    <w:rsid w:val="00F01760"/>
    <w:rsid w:val="00F01825"/>
    <w:rsid w:val="00F02098"/>
    <w:rsid w:val="00F036DB"/>
    <w:rsid w:val="00F03DD8"/>
    <w:rsid w:val="00F04F1C"/>
    <w:rsid w:val="00F05287"/>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49D0"/>
    <w:rsid w:val="00F157CD"/>
    <w:rsid w:val="00F15FA5"/>
    <w:rsid w:val="00F16CDF"/>
    <w:rsid w:val="00F17716"/>
    <w:rsid w:val="00F17B84"/>
    <w:rsid w:val="00F17EBF"/>
    <w:rsid w:val="00F207C2"/>
    <w:rsid w:val="00F2081A"/>
    <w:rsid w:val="00F209B7"/>
    <w:rsid w:val="00F210F2"/>
    <w:rsid w:val="00F213C5"/>
    <w:rsid w:val="00F2146B"/>
    <w:rsid w:val="00F21721"/>
    <w:rsid w:val="00F220EA"/>
    <w:rsid w:val="00F22323"/>
    <w:rsid w:val="00F22B02"/>
    <w:rsid w:val="00F22D23"/>
    <w:rsid w:val="00F2376F"/>
    <w:rsid w:val="00F243D8"/>
    <w:rsid w:val="00F25923"/>
    <w:rsid w:val="00F2742A"/>
    <w:rsid w:val="00F30099"/>
    <w:rsid w:val="00F301F6"/>
    <w:rsid w:val="00F30828"/>
    <w:rsid w:val="00F30B4E"/>
    <w:rsid w:val="00F313D6"/>
    <w:rsid w:val="00F316D1"/>
    <w:rsid w:val="00F33730"/>
    <w:rsid w:val="00F34CDA"/>
    <w:rsid w:val="00F3655E"/>
    <w:rsid w:val="00F36B6E"/>
    <w:rsid w:val="00F36D37"/>
    <w:rsid w:val="00F36FBA"/>
    <w:rsid w:val="00F37ACA"/>
    <w:rsid w:val="00F404AD"/>
    <w:rsid w:val="00F40F0C"/>
    <w:rsid w:val="00F4103D"/>
    <w:rsid w:val="00F41DCC"/>
    <w:rsid w:val="00F41ED1"/>
    <w:rsid w:val="00F42A2C"/>
    <w:rsid w:val="00F42CF5"/>
    <w:rsid w:val="00F43C59"/>
    <w:rsid w:val="00F4766C"/>
    <w:rsid w:val="00F47BDF"/>
    <w:rsid w:val="00F5060E"/>
    <w:rsid w:val="00F507D1"/>
    <w:rsid w:val="00F515EB"/>
    <w:rsid w:val="00F519CE"/>
    <w:rsid w:val="00F51ADA"/>
    <w:rsid w:val="00F51BBB"/>
    <w:rsid w:val="00F51CBA"/>
    <w:rsid w:val="00F53F24"/>
    <w:rsid w:val="00F54231"/>
    <w:rsid w:val="00F54328"/>
    <w:rsid w:val="00F549BC"/>
    <w:rsid w:val="00F54D57"/>
    <w:rsid w:val="00F554D8"/>
    <w:rsid w:val="00F55645"/>
    <w:rsid w:val="00F559B3"/>
    <w:rsid w:val="00F56007"/>
    <w:rsid w:val="00F567DD"/>
    <w:rsid w:val="00F568BA"/>
    <w:rsid w:val="00F5763B"/>
    <w:rsid w:val="00F603C6"/>
    <w:rsid w:val="00F60548"/>
    <w:rsid w:val="00F60644"/>
    <w:rsid w:val="00F6067B"/>
    <w:rsid w:val="00F607C5"/>
    <w:rsid w:val="00F60DEA"/>
    <w:rsid w:val="00F61A69"/>
    <w:rsid w:val="00F61E95"/>
    <w:rsid w:val="00F6302A"/>
    <w:rsid w:val="00F638CA"/>
    <w:rsid w:val="00F63EE5"/>
    <w:rsid w:val="00F64398"/>
    <w:rsid w:val="00F64A45"/>
    <w:rsid w:val="00F64C2B"/>
    <w:rsid w:val="00F651BE"/>
    <w:rsid w:val="00F65648"/>
    <w:rsid w:val="00F660DA"/>
    <w:rsid w:val="00F6771F"/>
    <w:rsid w:val="00F67867"/>
    <w:rsid w:val="00F67D4B"/>
    <w:rsid w:val="00F67F53"/>
    <w:rsid w:val="00F703BE"/>
    <w:rsid w:val="00F707C4"/>
    <w:rsid w:val="00F70DEB"/>
    <w:rsid w:val="00F710CF"/>
    <w:rsid w:val="00F71F69"/>
    <w:rsid w:val="00F728E1"/>
    <w:rsid w:val="00F72AFA"/>
    <w:rsid w:val="00F72B72"/>
    <w:rsid w:val="00F72B7D"/>
    <w:rsid w:val="00F73AD1"/>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0ED1"/>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5C7"/>
    <w:rsid w:val="00F97838"/>
    <w:rsid w:val="00F97945"/>
    <w:rsid w:val="00F97F9A"/>
    <w:rsid w:val="00FA0D1E"/>
    <w:rsid w:val="00FA18CB"/>
    <w:rsid w:val="00FA1B3F"/>
    <w:rsid w:val="00FA1C4C"/>
    <w:rsid w:val="00FA2369"/>
    <w:rsid w:val="00FA2725"/>
    <w:rsid w:val="00FA2BB3"/>
    <w:rsid w:val="00FA3AB8"/>
    <w:rsid w:val="00FA446D"/>
    <w:rsid w:val="00FA482E"/>
    <w:rsid w:val="00FA505D"/>
    <w:rsid w:val="00FA50EC"/>
    <w:rsid w:val="00FA56A6"/>
    <w:rsid w:val="00FA59E1"/>
    <w:rsid w:val="00FA5E76"/>
    <w:rsid w:val="00FA6045"/>
    <w:rsid w:val="00FA6713"/>
    <w:rsid w:val="00FA69B6"/>
    <w:rsid w:val="00FA6A21"/>
    <w:rsid w:val="00FA7105"/>
    <w:rsid w:val="00FA7B86"/>
    <w:rsid w:val="00FB05A8"/>
    <w:rsid w:val="00FB0910"/>
    <w:rsid w:val="00FB1326"/>
    <w:rsid w:val="00FB160D"/>
    <w:rsid w:val="00FB171D"/>
    <w:rsid w:val="00FB1C87"/>
    <w:rsid w:val="00FB2228"/>
    <w:rsid w:val="00FB248A"/>
    <w:rsid w:val="00FB3A43"/>
    <w:rsid w:val="00FB4C80"/>
    <w:rsid w:val="00FB4F24"/>
    <w:rsid w:val="00FB55CE"/>
    <w:rsid w:val="00FB6136"/>
    <w:rsid w:val="00FB6349"/>
    <w:rsid w:val="00FB6742"/>
    <w:rsid w:val="00FB6A6A"/>
    <w:rsid w:val="00FC12ED"/>
    <w:rsid w:val="00FC1BF3"/>
    <w:rsid w:val="00FC21FA"/>
    <w:rsid w:val="00FC2C56"/>
    <w:rsid w:val="00FC2CBE"/>
    <w:rsid w:val="00FC411E"/>
    <w:rsid w:val="00FC4594"/>
    <w:rsid w:val="00FC48C3"/>
    <w:rsid w:val="00FC49E6"/>
    <w:rsid w:val="00FC5152"/>
    <w:rsid w:val="00FC5172"/>
    <w:rsid w:val="00FC57AA"/>
    <w:rsid w:val="00FC6E7A"/>
    <w:rsid w:val="00FC7429"/>
    <w:rsid w:val="00FC7A0F"/>
    <w:rsid w:val="00FC7A7B"/>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694"/>
    <w:rsid w:val="00FE209C"/>
    <w:rsid w:val="00FE2365"/>
    <w:rsid w:val="00FE277A"/>
    <w:rsid w:val="00FE29FB"/>
    <w:rsid w:val="00FE37D7"/>
    <w:rsid w:val="00FE400F"/>
    <w:rsid w:val="00FE464A"/>
    <w:rsid w:val="00FE4712"/>
    <w:rsid w:val="00FE4C7B"/>
    <w:rsid w:val="00FE51BD"/>
    <w:rsid w:val="00FE7336"/>
    <w:rsid w:val="00FE787C"/>
    <w:rsid w:val="00FF116B"/>
    <w:rsid w:val="00FF2169"/>
    <w:rsid w:val="00FF2E90"/>
    <w:rsid w:val="00FF2FED"/>
    <w:rsid w:val="00FF3964"/>
    <w:rsid w:val="00FF3C97"/>
    <w:rsid w:val="00FF443D"/>
    <w:rsid w:val="00FF45A5"/>
    <w:rsid w:val="00FF4C0C"/>
    <w:rsid w:val="00FF4F59"/>
    <w:rsid w:val="00FF519D"/>
    <w:rsid w:val="00FF5C91"/>
    <w:rsid w:val="00FF5E62"/>
    <w:rsid w:val="00FF708C"/>
    <w:rsid w:val="00FF7C4E"/>
    <w:rsid w:val="19B40D66"/>
    <w:rsid w:val="1ACE323A"/>
    <w:rsid w:val="224E5C1B"/>
    <w:rsid w:val="3D3968BB"/>
    <w:rsid w:val="57E344F8"/>
    <w:rsid w:val="62EE5C79"/>
    <w:rsid w:val="67FE7552"/>
    <w:rsid w:val="72113DA8"/>
    <w:rsid w:val="77CC2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59" w:lineRule="auto"/>
      <w:jc w:val="both"/>
      <w:textAlignment w:val="baseline"/>
    </w:pPr>
    <w:rPr>
      <w:rFonts w:ascii="Arial" w:hAnsi="Arial" w:eastAsia="宋体" w:cs="Times New Roman"/>
      <w:lang w:val="en-GB" w:eastAsia="zh-CN" w:bidi="ar-SA"/>
    </w:rPr>
  </w:style>
  <w:style w:type="paragraph" w:styleId="2">
    <w:name w:val="heading 1"/>
    <w:next w:val="1"/>
    <w:link w:val="58"/>
    <w:qFormat/>
    <w:uiPriority w:val="0"/>
    <w:pPr>
      <w:keepNext/>
      <w:keepLines/>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宋体" w:cs="Arial"/>
      <w:sz w:val="36"/>
      <w:szCs w:val="36"/>
      <w:lang w:val="en-GB" w:eastAsia="zh-CN" w:bidi="ar-SA"/>
    </w:rPr>
  </w:style>
  <w:style w:type="paragraph" w:styleId="3">
    <w:name w:val="heading 2"/>
    <w:basedOn w:val="2"/>
    <w:next w:val="1"/>
    <w:qFormat/>
    <w:uiPriority w:val="0"/>
    <w:pPr>
      <w:pBdr>
        <w:top w:val="none" w:color="auto" w:sz="0" w:space="0"/>
      </w:pBdr>
      <w:spacing w:before="180"/>
      <w:outlineLvl w:val="1"/>
    </w:pPr>
    <w:rPr>
      <w:sz w:val="32"/>
      <w:szCs w:val="32"/>
    </w:rPr>
  </w:style>
  <w:style w:type="paragraph" w:styleId="4">
    <w:name w:val="heading 3"/>
    <w:basedOn w:val="3"/>
    <w:next w:val="1"/>
    <w:qFormat/>
    <w:uiPriority w:val="0"/>
    <w:pPr>
      <w:spacing w:before="120"/>
      <w:outlineLvl w:val="2"/>
    </w:pPr>
    <w:rPr>
      <w:sz w:val="28"/>
      <w:szCs w:val="28"/>
    </w:rPr>
  </w:style>
  <w:style w:type="paragraph" w:styleId="5">
    <w:name w:val="heading 4"/>
    <w:basedOn w:val="4"/>
    <w:next w:val="1"/>
    <w:qFormat/>
    <w:uiPriority w:val="0"/>
    <w:pPr>
      <w:outlineLvl w:val="3"/>
    </w:pPr>
    <w:rPr>
      <w:sz w:val="24"/>
      <w:szCs w:val="24"/>
    </w:rPr>
  </w:style>
  <w:style w:type="paragraph" w:styleId="6">
    <w:name w:val="heading 5"/>
    <w:basedOn w:val="5"/>
    <w:next w:val="1"/>
    <w:qFormat/>
    <w:uiPriority w:val="0"/>
    <w:pPr>
      <w:outlineLvl w:val="4"/>
    </w:pPr>
    <w:rPr>
      <w:sz w:val="22"/>
      <w:szCs w:val="22"/>
    </w:rPr>
  </w:style>
  <w:style w:type="paragraph" w:styleId="7">
    <w:name w:val="heading 6"/>
    <w:basedOn w:val="1"/>
    <w:next w:val="1"/>
    <w:qFormat/>
    <w:uiPriority w:val="0"/>
    <w:pPr>
      <w:keepNext/>
      <w:keepLines/>
      <w:spacing w:before="120"/>
      <w:outlineLvl w:val="5"/>
    </w:pPr>
    <w:rPr>
      <w:rFonts w:cs="Arial"/>
    </w:rPr>
  </w:style>
  <w:style w:type="paragraph" w:styleId="8">
    <w:name w:val="heading 7"/>
    <w:basedOn w:val="1"/>
    <w:next w:val="1"/>
    <w:qFormat/>
    <w:uiPriority w:val="0"/>
    <w:pPr>
      <w:keepNext/>
      <w:keepLines/>
      <w:spacing w:before="120"/>
      <w:outlineLvl w:val="6"/>
    </w:pPr>
    <w:rPr>
      <w:rFonts w:cs="Arial"/>
    </w:rPr>
  </w:style>
  <w:style w:type="paragraph" w:styleId="9">
    <w:name w:val="heading 8"/>
    <w:basedOn w:val="8"/>
    <w:next w:val="1"/>
    <w:qFormat/>
    <w:uiPriority w:val="0"/>
    <w:pPr>
      <w:outlineLvl w:val="7"/>
    </w:pPr>
  </w:style>
  <w:style w:type="paragraph" w:styleId="10">
    <w:name w:val="heading 9"/>
    <w:basedOn w:val="9"/>
    <w:next w:val="1"/>
    <w:qFormat/>
    <w:uiPriority w:val="0"/>
    <w:pPr>
      <w:outlineLvl w:val="8"/>
    </w:pPr>
  </w:style>
  <w:style w:type="character" w:default="1" w:styleId="46">
    <w:name w:val="Default Paragraph Font"/>
    <w:semiHidden/>
    <w:unhideWhenUsed/>
    <w:uiPriority w:val="1"/>
  </w:style>
  <w:style w:type="table" w:default="1" w:styleId="44">
    <w:name w:val="Normal Table"/>
    <w:semiHidden/>
    <w:unhideWhenUsed/>
    <w:uiPriority w:val="99"/>
    <w:tblPr>
      <w:tblLayout w:type="fixed"/>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semiHidden/>
    <w:qFormat/>
    <w:uiPriority w:val="0"/>
    <w:pPr>
      <w:tabs>
        <w:tab w:val="right" w:pos="1701"/>
      </w:tabs>
      <w:ind w:left="2268" w:hanging="2268"/>
    </w:pPr>
  </w:style>
  <w:style w:type="paragraph" w:styleId="15">
    <w:name w:val="toc 6"/>
    <w:basedOn w:val="16"/>
    <w:next w:val="1"/>
    <w:semiHidden/>
    <w:uiPriority w:val="0"/>
    <w:pPr>
      <w:tabs>
        <w:tab w:val="right" w:pos="1701"/>
      </w:tabs>
      <w:ind w:left="1985" w:hanging="1985"/>
    </w:pPr>
  </w:style>
  <w:style w:type="paragraph" w:styleId="16">
    <w:name w:val="toc 5"/>
    <w:basedOn w:val="17"/>
    <w:next w:val="1"/>
    <w:semiHidden/>
    <w:qFormat/>
    <w:uiPriority w:val="0"/>
    <w:pPr>
      <w:tabs>
        <w:tab w:val="right" w:pos="1701"/>
      </w:tabs>
      <w:ind w:left="1701" w:hanging="1701"/>
    </w:pPr>
  </w:style>
  <w:style w:type="paragraph" w:styleId="17">
    <w:name w:val="toc 4"/>
    <w:basedOn w:val="18"/>
    <w:next w:val="1"/>
    <w:semiHidden/>
    <w:qFormat/>
    <w:uiPriority w:val="0"/>
    <w:pPr>
      <w:tabs>
        <w:tab w:val="left" w:pos="1701"/>
      </w:tabs>
      <w:ind w:left="1418" w:hanging="1418"/>
    </w:pPr>
  </w:style>
  <w:style w:type="paragraph" w:styleId="18">
    <w:name w:val="toc 3"/>
    <w:basedOn w:val="19"/>
    <w:next w:val="1"/>
    <w:semiHidden/>
    <w:qFormat/>
    <w:uiPriority w:val="0"/>
    <w:pPr>
      <w:tabs>
        <w:tab w:val="left" w:pos="1701"/>
      </w:tabs>
      <w:ind w:left="1134" w:hanging="1134"/>
    </w:pPr>
  </w:style>
  <w:style w:type="paragraph" w:styleId="19">
    <w:name w:val="toc 2"/>
    <w:basedOn w:val="20"/>
    <w:next w:val="1"/>
    <w:semiHidden/>
    <w:qFormat/>
    <w:uiPriority w:val="0"/>
    <w:pPr>
      <w:keepNext w:val="0"/>
      <w:tabs>
        <w:tab w:val="left" w:pos="1701"/>
      </w:tabs>
      <w:spacing w:before="0"/>
      <w:ind w:left="851" w:hanging="851"/>
    </w:pPr>
    <w:rPr>
      <w:szCs w:val="20"/>
    </w:rPr>
  </w:style>
  <w:style w:type="paragraph" w:styleId="20">
    <w:name w:val="toc 1"/>
    <w:next w:val="1"/>
    <w:qFormat/>
    <w:uiPriority w:val="39"/>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eastAsia="宋体" w:cs="Times New Roman"/>
      <w:b/>
      <w:szCs w:val="22"/>
      <w:lang w:val="en-US" w:eastAsia="zh-CN" w:bidi="ar-SA"/>
    </w:rPr>
  </w:style>
  <w:style w:type="paragraph" w:styleId="21">
    <w:name w:val="List Number 2"/>
    <w:basedOn w:val="22"/>
    <w:uiPriority w:val="0"/>
    <w:pPr>
      <w:ind w:left="851"/>
    </w:pPr>
  </w:style>
  <w:style w:type="paragraph" w:styleId="22">
    <w:name w:val="List Number"/>
    <w:basedOn w:val="13"/>
    <w:uiPriority w:val="0"/>
  </w:style>
  <w:style w:type="paragraph" w:styleId="23">
    <w:name w:val="List Bullet 4"/>
    <w:basedOn w:val="24"/>
    <w:uiPriority w:val="0"/>
    <w:pPr>
      <w:numPr>
        <w:numId w:val="1"/>
      </w:numPr>
      <w:tabs>
        <w:tab w:val="left" w:pos="510"/>
        <w:tab w:val="left" w:pos="794"/>
        <w:tab w:val="left" w:pos="1077"/>
        <w:tab w:val="left" w:pos="1361"/>
      </w:tabs>
    </w:pPr>
  </w:style>
  <w:style w:type="paragraph" w:styleId="24">
    <w:name w:val="List Bullet 3"/>
    <w:basedOn w:val="25"/>
    <w:qFormat/>
    <w:uiPriority w:val="0"/>
    <w:pPr>
      <w:numPr>
        <w:ilvl w:val="0"/>
        <w:numId w:val="2"/>
      </w:numPr>
      <w:tabs>
        <w:tab w:val="left" w:pos="510"/>
        <w:tab w:val="left" w:pos="794"/>
      </w:tabs>
    </w:pPr>
  </w:style>
  <w:style w:type="paragraph" w:styleId="25">
    <w:name w:val="List Bullet 2"/>
    <w:basedOn w:val="26"/>
    <w:uiPriority w:val="0"/>
    <w:pPr>
      <w:tabs>
        <w:tab w:val="left" w:pos="510"/>
        <w:tab w:val="left" w:pos="794"/>
      </w:tabs>
      <w:ind w:left="794"/>
    </w:pPr>
  </w:style>
  <w:style w:type="paragraph" w:styleId="26">
    <w:name w:val="List Bullet"/>
    <w:basedOn w:val="27"/>
    <w:qFormat/>
    <w:uiPriority w:val="0"/>
    <w:pPr>
      <w:numPr>
        <w:ilvl w:val="0"/>
        <w:numId w:val="3"/>
      </w:numPr>
    </w:pPr>
  </w:style>
  <w:style w:type="paragraph" w:styleId="27">
    <w:name w:val="Body Text"/>
    <w:basedOn w:val="1"/>
    <w:link w:val="64"/>
    <w:qFormat/>
    <w:uiPriority w:val="0"/>
  </w:style>
  <w:style w:type="paragraph" w:styleId="28">
    <w:name w:val="caption"/>
    <w:basedOn w:val="1"/>
    <w:next w:val="1"/>
    <w:qFormat/>
    <w:uiPriority w:val="35"/>
    <w:pPr>
      <w:spacing w:after="240"/>
      <w:jc w:val="center"/>
    </w:pPr>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124"/>
    <w:qFormat/>
    <w:uiPriority w:val="99"/>
  </w:style>
  <w:style w:type="paragraph" w:styleId="31">
    <w:name w:val="List Bullet 5"/>
    <w:basedOn w:val="23"/>
    <w:qFormat/>
    <w:uiPriority w:val="0"/>
    <w:pPr>
      <w:numPr>
        <w:numId w:val="4"/>
      </w:numPr>
      <w:tabs>
        <w:tab w:val="left" w:pos="1644"/>
      </w:tabs>
    </w:pPr>
  </w:style>
  <w:style w:type="paragraph" w:styleId="32">
    <w:name w:val="toc 8"/>
    <w:basedOn w:val="20"/>
    <w:next w:val="1"/>
    <w:semiHidden/>
    <w:qFormat/>
    <w:uiPriority w:val="0"/>
    <w:pPr>
      <w:spacing w:before="180"/>
      <w:ind w:left="2693" w:hanging="2693"/>
    </w:pPr>
    <w:rPr>
      <w:b w:val="0"/>
      <w:bCs/>
    </w:rPr>
  </w:style>
  <w:style w:type="paragraph" w:styleId="33">
    <w:name w:val="Balloon Text"/>
    <w:basedOn w:val="1"/>
    <w:semiHidden/>
    <w:qFormat/>
    <w:uiPriority w:val="0"/>
    <w:rPr>
      <w:rFonts w:ascii="Tahoma" w:hAnsi="Tahoma" w:cs="Tahoma"/>
      <w:sz w:val="16"/>
      <w:szCs w:val="16"/>
    </w:rPr>
  </w:style>
  <w:style w:type="paragraph" w:styleId="34">
    <w:name w:val="footer"/>
    <w:basedOn w:val="35"/>
    <w:link w:val="101"/>
    <w:qFormat/>
    <w:uiPriority w:val="99"/>
    <w:pPr>
      <w:jc w:val="center"/>
    </w:pPr>
    <w:rPr>
      <w:i/>
      <w:iCs/>
    </w:rPr>
  </w:style>
  <w:style w:type="paragraph" w:styleId="35">
    <w:name w:val="header"/>
    <w:link w:val="100"/>
    <w:qFormat/>
    <w:uiPriority w:val="99"/>
    <w:pPr>
      <w:widowControl w:val="0"/>
      <w:overflowPunct w:val="0"/>
      <w:autoSpaceDE w:val="0"/>
      <w:autoSpaceDN w:val="0"/>
      <w:adjustRightInd w:val="0"/>
      <w:spacing w:after="160" w:line="259" w:lineRule="auto"/>
      <w:textAlignment w:val="baseline"/>
    </w:pPr>
    <w:rPr>
      <w:rFonts w:ascii="Arial" w:hAnsi="Arial" w:eastAsia="宋体" w:cs="Arial"/>
      <w:b/>
      <w:bCs/>
      <w:sz w:val="18"/>
      <w:szCs w:val="18"/>
      <w:lang w:val="en-US" w:eastAsia="zh-CN" w:bidi="ar-SA"/>
    </w:rPr>
  </w:style>
  <w:style w:type="paragraph" w:styleId="36">
    <w:name w:val="footnote text"/>
    <w:basedOn w:val="1"/>
    <w:semiHidden/>
    <w:qFormat/>
    <w:uiPriority w:val="0"/>
    <w:pPr>
      <w:keepLines/>
      <w:spacing w:after="0"/>
      <w:ind w:left="454" w:hanging="454"/>
    </w:pPr>
    <w:rPr>
      <w:sz w:val="16"/>
      <w:szCs w:val="16"/>
    </w:rPr>
  </w:style>
  <w:style w:type="paragraph" w:styleId="37">
    <w:name w:val="List 5"/>
    <w:basedOn w:val="38"/>
    <w:qFormat/>
    <w:uiPriority w:val="0"/>
    <w:pPr>
      <w:ind w:left="1702"/>
    </w:pPr>
  </w:style>
  <w:style w:type="paragraph" w:styleId="38">
    <w:name w:val="List 4"/>
    <w:basedOn w:val="11"/>
    <w:qFormat/>
    <w:uiPriority w:val="0"/>
    <w:pPr>
      <w:ind w:left="1418"/>
    </w:pPr>
  </w:style>
  <w:style w:type="paragraph" w:styleId="39">
    <w:name w:val="table of figures"/>
    <w:basedOn w:val="1"/>
    <w:next w:val="1"/>
    <w:qFormat/>
    <w:uiPriority w:val="99"/>
    <w:pPr>
      <w:ind w:left="1418" w:hanging="1418"/>
      <w:jc w:val="left"/>
    </w:pPr>
    <w:rPr>
      <w:b/>
    </w:rPr>
  </w:style>
  <w:style w:type="paragraph" w:styleId="40">
    <w:name w:val="toc 9"/>
    <w:basedOn w:val="32"/>
    <w:next w:val="1"/>
    <w:semiHidden/>
    <w:qFormat/>
    <w:uiPriority w:val="0"/>
    <w:pPr>
      <w:ind w:left="1418" w:hanging="1418"/>
    </w:p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30"/>
    <w:next w:val="30"/>
    <w:semiHidden/>
    <w:qFormat/>
    <w:uiPriority w:val="0"/>
    <w:rPr>
      <w:b/>
      <w:bCs/>
    </w:r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7">
    <w:name w:val="Strong"/>
    <w:basedOn w:val="46"/>
    <w:qFormat/>
    <w:uiPriority w:val="22"/>
    <w:rPr>
      <w:b/>
      <w:bCs/>
    </w:rPr>
  </w:style>
  <w:style w:type="character" w:styleId="48">
    <w:name w:val="page number"/>
    <w:basedOn w:val="46"/>
    <w:semiHidden/>
    <w:qFormat/>
    <w:uiPriority w:val="0"/>
  </w:style>
  <w:style w:type="character" w:styleId="49">
    <w:name w:val="FollowedHyperlink"/>
    <w:semiHidden/>
    <w:qFormat/>
    <w:uiPriority w:val="0"/>
    <w:rPr>
      <w:color w:val="FF0000"/>
      <w:u w:val="single"/>
    </w:rPr>
  </w:style>
  <w:style w:type="character" w:styleId="50">
    <w:name w:val="Hyperlink"/>
    <w:qFormat/>
    <w:uiPriority w:val="99"/>
    <w:rPr>
      <w:color w:val="0000FF"/>
      <w:u w:val="single"/>
      <w:lang w:val="en-GB"/>
    </w:rPr>
  </w:style>
  <w:style w:type="character" w:styleId="51">
    <w:name w:val="annotation reference"/>
    <w:qFormat/>
    <w:uiPriority w:val="99"/>
    <w:rPr>
      <w:sz w:val="16"/>
      <w:szCs w:val="16"/>
    </w:rPr>
  </w:style>
  <w:style w:type="character" w:styleId="52">
    <w:name w:val="footnote reference"/>
    <w:semiHidden/>
    <w:qFormat/>
    <w:uiPriority w:val="0"/>
    <w:rPr>
      <w:b/>
      <w:bCs/>
      <w:position w:val="6"/>
      <w:sz w:val="16"/>
      <w:szCs w:val="16"/>
    </w:rPr>
  </w:style>
  <w:style w:type="paragraph" w:customStyle="1" w:styleId="53">
    <w:name w:val="Figure"/>
    <w:basedOn w:val="1"/>
    <w:next w:val="28"/>
    <w:qFormat/>
    <w:uiPriority w:val="0"/>
    <w:pPr>
      <w:keepNext/>
      <w:keepLines/>
      <w:spacing w:before="180"/>
      <w:jc w:val="center"/>
    </w:pPr>
  </w:style>
  <w:style w:type="paragraph" w:customStyle="1" w:styleId="54">
    <w:name w:val="3GPP_Header"/>
    <w:basedOn w:val="1"/>
    <w:qFormat/>
    <w:uiPriority w:val="0"/>
    <w:pPr>
      <w:tabs>
        <w:tab w:val="left" w:pos="1701"/>
        <w:tab w:val="right" w:pos="9639"/>
      </w:tabs>
      <w:spacing w:after="240"/>
    </w:pPr>
    <w:rPr>
      <w:b/>
      <w:sz w:val="24"/>
    </w:rPr>
  </w:style>
  <w:style w:type="paragraph" w:customStyle="1" w:styleId="55">
    <w:name w:val="EQ"/>
    <w:basedOn w:val="1"/>
    <w:next w:val="1"/>
    <w:qFormat/>
    <w:uiPriority w:val="0"/>
    <w:pPr>
      <w:keepLines/>
      <w:tabs>
        <w:tab w:val="center" w:pos="4536"/>
        <w:tab w:val="right" w:pos="9072"/>
      </w:tabs>
      <w:spacing w:after="180"/>
      <w:jc w:val="left"/>
    </w:pPr>
    <w:rPr>
      <w:lang w:eastAsia="en-US"/>
    </w:rPr>
  </w:style>
  <w:style w:type="paragraph" w:customStyle="1" w:styleId="56">
    <w:name w:val="Editor's Note"/>
    <w:basedOn w:val="1"/>
    <w:link w:val="144"/>
    <w:qFormat/>
    <w:uiPriority w:val="0"/>
    <w:pPr>
      <w:keepLines/>
      <w:spacing w:after="180"/>
      <w:ind w:left="1135" w:hanging="851"/>
      <w:jc w:val="left"/>
    </w:pPr>
    <w:rPr>
      <w:color w:val="FF0000"/>
      <w:lang w:eastAsia="en-US"/>
    </w:rPr>
  </w:style>
  <w:style w:type="paragraph" w:customStyle="1" w:styleId="57">
    <w:name w:val="Reference"/>
    <w:basedOn w:val="1"/>
    <w:qFormat/>
    <w:uiPriority w:val="0"/>
  </w:style>
  <w:style w:type="character" w:customStyle="1" w:styleId="58">
    <w:name w:val="标题 1 字符1"/>
    <w:link w:val="2"/>
    <w:qFormat/>
    <w:uiPriority w:val="0"/>
    <w:rPr>
      <w:rFonts w:ascii="Arial" w:hAnsi="Arial" w:cs="Arial"/>
      <w:sz w:val="36"/>
      <w:szCs w:val="36"/>
      <w:lang w:val="en-GB"/>
    </w:rPr>
  </w:style>
  <w:style w:type="paragraph" w:customStyle="1" w:styleId="59">
    <w:name w:val="B1"/>
    <w:basedOn w:val="13"/>
    <w:link w:val="93"/>
    <w:qFormat/>
    <w:uiPriority w:val="0"/>
    <w:pPr>
      <w:spacing w:after="180"/>
      <w:jc w:val="left"/>
    </w:pPr>
    <w:rPr>
      <w:lang w:eastAsia="en-US"/>
    </w:rPr>
  </w:style>
  <w:style w:type="paragraph" w:customStyle="1" w:styleId="60">
    <w:name w:val="B2"/>
    <w:basedOn w:val="12"/>
    <w:link w:val="94"/>
    <w:qFormat/>
    <w:uiPriority w:val="0"/>
    <w:pPr>
      <w:spacing w:after="180"/>
      <w:jc w:val="left"/>
    </w:pPr>
    <w:rPr>
      <w:lang w:eastAsia="en-US"/>
    </w:rPr>
  </w:style>
  <w:style w:type="paragraph" w:customStyle="1" w:styleId="61">
    <w:name w:val="B3"/>
    <w:basedOn w:val="11"/>
    <w:link w:val="119"/>
    <w:qFormat/>
    <w:uiPriority w:val="0"/>
    <w:pPr>
      <w:spacing w:after="180"/>
      <w:jc w:val="left"/>
    </w:pPr>
    <w:rPr>
      <w:lang w:eastAsia="en-US"/>
    </w:rPr>
  </w:style>
  <w:style w:type="paragraph" w:customStyle="1" w:styleId="62">
    <w:name w:val="B4"/>
    <w:basedOn w:val="38"/>
    <w:link w:val="121"/>
    <w:qFormat/>
    <w:uiPriority w:val="0"/>
    <w:pPr>
      <w:spacing w:after="180"/>
      <w:jc w:val="left"/>
    </w:pPr>
    <w:rPr>
      <w:lang w:eastAsia="en-US"/>
    </w:rPr>
  </w:style>
  <w:style w:type="paragraph" w:customStyle="1" w:styleId="63">
    <w:name w:val="Proposal"/>
    <w:basedOn w:val="1"/>
    <w:link w:val="108"/>
    <w:qFormat/>
    <w:uiPriority w:val="0"/>
    <w:pPr>
      <w:tabs>
        <w:tab w:val="left" w:pos="1701"/>
      </w:tabs>
    </w:pPr>
    <w:rPr>
      <w:b/>
      <w:bCs/>
    </w:rPr>
  </w:style>
  <w:style w:type="character" w:customStyle="1" w:styleId="64">
    <w:name w:val="正文文本 字符2"/>
    <w:link w:val="27"/>
    <w:qFormat/>
    <w:uiPriority w:val="0"/>
    <w:rPr>
      <w:rFonts w:ascii="Arial" w:hAnsi="Arial"/>
      <w:lang w:val="en-GB"/>
    </w:rPr>
  </w:style>
  <w:style w:type="paragraph" w:customStyle="1" w:styleId="65">
    <w:name w:val="B5"/>
    <w:basedOn w:val="37"/>
    <w:link w:val="120"/>
    <w:qFormat/>
    <w:uiPriority w:val="0"/>
    <w:pPr>
      <w:spacing w:after="180"/>
      <w:jc w:val="left"/>
    </w:pPr>
    <w:rPr>
      <w:lang w:eastAsia="en-US"/>
    </w:rPr>
  </w:style>
  <w:style w:type="paragraph" w:customStyle="1" w:styleId="66">
    <w:name w:val="EX"/>
    <w:basedOn w:val="1"/>
    <w:qFormat/>
    <w:uiPriority w:val="0"/>
    <w:pPr>
      <w:keepLines/>
      <w:spacing w:after="180"/>
      <w:ind w:left="1702" w:hanging="1418"/>
      <w:jc w:val="left"/>
    </w:pPr>
    <w:rPr>
      <w:lang w:eastAsia="en-US"/>
    </w:rPr>
  </w:style>
  <w:style w:type="paragraph" w:customStyle="1" w:styleId="67">
    <w:name w:val="EW"/>
    <w:basedOn w:val="66"/>
    <w:qFormat/>
    <w:uiPriority w:val="0"/>
    <w:pPr>
      <w:spacing w:after="0"/>
    </w:pPr>
  </w:style>
  <w:style w:type="paragraph" w:customStyle="1" w:styleId="68">
    <w:name w:val="TAL"/>
    <w:basedOn w:val="1"/>
    <w:link w:val="104"/>
    <w:qFormat/>
    <w:uiPriority w:val="0"/>
    <w:pPr>
      <w:keepNext/>
      <w:keepLines/>
      <w:spacing w:after="0"/>
      <w:jc w:val="left"/>
    </w:pPr>
    <w:rPr>
      <w:sz w:val="18"/>
      <w:lang w:eastAsia="en-US"/>
    </w:rPr>
  </w:style>
  <w:style w:type="paragraph" w:customStyle="1" w:styleId="69">
    <w:name w:val="TAC"/>
    <w:basedOn w:val="68"/>
    <w:link w:val="128"/>
    <w:qFormat/>
    <w:uiPriority w:val="0"/>
    <w:pPr>
      <w:jc w:val="center"/>
    </w:pPr>
  </w:style>
  <w:style w:type="paragraph" w:customStyle="1" w:styleId="70">
    <w:name w:val="TAH"/>
    <w:basedOn w:val="69"/>
    <w:link w:val="129"/>
    <w:qFormat/>
    <w:uiPriority w:val="0"/>
    <w:rPr>
      <w:b/>
    </w:rPr>
  </w:style>
  <w:style w:type="paragraph" w:customStyle="1" w:styleId="71">
    <w:name w:val="TAN"/>
    <w:basedOn w:val="68"/>
    <w:qFormat/>
    <w:uiPriority w:val="0"/>
    <w:pPr>
      <w:ind w:left="851" w:hanging="851"/>
    </w:pPr>
  </w:style>
  <w:style w:type="paragraph" w:customStyle="1" w:styleId="72">
    <w:name w:val="TAR"/>
    <w:basedOn w:val="68"/>
    <w:qFormat/>
    <w:uiPriority w:val="0"/>
    <w:pPr>
      <w:jc w:val="right"/>
    </w:pPr>
  </w:style>
  <w:style w:type="paragraph" w:customStyle="1" w:styleId="73">
    <w:name w:val="TH"/>
    <w:basedOn w:val="1"/>
    <w:link w:val="105"/>
    <w:qFormat/>
    <w:uiPriority w:val="0"/>
    <w:pPr>
      <w:keepNext/>
      <w:keepLines/>
      <w:spacing w:before="60" w:after="180"/>
      <w:jc w:val="center"/>
    </w:pPr>
    <w:rPr>
      <w:b/>
      <w:lang w:eastAsia="en-US"/>
    </w:rPr>
  </w:style>
  <w:style w:type="paragraph" w:customStyle="1" w:styleId="74">
    <w:name w:val="TF"/>
    <w:basedOn w:val="73"/>
    <w:link w:val="106"/>
    <w:qFormat/>
    <w:uiPriority w:val="0"/>
    <w:pPr>
      <w:keepNext w:val="0"/>
      <w:spacing w:before="0" w:after="240"/>
    </w:pPr>
  </w:style>
  <w:style w:type="paragraph" w:customStyle="1" w:styleId="75">
    <w:name w:val="TT"/>
    <w:basedOn w:val="2"/>
    <w:next w:val="1"/>
    <w:qFormat/>
    <w:uiPriority w:val="0"/>
    <w:pPr>
      <w:ind w:left="1134" w:hanging="1134"/>
      <w:outlineLvl w:val="9"/>
    </w:pPr>
    <w:rPr>
      <w:rFonts w:cs="Times New Roman"/>
      <w:szCs w:val="20"/>
      <w:lang w:eastAsia="en-US"/>
    </w:rPr>
  </w:style>
  <w:style w:type="paragraph" w:customStyle="1" w:styleId="7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77">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78">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79">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character" w:customStyle="1" w:styleId="80">
    <w:name w:val="ZGSM"/>
    <w:qFormat/>
    <w:uiPriority w:val="0"/>
  </w:style>
  <w:style w:type="paragraph" w:customStyle="1" w:styleId="81">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82">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83">
    <w:name w:val="ZTD"/>
    <w:basedOn w:val="77"/>
    <w:qFormat/>
    <w:uiPriority w:val="0"/>
    <w:pPr>
      <w:framePr w:hRule="auto" w:y="852"/>
    </w:pPr>
    <w:rPr>
      <w:i w:val="0"/>
      <w:sz w:val="40"/>
    </w:rPr>
  </w:style>
  <w:style w:type="paragraph" w:customStyle="1" w:styleId="8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5">
    <w:name w:val="ZV"/>
    <w:basedOn w:val="84"/>
    <w:qFormat/>
    <w:uiPriority w:val="0"/>
    <w:pPr>
      <w:framePr w:y="16161"/>
    </w:pPr>
  </w:style>
  <w:style w:type="paragraph" w:customStyle="1" w:styleId="86">
    <w:name w:val="FP"/>
    <w:basedOn w:val="1"/>
    <w:qFormat/>
    <w:uiPriority w:val="0"/>
    <w:pPr>
      <w:spacing w:after="0"/>
      <w:jc w:val="left"/>
    </w:pPr>
    <w:rPr>
      <w:lang w:eastAsia="en-US"/>
    </w:rPr>
  </w:style>
  <w:style w:type="paragraph" w:customStyle="1" w:styleId="87">
    <w:name w:val="Observation"/>
    <w:basedOn w:val="63"/>
    <w:link w:val="112"/>
    <w:qFormat/>
    <w:uiPriority w:val="0"/>
  </w:style>
  <w:style w:type="paragraph" w:customStyle="1" w:styleId="88">
    <w:name w:val="Doc-text2"/>
    <w:basedOn w:val="1"/>
    <w:link w:val="89"/>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89">
    <w:name w:val="Doc-text2 Char"/>
    <w:link w:val="88"/>
    <w:qFormat/>
    <w:uiPriority w:val="0"/>
    <w:rPr>
      <w:rFonts w:ascii="Arial" w:hAnsi="Arial" w:eastAsia="MS Mincho"/>
      <w:szCs w:val="24"/>
      <w:lang w:val="en-GB" w:eastAsia="en-GB"/>
    </w:rPr>
  </w:style>
  <w:style w:type="paragraph" w:styleId="90">
    <w:name w:val="List Paragraph"/>
    <w:basedOn w:val="1"/>
    <w:link w:val="116"/>
    <w:qFormat/>
    <w:uiPriority w:val="34"/>
    <w:pPr>
      <w:ind w:left="720"/>
      <w:contextualSpacing/>
    </w:pPr>
  </w:style>
  <w:style w:type="paragraph" w:customStyle="1" w:styleId="91">
    <w:name w:val="NO"/>
    <w:basedOn w:val="1"/>
    <w:link w:val="92"/>
    <w:qFormat/>
    <w:uiPriority w:val="0"/>
    <w:pPr>
      <w:keepLines/>
      <w:spacing w:after="180"/>
      <w:ind w:left="1135" w:hanging="851"/>
      <w:jc w:val="left"/>
    </w:pPr>
    <w:rPr>
      <w:rFonts w:ascii="Times New Roman" w:hAnsi="Times New Roman" w:eastAsia="Times New Roman"/>
    </w:rPr>
  </w:style>
  <w:style w:type="character" w:customStyle="1" w:styleId="92">
    <w:name w:val="NO Char"/>
    <w:link w:val="91"/>
    <w:qFormat/>
    <w:uiPriority w:val="0"/>
    <w:rPr>
      <w:rFonts w:ascii="Times New Roman" w:hAnsi="Times New Roman" w:eastAsia="Times New Roman"/>
    </w:rPr>
  </w:style>
  <w:style w:type="character" w:customStyle="1" w:styleId="93">
    <w:name w:val="B1 Char"/>
    <w:link w:val="59"/>
    <w:qFormat/>
    <w:uiPriority w:val="0"/>
    <w:rPr>
      <w:rFonts w:ascii="Arial" w:hAnsi="Arial"/>
      <w:lang w:val="en-GB" w:eastAsia="en-US"/>
    </w:rPr>
  </w:style>
  <w:style w:type="character" w:customStyle="1" w:styleId="94">
    <w:name w:val="B2 Char"/>
    <w:link w:val="60"/>
    <w:qFormat/>
    <w:uiPriority w:val="0"/>
    <w:rPr>
      <w:rFonts w:ascii="Arial" w:hAnsi="Arial"/>
      <w:lang w:val="en-GB" w:eastAsia="en-US"/>
    </w:rPr>
  </w:style>
  <w:style w:type="paragraph" w:customStyle="1" w:styleId="95">
    <w:name w:val="PL"/>
    <w:link w:val="9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US" w:eastAsia="zh-CN" w:bidi="ar-SA"/>
    </w:rPr>
  </w:style>
  <w:style w:type="character" w:customStyle="1" w:styleId="96">
    <w:name w:val="PL Char"/>
    <w:link w:val="95"/>
    <w:qFormat/>
    <w:uiPriority w:val="0"/>
    <w:rPr>
      <w:rFonts w:ascii="Courier New" w:hAnsi="Courier New" w:eastAsia="Times New Roman"/>
      <w:sz w:val="16"/>
    </w:rPr>
  </w:style>
  <w:style w:type="character" w:customStyle="1" w:styleId="97">
    <w:name w:val="st"/>
    <w:qFormat/>
    <w:uiPriority w:val="0"/>
  </w:style>
  <w:style w:type="character" w:customStyle="1" w:styleId="98">
    <w:name w:val="Char Char7"/>
    <w:qFormat/>
    <w:uiPriority w:val="0"/>
    <w:rPr>
      <w:rFonts w:ascii="Arial" w:hAnsi="Arial" w:eastAsia="MS Mincho" w:cs="Arial"/>
      <w:b/>
      <w:bCs/>
      <w:iCs/>
      <w:sz w:val="28"/>
      <w:szCs w:val="28"/>
      <w:lang w:val="en-GB" w:eastAsia="en-GB" w:bidi="ar-SA"/>
    </w:rPr>
  </w:style>
  <w:style w:type="character" w:customStyle="1" w:styleId="99">
    <w:name w:val="首标题"/>
    <w:qFormat/>
    <w:uiPriority w:val="99"/>
    <w:rPr>
      <w:rFonts w:ascii="Arial" w:hAnsi="Arial" w:cs="Times New Roman"/>
      <w:sz w:val="24"/>
    </w:rPr>
  </w:style>
  <w:style w:type="character" w:customStyle="1" w:styleId="100">
    <w:name w:val="页眉 字符"/>
    <w:link w:val="35"/>
    <w:qFormat/>
    <w:locked/>
    <w:uiPriority w:val="99"/>
    <w:rPr>
      <w:rFonts w:ascii="Arial" w:hAnsi="Arial" w:cs="Arial"/>
      <w:b/>
      <w:bCs/>
      <w:sz w:val="18"/>
      <w:szCs w:val="18"/>
    </w:rPr>
  </w:style>
  <w:style w:type="character" w:customStyle="1" w:styleId="101">
    <w:name w:val="页脚 字符"/>
    <w:link w:val="34"/>
    <w:qFormat/>
    <w:locked/>
    <w:uiPriority w:val="99"/>
    <w:rPr>
      <w:rFonts w:ascii="Arial" w:hAnsi="Arial" w:cs="Arial"/>
      <w:b/>
      <w:bCs/>
      <w:i/>
      <w:iCs/>
      <w:sz w:val="18"/>
      <w:szCs w:val="18"/>
    </w:rPr>
  </w:style>
  <w:style w:type="character" w:customStyle="1" w:styleId="102">
    <w:name w:val="B1 Char1"/>
    <w:qFormat/>
    <w:uiPriority w:val="0"/>
    <w:rPr>
      <w:rFonts w:eastAsia="Times New Roman"/>
    </w:rPr>
  </w:style>
  <w:style w:type="paragraph" w:customStyle="1" w:styleId="103">
    <w:name w:val="text intend 2"/>
    <w:basedOn w:val="1"/>
    <w:qFormat/>
    <w:uiPriority w:val="0"/>
    <w:pPr>
      <w:numPr>
        <w:ilvl w:val="0"/>
        <w:numId w:val="5"/>
      </w:numPr>
    </w:pPr>
    <w:rPr>
      <w:rFonts w:ascii="Times New Roman" w:hAnsi="Times New Roman" w:eastAsia="MS Mincho"/>
      <w:sz w:val="24"/>
      <w:lang w:val="en-US" w:eastAsia="en-GB"/>
    </w:rPr>
  </w:style>
  <w:style w:type="character" w:customStyle="1" w:styleId="104">
    <w:name w:val="TAL Car"/>
    <w:link w:val="68"/>
    <w:qFormat/>
    <w:uiPriority w:val="0"/>
    <w:rPr>
      <w:rFonts w:ascii="Arial" w:hAnsi="Arial"/>
      <w:sz w:val="18"/>
      <w:lang w:val="en-GB" w:eastAsia="en-US"/>
    </w:rPr>
  </w:style>
  <w:style w:type="character" w:customStyle="1" w:styleId="105">
    <w:name w:val="TH Char"/>
    <w:link w:val="73"/>
    <w:qFormat/>
    <w:uiPriority w:val="0"/>
    <w:rPr>
      <w:rFonts w:ascii="Arial" w:hAnsi="Arial"/>
      <w:b/>
      <w:lang w:val="en-GB" w:eastAsia="en-US"/>
    </w:rPr>
  </w:style>
  <w:style w:type="character" w:customStyle="1" w:styleId="106">
    <w:name w:val="TF Char"/>
    <w:link w:val="74"/>
    <w:qFormat/>
    <w:uiPriority w:val="0"/>
    <w:rPr>
      <w:rFonts w:ascii="Arial" w:hAnsi="Arial"/>
      <w:b/>
      <w:lang w:val="en-GB" w:eastAsia="en-US"/>
    </w:rPr>
  </w:style>
  <w:style w:type="paragraph" w:customStyle="1" w:styleId="107">
    <w:name w:val="proposal"/>
    <w:basedOn w:val="63"/>
    <w:link w:val="109"/>
    <w:qFormat/>
    <w:uiPriority w:val="0"/>
    <w:pPr>
      <w:overflowPunct/>
      <w:autoSpaceDE/>
      <w:autoSpaceDN/>
      <w:adjustRightInd/>
      <w:textAlignment w:val="auto"/>
    </w:pPr>
  </w:style>
  <w:style w:type="character" w:customStyle="1" w:styleId="108">
    <w:name w:val="Proposal Char"/>
    <w:link w:val="63"/>
    <w:qFormat/>
    <w:uiPriority w:val="0"/>
    <w:rPr>
      <w:rFonts w:ascii="Arial" w:hAnsi="Arial"/>
      <w:b/>
      <w:bCs/>
      <w:lang w:val="en-GB"/>
    </w:rPr>
  </w:style>
  <w:style w:type="character" w:customStyle="1" w:styleId="109">
    <w:name w:val="proposal Char"/>
    <w:link w:val="107"/>
    <w:qFormat/>
    <w:uiPriority w:val="0"/>
    <w:rPr>
      <w:rFonts w:ascii="Arial" w:hAnsi="Arial"/>
      <w:b/>
      <w:bCs/>
      <w:lang w:val="en-GB"/>
    </w:rPr>
  </w:style>
  <w:style w:type="character" w:customStyle="1" w:styleId="110">
    <w:name w:val="书籍标题1"/>
    <w:qFormat/>
    <w:uiPriority w:val="33"/>
    <w:rPr>
      <w:b/>
      <w:bCs/>
      <w:i/>
      <w:iCs/>
      <w:spacing w:val="5"/>
    </w:rPr>
  </w:style>
  <w:style w:type="paragraph" w:customStyle="1" w:styleId="111">
    <w:name w:val="修订1"/>
    <w:hidden/>
    <w:semiHidden/>
    <w:qFormat/>
    <w:uiPriority w:val="99"/>
    <w:pPr>
      <w:spacing w:after="160" w:line="259" w:lineRule="auto"/>
    </w:pPr>
    <w:rPr>
      <w:rFonts w:ascii="Arial" w:hAnsi="Arial" w:eastAsia="宋体" w:cs="Times New Roman"/>
      <w:lang w:val="en-GB" w:eastAsia="zh-CN" w:bidi="ar-SA"/>
    </w:rPr>
  </w:style>
  <w:style w:type="character" w:customStyle="1" w:styleId="112">
    <w:name w:val="Observation Char"/>
    <w:link w:val="87"/>
    <w:qFormat/>
    <w:uiPriority w:val="0"/>
    <w:rPr>
      <w:rFonts w:ascii="Arial" w:hAnsi="Arial"/>
      <w:b/>
      <w:bCs/>
      <w:lang w:val="en-GB"/>
    </w:rPr>
  </w:style>
  <w:style w:type="paragraph" w:customStyle="1" w:styleId="113">
    <w:name w:val="CR Cover Page"/>
    <w:link w:val="114"/>
    <w:qFormat/>
    <w:uiPriority w:val="0"/>
    <w:pPr>
      <w:spacing w:after="120" w:line="259" w:lineRule="auto"/>
    </w:pPr>
    <w:rPr>
      <w:rFonts w:ascii="Arial" w:hAnsi="Arial" w:eastAsia="宋体" w:cs="Times New Roman"/>
      <w:lang w:val="en-GB" w:eastAsia="en-US" w:bidi="ar-SA"/>
    </w:rPr>
  </w:style>
  <w:style w:type="character" w:customStyle="1" w:styleId="114">
    <w:name w:val="CR Cover Page Zchn"/>
    <w:link w:val="113"/>
    <w:qFormat/>
    <w:uiPriority w:val="0"/>
    <w:rPr>
      <w:rFonts w:ascii="Arial" w:hAnsi="Arial"/>
      <w:lang w:val="en-GB" w:eastAsia="en-US"/>
    </w:rPr>
  </w:style>
  <w:style w:type="paragraph" w:customStyle="1" w:styleId="115">
    <w:name w:val="Style Heading 1NMP Heading 1H1h11h12h13h14h15h16app headin..."/>
    <w:basedOn w:val="2"/>
    <w:qFormat/>
    <w:uiPriority w:val="0"/>
    <w:pPr>
      <w:keepLines w:val="0"/>
      <w:numPr>
        <w:ilvl w:val="0"/>
        <w:numId w:val="6"/>
      </w:numPr>
      <w:pBdr>
        <w:top w:val="none" w:color="auto" w:sz="0" w:space="0"/>
      </w:pBdr>
      <w:overflowPunct/>
      <w:autoSpaceDE/>
      <w:autoSpaceDN/>
      <w:adjustRightInd/>
      <w:spacing w:after="60"/>
      <w:textAlignment w:val="auto"/>
    </w:pPr>
    <w:rPr>
      <w:rFonts w:eastAsia="Batang"/>
      <w:b/>
      <w:bCs/>
      <w:kern w:val="32"/>
      <w:sz w:val="28"/>
      <w:szCs w:val="32"/>
      <w:lang w:eastAsia="en-US"/>
    </w:rPr>
  </w:style>
  <w:style w:type="character" w:customStyle="1" w:styleId="116">
    <w:name w:val="列表段落 字符1"/>
    <w:link w:val="90"/>
    <w:qFormat/>
    <w:uiPriority w:val="34"/>
    <w:rPr>
      <w:rFonts w:ascii="Arial" w:hAnsi="Arial"/>
      <w:lang w:val="en-GB"/>
    </w:rPr>
  </w:style>
  <w:style w:type="paragraph" w:customStyle="1" w:styleId="117">
    <w:name w:val="Comments"/>
    <w:basedOn w:val="1"/>
    <w:link w:val="118"/>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118">
    <w:name w:val="Comments Char"/>
    <w:link w:val="117"/>
    <w:qFormat/>
    <w:uiPriority w:val="0"/>
    <w:rPr>
      <w:rFonts w:ascii="Arial" w:hAnsi="Arial" w:eastAsia="MS Mincho"/>
      <w:i/>
      <w:sz w:val="18"/>
      <w:szCs w:val="24"/>
      <w:lang w:val="en-GB" w:eastAsia="en-GB"/>
    </w:rPr>
  </w:style>
  <w:style w:type="character" w:customStyle="1" w:styleId="119">
    <w:name w:val="B3 Char"/>
    <w:link w:val="61"/>
    <w:qFormat/>
    <w:uiPriority w:val="0"/>
    <w:rPr>
      <w:rFonts w:ascii="Arial" w:hAnsi="Arial"/>
      <w:lang w:val="en-GB" w:eastAsia="en-US"/>
    </w:rPr>
  </w:style>
  <w:style w:type="character" w:customStyle="1" w:styleId="120">
    <w:name w:val="B5 Char"/>
    <w:link w:val="65"/>
    <w:qFormat/>
    <w:uiPriority w:val="0"/>
    <w:rPr>
      <w:rFonts w:ascii="Arial" w:hAnsi="Arial"/>
      <w:lang w:val="en-GB" w:eastAsia="en-US"/>
    </w:rPr>
  </w:style>
  <w:style w:type="character" w:customStyle="1" w:styleId="121">
    <w:name w:val="B4 Char"/>
    <w:link w:val="62"/>
    <w:qFormat/>
    <w:uiPriority w:val="0"/>
    <w:rPr>
      <w:rFonts w:ascii="Arial" w:hAnsi="Arial"/>
      <w:lang w:val="en-GB" w:eastAsia="en-US"/>
    </w:rPr>
  </w:style>
  <w:style w:type="character" w:customStyle="1" w:styleId="122">
    <w:name w:val="B3 Char2"/>
    <w:qFormat/>
    <w:uiPriority w:val="0"/>
    <w:rPr>
      <w:rFonts w:ascii="Times New Roman" w:hAnsi="Times New Roman" w:eastAsia="Times New Roman"/>
    </w:rPr>
  </w:style>
  <w:style w:type="character" w:customStyle="1" w:styleId="123">
    <w:name w:val="列表段落 字符"/>
    <w:qFormat/>
    <w:locked/>
    <w:uiPriority w:val="34"/>
    <w:rPr>
      <w:rFonts w:ascii="Times New Roman" w:hAnsi="Times New Roman" w:eastAsia="宋体" w:cs="Times New Roman"/>
    </w:rPr>
  </w:style>
  <w:style w:type="character" w:customStyle="1" w:styleId="124">
    <w:name w:val="批注文字 字符1"/>
    <w:link w:val="30"/>
    <w:qFormat/>
    <w:uiPriority w:val="99"/>
    <w:rPr>
      <w:rFonts w:ascii="Arial" w:hAnsi="Arial"/>
      <w:lang w:val="en-GB"/>
    </w:rPr>
  </w:style>
  <w:style w:type="paragraph" w:customStyle="1" w:styleId="125">
    <w:name w:val="Doc-comment"/>
    <w:basedOn w:val="1"/>
    <w:next w:val="88"/>
    <w:qFormat/>
    <w:uiPriority w:val="0"/>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26">
    <w:name w:val="正文文本 字符1"/>
    <w:qFormat/>
    <w:uiPriority w:val="0"/>
    <w:rPr>
      <w:rFonts w:ascii="Arial" w:hAnsi="Arial"/>
      <w:lang w:val="en-GB"/>
    </w:rPr>
  </w:style>
  <w:style w:type="paragraph" w:customStyle="1" w:styleId="127">
    <w:name w:val="Agreement"/>
    <w:basedOn w:val="1"/>
    <w:next w:val="88"/>
    <w:qFormat/>
    <w:uiPriority w:val="0"/>
    <w:pPr>
      <w:numPr>
        <w:ilvl w:val="0"/>
        <w:numId w:val="7"/>
      </w:numPr>
      <w:overflowPunct/>
      <w:autoSpaceDE/>
      <w:autoSpaceDN/>
      <w:adjustRightInd/>
      <w:spacing w:before="60" w:after="0"/>
      <w:jc w:val="left"/>
      <w:textAlignment w:val="auto"/>
    </w:pPr>
    <w:rPr>
      <w:rFonts w:eastAsia="MS Mincho"/>
      <w:b/>
      <w:szCs w:val="24"/>
      <w:lang w:eastAsia="en-GB"/>
    </w:rPr>
  </w:style>
  <w:style w:type="character" w:customStyle="1" w:styleId="128">
    <w:name w:val="TAC Char"/>
    <w:link w:val="69"/>
    <w:qFormat/>
    <w:uiPriority w:val="0"/>
    <w:rPr>
      <w:rFonts w:ascii="Arial" w:hAnsi="Arial"/>
      <w:sz w:val="18"/>
      <w:lang w:val="en-GB" w:eastAsia="en-US"/>
    </w:rPr>
  </w:style>
  <w:style w:type="character" w:customStyle="1" w:styleId="129">
    <w:name w:val="TAH Car"/>
    <w:link w:val="70"/>
    <w:qFormat/>
    <w:uiPriority w:val="0"/>
    <w:rPr>
      <w:rFonts w:ascii="Arial" w:hAnsi="Arial"/>
      <w:b/>
      <w:sz w:val="18"/>
      <w:lang w:val="en-GB" w:eastAsia="en-US"/>
    </w:rPr>
  </w:style>
  <w:style w:type="paragraph" w:customStyle="1" w:styleId="130">
    <w:name w:val="Doc-title"/>
    <w:basedOn w:val="1"/>
    <w:next w:val="88"/>
    <w:link w:val="131"/>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131">
    <w:name w:val="Doc-title Char"/>
    <w:link w:val="130"/>
    <w:qFormat/>
    <w:uiPriority w:val="0"/>
    <w:rPr>
      <w:rFonts w:ascii="Arial" w:hAnsi="Arial" w:eastAsia="MS Mincho"/>
      <w:szCs w:val="24"/>
      <w:lang w:val="en-GB" w:eastAsia="en-GB"/>
    </w:rPr>
  </w:style>
  <w:style w:type="character" w:customStyle="1" w:styleId="132">
    <w:name w:val="列出段落 字符"/>
    <w:qFormat/>
    <w:locked/>
    <w:uiPriority w:val="34"/>
  </w:style>
  <w:style w:type="character" w:customStyle="1" w:styleId="133">
    <w:name w:val="批注文字 字符"/>
    <w:qFormat/>
    <w:uiPriority w:val="99"/>
  </w:style>
  <w:style w:type="character" w:customStyle="1" w:styleId="134">
    <w:name w:val="正文文本 字符"/>
    <w:qFormat/>
    <w:uiPriority w:val="0"/>
    <w:rPr>
      <w:rFonts w:ascii="Arial" w:hAnsi="Arial"/>
      <w:lang w:val="en-GB"/>
    </w:rPr>
  </w:style>
  <w:style w:type="paragraph" w:customStyle="1" w:styleId="135">
    <w:name w:val="EmailDiscussion"/>
    <w:basedOn w:val="1"/>
    <w:next w:val="136"/>
    <w:link w:val="137"/>
    <w:qFormat/>
    <w:uiPriority w:val="0"/>
    <w:pPr>
      <w:numPr>
        <w:ilvl w:val="0"/>
        <w:numId w:val="8"/>
      </w:numPr>
      <w:overflowPunct/>
      <w:autoSpaceDE/>
      <w:autoSpaceDN/>
      <w:adjustRightInd/>
      <w:spacing w:before="40" w:after="0"/>
      <w:jc w:val="left"/>
      <w:textAlignment w:val="auto"/>
    </w:pPr>
    <w:rPr>
      <w:rFonts w:eastAsia="MS Mincho"/>
      <w:b/>
      <w:szCs w:val="24"/>
      <w:lang w:eastAsia="en-GB"/>
    </w:rPr>
  </w:style>
  <w:style w:type="paragraph" w:customStyle="1" w:styleId="136">
    <w:name w:val="EmailDiscussion2"/>
    <w:basedOn w:val="88"/>
    <w:qFormat/>
    <w:uiPriority w:val="99"/>
  </w:style>
  <w:style w:type="character" w:customStyle="1" w:styleId="137">
    <w:name w:val="EmailDiscussion Char"/>
    <w:link w:val="135"/>
    <w:qFormat/>
    <w:uiPriority w:val="0"/>
    <w:rPr>
      <w:rFonts w:ascii="Arial" w:hAnsi="Arial" w:eastAsia="MS Mincho"/>
      <w:b/>
      <w:szCs w:val="24"/>
      <w:lang w:val="en-GB" w:eastAsia="en-GB"/>
    </w:rPr>
  </w:style>
  <w:style w:type="character" w:customStyle="1" w:styleId="138">
    <w:name w:val="apple-converted-space"/>
    <w:qFormat/>
    <w:uiPriority w:val="0"/>
  </w:style>
  <w:style w:type="character" w:customStyle="1" w:styleId="139">
    <w:name w:val="NO Char1"/>
    <w:qFormat/>
    <w:uiPriority w:val="0"/>
    <w:rPr>
      <w:lang w:val="en-GB" w:eastAsia="en-US"/>
    </w:rPr>
  </w:style>
  <w:style w:type="paragraph" w:customStyle="1" w:styleId="140">
    <w:name w:val="normal puce"/>
    <w:basedOn w:val="1"/>
    <w:qFormat/>
    <w:uiPriority w:val="0"/>
    <w:pPr>
      <w:widowControl w:val="0"/>
      <w:numPr>
        <w:ilvl w:val="0"/>
        <w:numId w:val="9"/>
      </w:numPr>
      <w:tabs>
        <w:tab w:val="clear" w:pos="360"/>
      </w:tabs>
      <w:overflowPunct/>
      <w:autoSpaceDE/>
      <w:autoSpaceDN/>
      <w:adjustRightInd/>
      <w:spacing w:before="60" w:after="60"/>
      <w:ind w:left="720"/>
      <w:textAlignment w:val="auto"/>
    </w:pPr>
    <w:rPr>
      <w:rFonts w:ascii="Calibri" w:hAnsi="Calibri" w:eastAsia="MS Mincho"/>
      <w:szCs w:val="22"/>
      <w:lang w:eastAsia="en-US"/>
    </w:rPr>
  </w:style>
  <w:style w:type="character" w:customStyle="1" w:styleId="141">
    <w:name w:val="标题 1 字符"/>
    <w:qFormat/>
    <w:uiPriority w:val="0"/>
    <w:rPr>
      <w:rFonts w:ascii="Arial" w:hAnsi="Arial" w:cs="Arial"/>
      <w:sz w:val="36"/>
      <w:szCs w:val="36"/>
      <w:lang w:val="en-GB"/>
    </w:rPr>
  </w:style>
  <w:style w:type="character" w:customStyle="1" w:styleId="142">
    <w:name w:val="skip"/>
    <w:qFormat/>
    <w:uiPriority w:val="0"/>
  </w:style>
  <w:style w:type="character" w:customStyle="1" w:styleId="143">
    <w:name w:val="Unresolved Mention1"/>
    <w:basedOn w:val="46"/>
    <w:semiHidden/>
    <w:unhideWhenUsed/>
    <w:qFormat/>
    <w:uiPriority w:val="99"/>
    <w:rPr>
      <w:color w:val="605E5C"/>
      <w:shd w:val="clear" w:color="auto" w:fill="E1DFDD"/>
    </w:rPr>
  </w:style>
  <w:style w:type="character" w:customStyle="1" w:styleId="144">
    <w:name w:val="Editor's Note Char"/>
    <w:link w:val="56"/>
    <w:qFormat/>
    <w:locked/>
    <w:uiPriority w:val="0"/>
    <w:rPr>
      <w:rFonts w:ascii="Arial" w:hAnsi="Arial"/>
      <w:color w:val="FF0000"/>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B8452-EA61-4E2F-81FA-DD26F0447B7B}">
  <ds:schemaRefs/>
</ds:datastoreItem>
</file>

<file path=docProps/app.xml><?xml version="1.0" encoding="utf-8"?>
<Properties xmlns="http://schemas.openxmlformats.org/officeDocument/2006/extended-properties" xmlns:vt="http://schemas.openxmlformats.org/officeDocument/2006/docPropsVTypes">
  <Template>OPPO1</Template>
  <Company>Microsoft</Company>
  <Pages>6</Pages>
  <Words>1255</Words>
  <Characters>7158</Characters>
  <Lines>59</Lines>
  <Paragraphs>16</Paragraphs>
  <TotalTime>0</TotalTime>
  <ScaleCrop>false</ScaleCrop>
  <LinksUpToDate>false</LinksUpToDate>
  <CharactersWithSpaces>8397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2022-05-10T14:48:00Z</dcterms:created>
  <dc:creator>OPPO-Haitao</dc:creator>
  <cp:keywords>3GPP; OPPO; TDoc</cp:keywords>
  <cp:lastModifiedBy>WEN.WU5</cp:lastModifiedBy>
  <cp:lastPrinted>2008-01-31T00:09:00Z</cp:lastPrinted>
  <dcterms:modified xsi:type="dcterms:W3CDTF">2022-05-11T03:08:32Z</dcterms:modified>
  <dc:title>OPPO</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KSOProductBuildVer">
    <vt:lpwstr>2052-11.8.2.8696</vt:lpwstr>
  </property>
  <property fmtid="{D5CDD505-2E9C-101B-9397-08002B2CF9AE}" pid="5" name="ICV">
    <vt:lpwstr>E3BF7E9CC23E49C7887062B5E958D6F1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1652185711</vt:lpwstr>
  </property>
</Properties>
</file>