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spacing w:after="60"/>
        <w:rPr>
          <w:sz w:val="32"/>
          <w:szCs w:val="32"/>
        </w:rPr>
      </w:pPr>
      <w:r>
        <w:t>3GPP RAN WG2 Meeting #116bis-e</w:t>
      </w:r>
      <w:r>
        <w:tab/>
      </w:r>
      <w:r>
        <w:rPr>
          <w:rFonts w:cs="Arial"/>
          <w:sz w:val="26"/>
          <w:szCs w:val="26"/>
        </w:rPr>
        <w:t>R2-2201748</w:t>
      </w:r>
    </w:p>
    <w:p>
      <w:pPr>
        <w:pStyle w:val="43"/>
      </w:pPr>
      <w:r>
        <w:t>eMeeting January 17</w:t>
      </w:r>
      <w:r>
        <w:rPr>
          <w:vertAlign w:val="superscript"/>
        </w:rPr>
        <w:t>th</w:t>
      </w:r>
      <w:r>
        <w:t xml:space="preserve"> – 25</w:t>
      </w:r>
      <w:r>
        <w:rPr>
          <w:vertAlign w:val="superscript"/>
        </w:rPr>
        <w:t>th</w:t>
      </w:r>
      <w:r>
        <w:t xml:space="preserve">, 2022                                       </w:t>
      </w:r>
    </w:p>
    <w:p>
      <w:pPr>
        <w:pStyle w:val="43"/>
        <w:rPr>
          <w:sz w:val="22"/>
          <w:szCs w:val="22"/>
          <w:lang w:val="sv-SE"/>
        </w:rPr>
      </w:pPr>
      <w:r>
        <w:rPr>
          <w:sz w:val="22"/>
          <w:szCs w:val="22"/>
          <w:lang w:val="sv-SE"/>
        </w:rPr>
        <w:t>Agenda Item:</w:t>
      </w:r>
      <w:r>
        <w:rPr>
          <w:sz w:val="22"/>
          <w:szCs w:val="22"/>
          <w:lang w:val="sv-SE"/>
        </w:rPr>
        <w:tab/>
      </w:r>
      <w:r>
        <w:rPr>
          <w:sz w:val="22"/>
          <w:szCs w:val="22"/>
          <w:lang w:val="sv-SE"/>
        </w:rPr>
        <w:t>8.10.2.2</w:t>
      </w:r>
    </w:p>
    <w:p>
      <w:pPr>
        <w:pStyle w:val="43"/>
        <w:rPr>
          <w:sz w:val="22"/>
          <w:szCs w:val="22"/>
          <w:lang w:val="en-US"/>
        </w:rPr>
      </w:pPr>
      <w:r>
        <w:rPr>
          <w:sz w:val="22"/>
          <w:szCs w:val="22"/>
          <w:lang w:val="en-US"/>
        </w:rPr>
        <w:t>Source:</w:t>
      </w:r>
      <w:r>
        <w:rPr>
          <w:sz w:val="22"/>
          <w:szCs w:val="22"/>
          <w:lang w:val="en-US"/>
        </w:rPr>
        <w:tab/>
      </w:r>
      <w:r>
        <w:rPr>
          <w:sz w:val="22"/>
          <w:szCs w:val="22"/>
          <w:lang w:val="en-US"/>
        </w:rPr>
        <w:t>InterDigital (summary rapporteur)</w:t>
      </w:r>
    </w:p>
    <w:p>
      <w:pPr>
        <w:pStyle w:val="43"/>
        <w:ind w:left="1700" w:hanging="1700"/>
        <w:jc w:val="left"/>
        <w:rPr>
          <w:color w:val="000000"/>
          <w:sz w:val="22"/>
          <w:szCs w:val="22"/>
        </w:rPr>
      </w:pPr>
      <w:r>
        <w:rPr>
          <w:sz w:val="22"/>
          <w:szCs w:val="22"/>
        </w:rPr>
        <w:t>Title:</w:t>
      </w:r>
      <w:r>
        <w:rPr>
          <w:sz w:val="22"/>
          <w:szCs w:val="22"/>
        </w:rPr>
        <w:tab/>
      </w:r>
      <w:r>
        <w:rPr>
          <w:sz w:val="22"/>
          <w:szCs w:val="22"/>
        </w:rPr>
        <w:t>Summary of [AT116bis-e][107][NTN] Other MAC aspects: Phase 2</w:t>
      </w:r>
    </w:p>
    <w:p>
      <w:pPr>
        <w:pStyle w:val="43"/>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is a discussion paper to obtain company input to the Phase 2 of the following offline discussion:</w:t>
      </w:r>
    </w:p>
    <w:p>
      <w:pPr>
        <w:pStyle w:val="68"/>
        <w:numPr>
          <w:ilvl w:val="0"/>
          <w:numId w:val="5"/>
        </w:numPr>
        <w:tabs>
          <w:tab w:val="left" w:pos="1619"/>
        </w:tabs>
        <w:spacing w:after="0" w:line="240" w:lineRule="auto"/>
      </w:pPr>
      <w:r>
        <w:t>[AT116bis-e][107][NTN] Other MAC aspects (InterDigital)</w:t>
      </w:r>
    </w:p>
    <w:p>
      <w:pPr>
        <w:ind w:left="720"/>
        <w:rPr>
          <w:shd w:val="clear" w:color="auto" w:fill="FFFFFF"/>
        </w:rPr>
      </w:pPr>
      <w:r>
        <w:rPr>
          <w:lang w:val="en-US" w:eastAsia="en-US"/>
        </w:rPr>
        <w:t xml:space="preserve">Initial scope: </w:t>
      </w:r>
      <w:r>
        <w:rPr>
          <w:shd w:val="clear" w:color="auto" w:fill="FFFFFF"/>
        </w:rPr>
        <w:t>Discuss remaining MAC open issues, focussing on DRX timers, CG/SPS and remaining HARQ state aspects</w:t>
      </w:r>
    </w:p>
    <w:p>
      <w:pPr>
        <w:ind w:left="720"/>
        <w:rPr>
          <w:lang w:val="en-US" w:eastAsia="en-US"/>
        </w:rPr>
      </w:pPr>
      <w:r>
        <w:rPr>
          <w:highlight w:val="green"/>
          <w:lang w:val="en-US" w:eastAsia="en-US"/>
        </w:rPr>
        <w:t>Updated scope</w:t>
      </w:r>
      <w:r>
        <w:rPr>
          <w:lang w:val="en-US" w:eastAsia="en-US"/>
        </w:rPr>
        <w:t>: Discuss remaining issues from R2-2201739</w:t>
      </w:r>
    </w:p>
    <w:p>
      <w:pPr>
        <w:ind w:left="720"/>
        <w:rPr>
          <w:lang w:val="en-US" w:eastAsia="en-US"/>
        </w:rPr>
      </w:pPr>
      <w:r>
        <w:rPr>
          <w:highlight w:val="green"/>
          <w:lang w:val="en-US" w:eastAsia="en-US"/>
        </w:rPr>
        <w:t>Updated intended outcome</w:t>
      </w:r>
      <w:r>
        <w:rPr>
          <w:lang w:val="en-US" w:eastAsia="en-US"/>
        </w:rPr>
        <w:t>: Summary of the offline discussion with e.g.:</w:t>
      </w:r>
    </w:p>
    <w:p>
      <w:pPr>
        <w:pStyle w:val="50"/>
        <w:numPr>
          <w:ilvl w:val="0"/>
          <w:numId w:val="8"/>
        </w:numPr>
        <w:ind w:left="1440"/>
        <w:rPr>
          <w:rFonts w:ascii="Arial" w:hAnsi="Arial" w:cs="Arial"/>
          <w:sz w:val="20"/>
          <w:szCs w:val="20"/>
        </w:rPr>
      </w:pPr>
      <w:r>
        <w:rPr>
          <w:rFonts w:ascii="Arial" w:hAnsi="Arial" w:cs="Arial"/>
          <w:sz w:val="20"/>
          <w:szCs w:val="20"/>
        </w:rPr>
        <w:t>List of proposals for agreement (if any)</w:t>
      </w:r>
    </w:p>
    <w:p>
      <w:pPr>
        <w:pStyle w:val="50"/>
        <w:numPr>
          <w:ilvl w:val="0"/>
          <w:numId w:val="8"/>
        </w:numPr>
        <w:ind w:left="1440"/>
        <w:rPr>
          <w:rFonts w:ascii="Arial" w:hAnsi="Arial" w:cs="Arial"/>
          <w:sz w:val="20"/>
          <w:szCs w:val="20"/>
        </w:rPr>
      </w:pPr>
      <w:r>
        <w:rPr>
          <w:rFonts w:ascii="Arial" w:hAnsi="Arial" w:cs="Arial"/>
          <w:sz w:val="20"/>
          <w:szCs w:val="20"/>
        </w:rPr>
        <w:t>List of proposals that require online discussions</w:t>
      </w:r>
    </w:p>
    <w:p>
      <w:pPr>
        <w:pStyle w:val="50"/>
        <w:numPr>
          <w:ilvl w:val="0"/>
          <w:numId w:val="8"/>
        </w:numPr>
        <w:ind w:left="1440"/>
        <w:rPr>
          <w:rFonts w:ascii="Arial" w:hAnsi="Arial" w:cs="Arial"/>
          <w:sz w:val="20"/>
          <w:szCs w:val="20"/>
        </w:rPr>
      </w:pPr>
      <w:r>
        <w:rPr>
          <w:rFonts w:ascii="Arial" w:hAnsi="Arial" w:cs="Arial"/>
          <w:sz w:val="20"/>
          <w:szCs w:val="20"/>
        </w:rPr>
        <w:t>List of proposals that should not be pursued (if any)</w:t>
      </w:r>
    </w:p>
    <w:p>
      <w:pPr>
        <w:rPr>
          <w:rFonts w:cs="Arial"/>
          <w:lang w:val="en-US" w:eastAsia="en-US"/>
        </w:rPr>
      </w:pPr>
      <w:r>
        <w:rPr>
          <w:rFonts w:cs="Arial"/>
          <w:lang w:val="en-US" w:eastAsia="en-US"/>
        </w:rPr>
        <w:t>The following deadline for company feedback has been provided:</w:t>
      </w:r>
    </w:p>
    <w:p>
      <w:pPr>
        <w:pStyle w:val="50"/>
        <w:numPr>
          <w:ilvl w:val="0"/>
          <w:numId w:val="9"/>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FF0000"/>
          <w:sz w:val="20"/>
          <w:szCs w:val="20"/>
        </w:rPr>
        <w:t xml:space="preserve">Monday 2022-01-24 1800 UTC </w:t>
      </w:r>
    </w:p>
    <w:p>
      <w:pPr>
        <w:pStyle w:val="50"/>
        <w:numPr>
          <w:ilvl w:val="0"/>
          <w:numId w:val="9"/>
        </w:numPr>
        <w:rPr>
          <w:rFonts w:ascii="Arial" w:hAnsi="Arial" w:cs="Arial"/>
          <w:sz w:val="20"/>
          <w:szCs w:val="20"/>
        </w:rPr>
      </w:pPr>
      <w:r>
        <w:rPr>
          <w:rFonts w:ascii="Arial" w:hAnsi="Arial" w:cs="Arial"/>
          <w:sz w:val="20"/>
          <w:szCs w:val="20"/>
        </w:rPr>
        <w:t>Initial deadline (for rapporteur's summary in R2-2201748): Monday 2022-01-24 2000 UTC</w:t>
      </w:r>
    </w:p>
    <w:p>
      <w:pPr>
        <w:rPr>
          <w:rFonts w:cs="Arial"/>
          <w:lang w:val="en-US" w:eastAsia="en-US"/>
        </w:rPr>
      </w:pPr>
      <w:r>
        <w:rPr>
          <w:rFonts w:cs="Arial"/>
          <w:lang w:val="en-US" w:eastAsia="en-US"/>
        </w:rPr>
        <w:t>Please also note the following chair guidance:</w:t>
      </w:r>
    </w:p>
    <w:p>
      <w:pPr>
        <w:pStyle w:val="50"/>
        <w:numPr>
          <w:ilvl w:val="0"/>
          <w:numId w:val="9"/>
        </w:numPr>
        <w:rPr>
          <w:rFonts w:ascii="Arial" w:hAnsi="Arial" w:cs="Arial"/>
          <w:sz w:val="20"/>
          <w:szCs w:val="20"/>
        </w:rPr>
      </w:pPr>
      <w:r>
        <w:rPr>
          <w:rFonts w:ascii="Arial" w:hAnsi="Arial" w:cs="Arial"/>
          <w:sz w:val="20"/>
          <w:szCs w:val="20"/>
        </w:rPr>
        <w:t xml:space="preserve">Proposals marked "for agreement" in R2-2201748 not challenged until </w:t>
      </w:r>
      <w:r>
        <w:rPr>
          <w:rFonts w:ascii="Arial" w:hAnsi="Arial" w:cs="Arial"/>
          <w:b/>
          <w:bCs/>
          <w:color w:val="FF0000"/>
          <w:sz w:val="20"/>
          <w:szCs w:val="20"/>
        </w:rPr>
        <w:t xml:space="preserve">Tuesday 2022-01-25 0800 UTC </w:t>
      </w:r>
      <w:r>
        <w:rPr>
          <w:rFonts w:ascii="Arial" w:hAnsi="Arial" w:cs="Arial"/>
          <w:sz w:val="20"/>
          <w:szCs w:val="20"/>
        </w:rPr>
        <w:t>will be declared as agreed via email by the session chair (for the rest the discussion might continue in the GTW session).</w:t>
      </w:r>
    </w:p>
    <w:p>
      <w:pPr>
        <w:pStyle w:val="2"/>
      </w:pPr>
      <w:r>
        <w:t>Remaining issues from first round</w:t>
      </w:r>
    </w:p>
    <w:p>
      <w:pPr>
        <w:pStyle w:val="3"/>
      </w:pPr>
      <w:r>
        <w:t>ConfiguredGrantTimer extention</w:t>
      </w:r>
    </w:p>
    <w:p>
      <w:pPr>
        <w:rPr>
          <w:lang w:eastAsia="ko-KR"/>
        </w:rPr>
      </w:pPr>
      <w:r>
        <w:rPr>
          <w:lang w:eastAsia="ko-KR"/>
        </w:rPr>
        <w:t xml:space="preserve">For a configured grant (CG) configuration, the network may optionally configure a </w:t>
      </w:r>
      <w:r>
        <w:rPr>
          <w:i/>
          <w:iCs/>
          <w:lang w:eastAsia="ko-KR"/>
        </w:rPr>
        <w:t>configuredGrantTimer</w:t>
      </w:r>
      <w:r>
        <w:rPr>
          <w:lang w:eastAsia="ko-KR"/>
        </w:rPr>
        <w:t xml:space="preserve">. While the </w:t>
      </w:r>
      <w:r>
        <w:rPr>
          <w:i/>
          <w:iCs/>
          <w:lang w:eastAsia="ko-KR"/>
        </w:rPr>
        <w:t>configuredGrantTimer</w:t>
      </w:r>
      <w:r>
        <w:rPr>
          <w:lang w:eastAsia="ko-KR"/>
        </w:rPr>
        <w:t xml:space="preserve"> is running, the corresponding HARQ process will not be used for a new CG transmission. This facilitiates network scheduling of retransmissions for that HARQ process ID. </w:t>
      </w:r>
      <w:r>
        <w:rPr>
          <w:lang w:eastAsia="sv-SE"/>
        </w:rPr>
        <w:t xml:space="preserve">To ensure </w:t>
      </w:r>
      <w:r>
        <w:rPr>
          <w:lang w:eastAsia="ko-KR"/>
        </w:rPr>
        <w:t xml:space="preserve">the length of </w:t>
      </w:r>
      <w:r>
        <w:rPr>
          <w:i/>
          <w:iCs/>
          <w:lang w:eastAsia="ko-KR"/>
        </w:rPr>
        <w:t>configuredGrantTimer</w:t>
      </w:r>
      <w:r>
        <w:rPr>
          <w:lang w:eastAsia="ko-KR"/>
        </w:rPr>
        <w:t xml:space="preserve"> can cover the larger round trip delay in NTN </w:t>
      </w:r>
      <w:r>
        <w:rPr>
          <w:lang w:eastAsia="sv-SE"/>
        </w:rPr>
        <w:t>f</w:t>
      </w:r>
      <w:r>
        <w:rPr>
          <w:lang w:eastAsia="ko-KR"/>
        </w:rPr>
        <w:t>or smaller values of periodicity, i</w:t>
      </w:r>
      <w:r>
        <w:rPr>
          <w:lang w:eastAsia="sv-SE"/>
        </w:rPr>
        <w:t xml:space="preserve">n RAN2#116e it was agreed that the </w:t>
      </w:r>
      <w:r>
        <w:rPr>
          <w:i/>
          <w:iCs/>
          <w:lang w:eastAsia="sv-SE"/>
        </w:rPr>
        <w:t>configuredGrantTimer</w:t>
      </w:r>
      <w:r>
        <w:rPr>
          <w:lang w:eastAsia="sv-SE"/>
        </w:rPr>
        <w:t xml:space="preserve"> may be extended, however the method of extension remains FFS:</w:t>
      </w:r>
    </w:p>
    <w:p>
      <w:pPr>
        <w:pStyle w:val="50"/>
        <w:numPr>
          <w:ilvl w:val="0"/>
          <w:numId w:val="10"/>
        </w:numPr>
        <w:jc w:val="both"/>
        <w:rPr>
          <w:rFonts w:ascii="Arial" w:hAnsi="Arial" w:cs="Arial"/>
          <w:i/>
          <w:iCs/>
          <w:sz w:val="20"/>
          <w:szCs w:val="20"/>
          <w:lang w:eastAsia="sv-SE"/>
        </w:rPr>
      </w:pPr>
      <w:r>
        <w:rPr>
          <w:rFonts w:ascii="Arial" w:hAnsi="Arial" w:cs="Arial"/>
          <w:i/>
          <w:iCs/>
          <w:sz w:val="20"/>
          <w:szCs w:val="20"/>
          <w:lang w:eastAsia="sv-SE"/>
        </w:rPr>
        <w:t>configuredGrantTimer can be extended in NTN. FFS details of when extension is applicable and method of extention.</w:t>
      </w:r>
    </w:p>
    <w:p>
      <w:pPr>
        <w:pStyle w:val="50"/>
        <w:numPr>
          <w:ilvl w:val="0"/>
          <w:numId w:val="10"/>
        </w:numPr>
        <w:jc w:val="both"/>
        <w:rPr>
          <w:rFonts w:ascii="Arial" w:hAnsi="Arial" w:cs="Arial"/>
          <w:i/>
          <w:iCs/>
          <w:sz w:val="20"/>
          <w:szCs w:val="20"/>
          <w:lang w:eastAsia="sv-SE"/>
        </w:rPr>
      </w:pPr>
      <w:r>
        <w:rPr>
          <w:rFonts w:ascii="Arial" w:hAnsi="Arial" w:cs="Arial"/>
          <w:i/>
          <w:iCs/>
          <w:sz w:val="20"/>
          <w:szCs w:val="20"/>
          <w:lang w:eastAsia="sv-SE"/>
        </w:rPr>
        <w:t>FFS:RAN2 to down-select between the following options to extend configuredGrantTimer: 1) Introducing value(s) of configuredGrantTimer larger than 64; 2) Value of the configuredGrantTimer is extended by UE-gNB-RTT;”</w:t>
      </w:r>
    </w:p>
    <w:p>
      <w:pPr>
        <w:rPr>
          <w:i/>
          <w:lang w:eastAsia="sv-SE"/>
        </w:rPr>
      </w:pPr>
      <w:r>
        <w:rPr>
          <w:lang w:eastAsia="sv-SE"/>
        </w:rPr>
        <w:t>Below is a summary of technical arguments provided via contributions submitted to RAN2#116bis-e:</w:t>
      </w:r>
    </w:p>
    <w:p>
      <w:pPr>
        <w:rPr>
          <w:bCs/>
          <w:lang w:eastAsia="sv-SE"/>
        </w:rPr>
      </w:pPr>
      <w:bookmarkStart w:id="0" w:name="OLE_LINK1"/>
      <w:bookmarkStart w:id="1" w:name="OLE_LINK2"/>
      <w:r>
        <w:rPr>
          <w:b/>
          <w:lang w:eastAsia="sv-SE"/>
        </w:rPr>
        <w:t>configuredGrantTimer</w:t>
      </w:r>
      <w:bookmarkEnd w:id="0"/>
      <w:bookmarkEnd w:id="1"/>
      <w:r>
        <w:rPr>
          <w:b/>
          <w:lang w:eastAsia="sv-SE"/>
        </w:rPr>
        <w:t xml:space="preserve"> extended by UE-gNB RTT [1, 2, 3, 6, 8, 11, 17]:</w:t>
      </w:r>
    </w:p>
    <w:p>
      <w:pPr>
        <w:rPr>
          <w:bCs/>
          <w:lang w:eastAsia="sv-SE"/>
        </w:rPr>
      </w:pPr>
      <w:r>
        <w:rPr>
          <w:bCs/>
          <w:lang w:eastAsia="sv-SE"/>
        </w:rPr>
        <w:t xml:space="preserve">Proponents of extending the </w:t>
      </w:r>
      <w:r>
        <w:rPr>
          <w:bCs/>
          <w:i/>
          <w:iCs/>
          <w:lang w:eastAsia="sv-SE"/>
        </w:rPr>
        <w:t>configuredGrantTimer</w:t>
      </w:r>
      <w:r>
        <w:rPr>
          <w:bCs/>
          <w:lang w:eastAsia="sv-SE"/>
        </w:rPr>
        <w:t xml:space="preserve"> by UE-gNB RTT note that introducing additional values of CGT would lead to unnecessary signaling overhead [1, 2] and it would be difficult to configure values which properly match the RTT [2, 11]. This may lead to a waste of CG resources for some UEs near cell center [6], and it would be simple and efficient to extend by UE-gNB RTT similar to the HARQ RTT Timer [3, 8, 11].</w:t>
      </w:r>
    </w:p>
    <w:p>
      <w:pPr>
        <w:rPr>
          <w:b/>
          <w:lang w:eastAsia="sv-SE"/>
        </w:rPr>
      </w:pPr>
      <w:r>
        <w:rPr>
          <w:b/>
          <w:lang w:eastAsia="sv-SE"/>
        </w:rPr>
        <w:t>configuredGrantTimer extended by additional values [4, 13, 14, 15, 16, 18]:</w:t>
      </w:r>
    </w:p>
    <w:p>
      <w:pPr>
        <w:rPr>
          <w:bCs/>
          <w:lang w:eastAsia="sv-SE"/>
        </w:rPr>
      </w:pPr>
      <w:r>
        <w:rPr>
          <w:bCs/>
          <w:lang w:eastAsia="sv-SE"/>
        </w:rPr>
        <w:t>Proponents of extending the CGT by additional values note that this method is simple [4, 13], and that extension by UE-gNB RTT may be complicated as this value changes over time [14, 15]. Furthermore, current specification allows network to configure values of CGT lower than RTT to enable e.g. blind retransmission, which would not be possible by UE-gNB extension methods [15, 16]. Furthermore, the need for many additional values may also be limited as there is little benefit in covering more than one RTT in GEO due to unreasonably long delays [18].</w:t>
      </w:r>
    </w:p>
    <w:p>
      <w:pPr>
        <w:rPr>
          <w:lang w:eastAsia="sv-SE"/>
        </w:rPr>
      </w:pPr>
      <w:r>
        <w:t xml:space="preserve">Out of 17 companies participating in Phase 1 discussion, the following table presents a summary of responses </w:t>
      </w:r>
      <w:r>
        <w:rPr>
          <w:lang w:eastAsia="sv-SE"/>
        </w:rPr>
        <w:t>(companies are encouraged to refer to the original discussion document in R2-2101739 for detailed summary)</w:t>
      </w:r>
      <w:r>
        <w:t>:</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8"/>
        <w:gridCol w:w="2818"/>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55" w:type="dxa"/>
            <w:gridSpan w:val="3"/>
            <w:shd w:val="clear" w:color="auto" w:fill="F1F1F1" w:themeFill="background1" w:themeFillShade="F2"/>
            <w:vAlign w:val="center"/>
          </w:tcPr>
          <w:p>
            <w:pPr>
              <w:jc w:val="center"/>
              <w:rPr>
                <w:b/>
                <w:i/>
                <w:iCs/>
              </w:rPr>
            </w:pPr>
            <w:r>
              <w:rPr>
                <w:b/>
                <w:i/>
                <w:iCs/>
                <w:lang w:eastAsia="sv-SE"/>
              </w:rPr>
              <w:t>Preferred method to extend configuredGrantTimer in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8" w:type="dxa"/>
            <w:shd w:val="clear" w:color="auto" w:fill="F1F1F1" w:themeFill="background1" w:themeFillShade="F2"/>
            <w:vAlign w:val="center"/>
          </w:tcPr>
          <w:p>
            <w:pPr>
              <w:jc w:val="center"/>
            </w:pPr>
            <w:r>
              <w:t>Extend by UE-gNB RTT</w:t>
            </w:r>
          </w:p>
        </w:tc>
        <w:tc>
          <w:tcPr>
            <w:tcW w:w="2818" w:type="dxa"/>
            <w:shd w:val="clear" w:color="auto" w:fill="F1F1F1" w:themeFill="background1" w:themeFillShade="F2"/>
            <w:vAlign w:val="center"/>
          </w:tcPr>
          <w:p>
            <w:pPr>
              <w:jc w:val="center"/>
            </w:pPr>
            <w:r>
              <w:t>Values larger than 64</w:t>
            </w:r>
          </w:p>
        </w:tc>
        <w:tc>
          <w:tcPr>
            <w:tcW w:w="2819" w:type="dxa"/>
            <w:shd w:val="clear" w:color="auto" w:fill="F1F1F1" w:themeFill="background1" w:themeFillShade="F2"/>
          </w:tcPr>
          <w:p>
            <w:pPr>
              <w:jc w:val="center"/>
            </w:pPr>
            <w:r>
              <w:t>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8" w:type="dxa"/>
            <w:vAlign w:val="center"/>
          </w:tcPr>
          <w:p>
            <w:pPr>
              <w:jc w:val="center"/>
            </w:pPr>
            <w:r>
              <w:t>8</w:t>
            </w:r>
          </w:p>
        </w:tc>
        <w:tc>
          <w:tcPr>
            <w:tcW w:w="2818" w:type="dxa"/>
          </w:tcPr>
          <w:p>
            <w:pPr>
              <w:jc w:val="center"/>
            </w:pPr>
            <w:r>
              <w:t>9</w:t>
            </w:r>
          </w:p>
        </w:tc>
        <w:tc>
          <w:tcPr>
            <w:tcW w:w="2819" w:type="dxa"/>
          </w:tcPr>
          <w:p>
            <w:pPr>
              <w:jc w:val="center"/>
            </w:pPr>
            <w:r>
              <w:t>1</w:t>
            </w:r>
          </w:p>
        </w:tc>
      </w:tr>
    </w:tbl>
    <w:p>
      <w:pPr>
        <w:ind w:left="1440" w:hanging="1440"/>
        <w:rPr>
          <w:bCs/>
          <w:sz w:val="4"/>
          <w:szCs w:val="4"/>
          <w:lang w:eastAsia="sv-SE"/>
        </w:rPr>
      </w:pPr>
    </w:p>
    <w:p>
      <w:pPr>
        <w:rPr>
          <w:bCs/>
          <w:lang w:eastAsia="sv-SE"/>
        </w:rPr>
      </w:pPr>
      <w:r>
        <w:rPr>
          <w:bCs/>
          <w:lang w:eastAsia="sv-SE"/>
        </w:rPr>
        <w:t>Based on company input, the following is noted:</w:t>
      </w:r>
    </w:p>
    <w:p>
      <w:pPr>
        <w:pStyle w:val="50"/>
        <w:numPr>
          <w:ilvl w:val="0"/>
          <w:numId w:val="11"/>
        </w:numPr>
        <w:rPr>
          <w:rFonts w:ascii="Arial" w:hAnsi="Arial" w:cs="Arial"/>
          <w:b/>
          <w:sz w:val="20"/>
          <w:szCs w:val="20"/>
          <w:lang w:eastAsia="sv-SE"/>
        </w:rPr>
      </w:pPr>
      <w:r>
        <w:rPr>
          <w:rFonts w:ascii="Arial" w:hAnsi="Arial" w:cs="Arial"/>
          <w:b/>
          <w:sz w:val="20"/>
          <w:szCs w:val="20"/>
          <w:lang w:eastAsia="sv-SE"/>
        </w:rPr>
        <w:t>Option 1:</w:t>
      </w:r>
    </w:p>
    <w:p>
      <w:pPr>
        <w:pStyle w:val="50"/>
        <w:numPr>
          <w:ilvl w:val="1"/>
          <w:numId w:val="11"/>
        </w:numPr>
        <w:rPr>
          <w:rFonts w:ascii="Arial" w:hAnsi="Arial" w:cs="Arial"/>
          <w:bCs/>
          <w:sz w:val="20"/>
          <w:szCs w:val="20"/>
          <w:lang w:eastAsia="sv-SE"/>
        </w:rPr>
      </w:pPr>
      <w:r>
        <w:rPr>
          <w:rFonts w:ascii="Arial" w:hAnsi="Arial" w:cs="Arial"/>
          <w:bCs/>
          <w:sz w:val="20"/>
          <w:szCs w:val="20"/>
          <w:lang w:eastAsia="sv-SE"/>
        </w:rPr>
        <w:t xml:space="preserve">Advantages are that it can accurately offset the timer with a value already used/maintained to offset other timers (e.g. the HARQ RTT Timers) without additional signalling overhead. </w:t>
      </w:r>
    </w:p>
    <w:p>
      <w:pPr>
        <w:pStyle w:val="50"/>
        <w:numPr>
          <w:ilvl w:val="1"/>
          <w:numId w:val="11"/>
        </w:numPr>
        <w:rPr>
          <w:rFonts w:ascii="Arial" w:hAnsi="Arial" w:cs="Arial"/>
          <w:bCs/>
          <w:sz w:val="20"/>
          <w:szCs w:val="20"/>
          <w:lang w:eastAsia="sv-SE"/>
        </w:rPr>
      </w:pPr>
      <w:r>
        <w:rPr>
          <w:rFonts w:ascii="Arial" w:hAnsi="Arial" w:cs="Arial"/>
          <w:bCs/>
          <w:sz w:val="20"/>
          <w:szCs w:val="20"/>
          <w:lang w:eastAsia="sv-SE"/>
        </w:rPr>
        <w:t>Concerns are that use of the UE-gNB RTT could lead to a mismatch between UE and gNB regarding the value, possibly leading to missed CG transmission.</w:t>
      </w:r>
    </w:p>
    <w:p>
      <w:pPr>
        <w:pStyle w:val="50"/>
        <w:numPr>
          <w:ilvl w:val="0"/>
          <w:numId w:val="11"/>
        </w:numPr>
        <w:rPr>
          <w:rFonts w:ascii="Arial" w:hAnsi="Arial" w:cs="Arial"/>
          <w:b/>
          <w:sz w:val="20"/>
          <w:szCs w:val="20"/>
          <w:lang w:eastAsia="sv-SE"/>
        </w:rPr>
      </w:pPr>
      <w:r>
        <w:rPr>
          <w:rFonts w:ascii="Arial" w:hAnsi="Arial" w:cs="Arial"/>
          <w:b/>
          <w:sz w:val="20"/>
          <w:szCs w:val="20"/>
          <w:lang w:eastAsia="sv-SE"/>
        </w:rPr>
        <w:t>Option 2:</w:t>
      </w:r>
    </w:p>
    <w:p>
      <w:pPr>
        <w:pStyle w:val="50"/>
        <w:numPr>
          <w:ilvl w:val="1"/>
          <w:numId w:val="11"/>
        </w:numPr>
        <w:rPr>
          <w:rFonts w:ascii="Arial" w:hAnsi="Arial" w:cs="Arial"/>
          <w:bCs/>
          <w:sz w:val="20"/>
          <w:szCs w:val="20"/>
          <w:lang w:eastAsia="sv-SE"/>
        </w:rPr>
      </w:pPr>
      <w:r>
        <w:rPr>
          <w:rFonts w:ascii="Arial" w:hAnsi="Arial" w:cs="Arial"/>
          <w:bCs/>
          <w:sz w:val="20"/>
          <w:szCs w:val="20"/>
          <w:lang w:eastAsia="sv-SE"/>
        </w:rPr>
        <w:t xml:space="preserve">Advantages are that it is simple with minimal specification impact, and gNB would be in full control of the timer avoiding UE-gNB mismatch. </w:t>
      </w:r>
    </w:p>
    <w:p>
      <w:pPr>
        <w:pStyle w:val="50"/>
        <w:numPr>
          <w:ilvl w:val="1"/>
          <w:numId w:val="11"/>
        </w:numPr>
        <w:rPr>
          <w:rFonts w:ascii="Arial" w:hAnsi="Arial" w:cs="Arial"/>
          <w:bCs/>
          <w:sz w:val="20"/>
          <w:szCs w:val="20"/>
          <w:lang w:eastAsia="sv-SE"/>
        </w:rPr>
      </w:pPr>
      <w:r>
        <w:rPr>
          <w:rFonts w:ascii="Arial" w:hAnsi="Arial" w:cs="Arial"/>
          <w:bCs/>
          <w:sz w:val="20"/>
          <w:szCs w:val="20"/>
          <w:lang w:eastAsia="sv-SE"/>
        </w:rPr>
        <w:t>Concerns are that it would require additional signalling overhead, and would be difficult to accurately compensate the UE-gNB RTT.</w:t>
      </w:r>
    </w:p>
    <w:p>
      <w:pPr>
        <w:rPr>
          <w:bCs/>
          <w:lang w:eastAsia="sv-SE"/>
        </w:rPr>
      </w:pPr>
      <w:r>
        <w:rPr>
          <w:bCs/>
          <w:lang w:eastAsia="sv-SE"/>
        </w:rPr>
        <w:t>The following questions are intended to address the above issues:</w:t>
      </w:r>
    </w:p>
    <w:p>
      <w:pPr>
        <w:ind w:left="1440" w:hanging="1440"/>
        <w:rPr>
          <w:b/>
          <w:lang w:eastAsia="sv-SE"/>
        </w:rPr>
      </w:pPr>
      <w:r>
        <w:rPr>
          <w:b/>
          <w:lang w:eastAsia="sv-SE"/>
        </w:rPr>
        <w:t xml:space="preserve">Question 1a: </w:t>
      </w:r>
      <w:r>
        <w:rPr>
          <w:b/>
          <w:lang w:eastAsia="sv-SE"/>
        </w:rPr>
        <w:tab/>
      </w:r>
      <w:r>
        <w:rPr>
          <w:b/>
          <w:lang w:eastAsia="sv-SE"/>
        </w:rPr>
        <w:t>Would extension of CGT by UE-gNB RTT (Option 1) possibly lead to mismatch between UE and gNB regarding timer duration? If “Yes”, please describe possible impacts to system performance (if any).</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Yes/No</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OPPO</w:t>
            </w:r>
          </w:p>
        </w:tc>
        <w:tc>
          <w:tcPr>
            <w:tcW w:w="1739" w:type="dxa"/>
          </w:tcPr>
          <w:p>
            <w:pPr>
              <w:rPr>
                <w:rFonts w:eastAsiaTheme="minorEastAsia"/>
              </w:rPr>
            </w:pPr>
            <w:r>
              <w:rPr>
                <w:rFonts w:eastAsiaTheme="minorEastAsia"/>
              </w:rPr>
              <w:t>No</w:t>
            </w:r>
          </w:p>
        </w:tc>
        <w:tc>
          <w:tcPr>
            <w:tcW w:w="6480" w:type="dxa"/>
          </w:tcPr>
          <w:p>
            <w:pPr>
              <w:rPr>
                <w:rFonts w:eastAsiaTheme="minorEastAsia"/>
                <w:highlight w:val="yellow"/>
              </w:rPr>
            </w:pPr>
            <w:bookmarkStart w:id="2" w:name="OLE_LINK113"/>
            <w:bookmarkStart w:id="3" w:name="OLE_LINK114"/>
            <w:r>
              <w:rPr>
                <w:rFonts w:eastAsiaTheme="minorEastAsia"/>
              </w:rPr>
              <w:t>Extension by UE-gNB RTT applies to various timers in NTN. The mismatch issue between UE and gNB has not been identified for the other timers such as drx-HARQ-RTT-TimerUL</w:t>
            </w:r>
            <w:r>
              <w:rPr>
                <w:rFonts w:hint="eastAsia" w:eastAsiaTheme="minorEastAsia"/>
              </w:rPr>
              <w:t>/</w:t>
            </w:r>
            <w:r>
              <w:rPr>
                <w:rFonts w:eastAsiaTheme="minorEastAsia"/>
              </w:rPr>
              <w:t xml:space="preserve">DL. For configuredGrantTimer the situation is the same, and there is no reason to consider it problematic. </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eastAsiaTheme="minorEastAsia"/>
              </w:rPr>
              <w:t>Yes</w:t>
            </w:r>
          </w:p>
        </w:tc>
        <w:tc>
          <w:tcPr>
            <w:tcW w:w="6480" w:type="dxa"/>
          </w:tcPr>
          <w:p>
            <w:pPr>
              <w:rPr>
                <w:rFonts w:eastAsiaTheme="minorEastAsia"/>
              </w:rPr>
            </w:pPr>
            <w:bookmarkStart w:id="4" w:name="OLE_LINK115"/>
            <w:bookmarkStart w:id="5" w:name="OLE_LINK116"/>
            <w:r>
              <w:rPr>
                <w:rFonts w:eastAsiaTheme="minorEastAsia"/>
              </w:rPr>
              <w:t xml:space="preserve">Case 1:If network considers a CG resource recurring </w:t>
            </w:r>
            <w:r>
              <w:rPr>
                <w:rFonts w:hint="eastAsia" w:eastAsiaTheme="minorEastAsia"/>
              </w:rPr>
              <w:t>before</w:t>
            </w:r>
            <w:r>
              <w:rPr>
                <w:rFonts w:eastAsiaTheme="minorEastAsia"/>
              </w:rPr>
              <w:t xml:space="preserve"> the CG timer expiry but UE doesn’t, network may schedule the CG resource for DG while UE may use this CG for new transmission; </w:t>
            </w:r>
          </w:p>
          <w:p>
            <w:pPr>
              <w:rPr>
                <w:rFonts w:eastAsiaTheme="minorEastAsia"/>
              </w:rPr>
            </w:pPr>
            <w:r>
              <w:rPr>
                <w:rFonts w:eastAsiaTheme="minorEastAsia"/>
              </w:rPr>
              <w:t xml:space="preserve">Case 2: If network considers a CG recurring after the CG timer expiry but UE doesn’t, network may wait for new UL transmission on the CG resource while UE will not send new UL transmission on the CG resource.  </w:t>
            </w:r>
          </w:p>
          <w:bookmarkEnd w:id="4"/>
          <w:bookmarkEnd w:id="5"/>
          <w:p>
            <w:pPr>
              <w:rPr>
                <w:rFonts w:eastAsiaTheme="minorEastAsia"/>
              </w:rPr>
            </w:pPr>
            <w:r>
              <w:rPr>
                <w:rFonts w:hint="eastAsia" w:eastAsiaTheme="minorEastAsia"/>
              </w:rPr>
              <w:t>However,</w:t>
            </w:r>
            <w:r>
              <w:rPr>
                <w:rFonts w:eastAsiaTheme="minorEastAsia"/>
              </w:rPr>
              <w:t xml:space="preserve">  for case 1, if network think there may be state mismatch, network can simply not schedule the CG resource for other purpose; Compared with option 2, this resource waste is less severe. Because option 2 uses semi-static configuration of the CG timer, which will cause much severe mismatch of RTT with CG timer, leading to more CG resources unable to use for new transmission. For case 2, if network doesn’t receive new transmission on CG resource, network considers it as UL skipping.</w:t>
            </w:r>
            <w:r>
              <w:rPr>
                <w:rFonts w:hint="eastAsia" w:eastAsiaTheme="minorEastAsia"/>
              </w:rPr>
              <w:t xml:space="preserve"> </w:t>
            </w:r>
          </w:p>
          <w:p>
            <w:pPr>
              <w:rPr>
                <w:rFonts w:eastAsiaTheme="minorEastAsia"/>
              </w:rPr>
            </w:pPr>
            <w:r>
              <w:rPr>
                <w:rFonts w:hint="eastAsia" w:eastAsiaTheme="minorEastAsia"/>
              </w:rPr>
              <w:t>T</w:t>
            </w:r>
            <w:r>
              <w:rPr>
                <w:rFonts w:eastAsiaTheme="minorEastAsia"/>
              </w:rPr>
              <w:t xml:space="preserve">hus, </w:t>
            </w:r>
            <w:r>
              <w:rPr>
                <w:rFonts w:hint="eastAsia" w:eastAsiaTheme="minorEastAsia"/>
              </w:rPr>
              <w:t>w</w:t>
            </w:r>
            <w:r>
              <w:rPr>
                <w:rFonts w:eastAsiaTheme="minorEastAsia"/>
              </w:rPr>
              <w:t>e do not see any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Malgun Gothic"/>
                <w:lang w:eastAsia="ko-KR"/>
              </w:rPr>
              <w:t>LG</w:t>
            </w:r>
          </w:p>
        </w:tc>
        <w:tc>
          <w:tcPr>
            <w:tcW w:w="1739" w:type="dxa"/>
          </w:tcPr>
          <w:p>
            <w:pPr>
              <w:rPr>
                <w:rFonts w:eastAsia="Malgun Gothic"/>
                <w:lang w:eastAsia="ko-KR"/>
              </w:rPr>
            </w:pPr>
            <w:r>
              <w:rPr>
                <w:rFonts w:hint="eastAsia" w:eastAsia="Malgun Gothic"/>
                <w:lang w:eastAsia="ko-KR"/>
              </w:rPr>
              <w:t>Yes</w:t>
            </w:r>
          </w:p>
        </w:tc>
        <w:tc>
          <w:tcPr>
            <w:tcW w:w="6480" w:type="dxa"/>
          </w:tcPr>
          <w:p>
            <w:pPr>
              <w:rPr>
                <w:rFonts w:eastAsia="Malgun Gothic"/>
                <w:highlight w:val="yellow"/>
                <w:lang w:eastAsia="ko-KR"/>
              </w:rPr>
            </w:pPr>
            <w:r>
              <w:rPr>
                <w:rFonts w:eastAsiaTheme="minorEastAsia"/>
              </w:rPr>
              <w:t xml:space="preserve">Same view as </w:t>
            </w:r>
            <w:r>
              <w:rPr>
                <w:rFonts w:hint="eastAsia" w:eastAsiaTheme="minorEastAsia"/>
              </w:rPr>
              <w:t>Xiaomi</w:t>
            </w:r>
            <w:r>
              <w:rPr>
                <w:rFonts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vivo</w:t>
            </w:r>
          </w:p>
        </w:tc>
        <w:tc>
          <w:tcPr>
            <w:tcW w:w="1739" w:type="dxa"/>
          </w:tcPr>
          <w:p>
            <w:pPr>
              <w:rPr>
                <w:rFonts w:eastAsiaTheme="minorEastAsia"/>
              </w:rPr>
            </w:pPr>
            <w:r>
              <w:rPr>
                <w:rFonts w:hint="eastAsia" w:eastAsiaTheme="minorEastAsia"/>
              </w:rPr>
              <w:t>N</w:t>
            </w:r>
            <w:r>
              <w:rPr>
                <w:rFonts w:eastAsiaTheme="minorEastAsia"/>
              </w:rPr>
              <w:t>o</w:t>
            </w:r>
          </w:p>
        </w:tc>
        <w:tc>
          <w:tcPr>
            <w:tcW w:w="6480" w:type="dxa"/>
          </w:tcPr>
          <w:p>
            <w:pPr>
              <w:rPr>
                <w:rFonts w:eastAsiaTheme="minorEastAsia"/>
                <w:highlight w:val="yellow"/>
              </w:rPr>
            </w:pPr>
            <w:r>
              <w:rPr>
                <w:rFonts w:hint="eastAsia" w:eastAsiaTheme="minorEastAsia"/>
              </w:rPr>
              <w:t>We</w:t>
            </w:r>
            <w:r>
              <w:rPr>
                <w:rFonts w:eastAsiaTheme="minorEastAsia"/>
              </w:rPr>
              <w:t xml:space="preserve"> share the same view with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bookmarkStart w:id="6" w:name="_Hlk93955724"/>
            <w:r>
              <w:rPr>
                <w:rFonts w:hint="eastAsia" w:eastAsiaTheme="minorEastAsia"/>
              </w:rPr>
              <w:t>CATT</w:t>
            </w:r>
          </w:p>
        </w:tc>
        <w:tc>
          <w:tcPr>
            <w:tcW w:w="1739" w:type="dxa"/>
          </w:tcPr>
          <w:p>
            <w:pPr>
              <w:rPr>
                <w:rFonts w:eastAsiaTheme="minorEastAsia"/>
              </w:rPr>
            </w:pPr>
            <w:r>
              <w:rPr>
                <w:rFonts w:hint="eastAsia" w:eastAsiaTheme="minorEastAsia"/>
              </w:rPr>
              <w:t>No</w:t>
            </w:r>
          </w:p>
        </w:tc>
        <w:tc>
          <w:tcPr>
            <w:tcW w:w="6480" w:type="dxa"/>
          </w:tcPr>
          <w:p>
            <w:pPr>
              <w:rPr>
                <w:rFonts w:eastAsiaTheme="minorEastAsia"/>
              </w:rPr>
            </w:pPr>
            <w:r>
              <w:rPr>
                <w:rFonts w:eastAsiaTheme="minorEastAsia"/>
              </w:rPr>
              <w:t>W</w:t>
            </w:r>
            <w:r>
              <w:rPr>
                <w:rFonts w:hint="eastAsia" w:eastAsiaTheme="minorEastAsia"/>
              </w:rPr>
              <w:t xml:space="preserve">e share the same view with OPPO. </w:t>
            </w:r>
            <w:bookmarkStart w:id="7" w:name="OLE_LINK118"/>
            <w:bookmarkStart w:id="8" w:name="OLE_LINK117"/>
            <w:r>
              <w:rPr>
                <w:rFonts w:hint="eastAsia" w:eastAsiaTheme="minorEastAsia"/>
              </w:rPr>
              <w:t xml:space="preserve">We wonder the impacts of </w:t>
            </w:r>
            <w:bookmarkEnd w:id="7"/>
            <w:bookmarkEnd w:id="8"/>
            <w:r>
              <w:rPr>
                <w:rFonts w:hint="eastAsia" w:eastAsiaTheme="minorEastAsia"/>
              </w:rPr>
              <w:t>CG timer on intial CG transmission.</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eastAsiaTheme="minorEastAsia"/>
              </w:rPr>
              <w:t>Maybe, but</w:t>
            </w:r>
          </w:p>
        </w:tc>
        <w:tc>
          <w:tcPr>
            <w:tcW w:w="6480" w:type="dxa"/>
          </w:tcPr>
          <w:p>
            <w:pPr>
              <w:rPr>
                <w:rFonts w:eastAsiaTheme="minorEastAsia"/>
              </w:rPr>
            </w:pPr>
            <w:r>
              <w:rPr>
                <w:rFonts w:eastAsiaTheme="minorEastAsia"/>
              </w:rPr>
              <w:t xml:space="preserve">The mismatch issue can be alleviated by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ZTE</w:t>
            </w:r>
          </w:p>
        </w:tc>
        <w:tc>
          <w:tcPr>
            <w:tcW w:w="1739" w:type="dxa"/>
            <w:vAlign w:val="top"/>
          </w:tcPr>
          <w:p>
            <w:pPr>
              <w:rPr>
                <w:rFonts w:hint="default" w:ascii="Arial" w:hAnsi="Arial" w:cs="Times New Roman" w:eastAsiaTheme="minorEastAsia"/>
                <w:sz w:val="20"/>
                <w:szCs w:val="20"/>
                <w:lang w:val="en-US" w:eastAsia="zh-CN" w:bidi="ar-SA"/>
              </w:rPr>
            </w:pPr>
            <w:r>
              <w:rPr>
                <w:rFonts w:hint="eastAsia" w:eastAsiaTheme="minorEastAsia"/>
                <w:lang w:val="en-US" w:eastAsia="zh-CN"/>
              </w:rPr>
              <w:t>Yes</w:t>
            </w:r>
          </w:p>
        </w:tc>
        <w:tc>
          <w:tcPr>
            <w:tcW w:w="6480" w:type="dxa"/>
            <w:vAlign w:val="top"/>
          </w:tcPr>
          <w:p>
            <w:pPr>
              <w:rPr>
                <w:rFonts w:hint="eastAsia" w:eastAsiaTheme="minorEastAsia"/>
                <w:highlight w:val="none"/>
                <w:lang w:val="en-US" w:eastAsia="zh-CN"/>
              </w:rPr>
            </w:pPr>
            <w:r>
              <w:rPr>
                <w:rFonts w:hint="eastAsia" w:eastAsiaTheme="minorEastAsia"/>
                <w:highlight w:val="none"/>
                <w:lang w:val="en-US" w:eastAsia="zh-CN"/>
              </w:rPr>
              <w:t>The difference between configureGrantTimer and DRX HARQ RTT timer is that for rest of HARQ RTT timer it is used to control UE</w:t>
            </w:r>
            <w:r>
              <w:rPr>
                <w:rFonts w:hint="default" w:eastAsiaTheme="minorEastAsia"/>
                <w:highlight w:val="none"/>
                <w:lang w:val="en-US" w:eastAsia="zh-CN"/>
              </w:rPr>
              <w:t>’</w:t>
            </w:r>
            <w:r>
              <w:rPr>
                <w:rFonts w:hint="eastAsia" w:eastAsiaTheme="minorEastAsia"/>
                <w:highlight w:val="none"/>
                <w:lang w:val="en-US" w:eastAsia="zh-CN"/>
              </w:rPr>
              <w:t>s PDCCH monitoring behavior while CGT timer is mainly used to resolve the overlapping between configured grant and dynamic grant, e.g., whether the configured grant is protected to allow retransmission. For DRX handling, even there is a mismatch UE can still monitor PDCCH if there are other configuration keep them in ACTIVE time, but for the mismatch in CGT, it will leads to decrease resource efficiency as indicated in Xiaomi</w:t>
            </w:r>
            <w:r>
              <w:rPr>
                <w:rFonts w:hint="default" w:eastAsiaTheme="minorEastAsia"/>
                <w:highlight w:val="none"/>
                <w:lang w:val="en-US" w:eastAsia="zh-CN"/>
              </w:rPr>
              <w:t>’</w:t>
            </w:r>
            <w:r>
              <w:rPr>
                <w:rFonts w:hint="eastAsia" w:eastAsiaTheme="minorEastAsia"/>
                <w:highlight w:val="none"/>
                <w:lang w:val="en-US" w:eastAsia="zh-CN"/>
              </w:rPr>
              <w:t xml:space="preserve">s comments.  Also another drawback on option 1 is that NW cannot configure a configuredGrantTimer with a value less than UE-gNB RTT as in legacy, therefore blind retransmission is not allowed. </w:t>
            </w:r>
          </w:p>
          <w:p>
            <w:pPr>
              <w:rPr>
                <w:rFonts w:hint="default" w:eastAsiaTheme="minorEastAsia"/>
                <w:highlight w:val="none"/>
                <w:lang w:val="en-US" w:eastAsia="zh-CN"/>
              </w:rPr>
            </w:pPr>
            <w:r>
              <w:rPr>
                <w:rFonts w:hint="eastAsia" w:eastAsiaTheme="minorEastAsia"/>
                <w:highlight w:val="none"/>
                <w:lang w:val="en-US" w:eastAsia="zh-CN"/>
              </w:rPr>
              <w:t xml:space="preserve">But if majority view consider no blind retransmission is acceptable, we are willing to compromise for the sake of progress. </w:t>
            </w:r>
          </w:p>
          <w:p>
            <w:pPr>
              <w:rPr>
                <w:rFonts w:hint="default" w:ascii="Arial" w:hAnsi="Arial" w:cs="Times New Roman" w:eastAsiaTheme="minorEastAsia"/>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ind w:left="1440" w:hanging="1440"/>
        <w:rPr>
          <w:b/>
          <w:lang w:eastAsia="sv-SE"/>
        </w:rPr>
      </w:pPr>
    </w:p>
    <w:p>
      <w:pPr>
        <w:ind w:left="1440" w:hanging="1440"/>
        <w:rPr>
          <w:b/>
          <w:lang w:eastAsia="sv-SE"/>
        </w:rPr>
      </w:pPr>
      <w:r>
        <w:rPr>
          <w:b/>
          <w:lang w:eastAsia="sv-SE"/>
        </w:rPr>
        <w:t xml:space="preserve">Question 1b: </w:t>
      </w:r>
      <w:r>
        <w:rPr>
          <w:b/>
          <w:lang w:eastAsia="sv-SE"/>
        </w:rPr>
        <w:tab/>
      </w:r>
      <w:r>
        <w:rPr>
          <w:b/>
          <w:lang w:eastAsia="sv-SE"/>
        </w:rPr>
        <w:t>To address issues described in Q1a (if any):</w:t>
      </w:r>
    </w:p>
    <w:p>
      <w:pPr>
        <w:pStyle w:val="50"/>
        <w:numPr>
          <w:ilvl w:val="0"/>
          <w:numId w:val="12"/>
        </w:numPr>
        <w:rPr>
          <w:rFonts w:ascii="Arial" w:hAnsi="Arial" w:cs="Arial"/>
          <w:b/>
          <w:sz w:val="20"/>
          <w:szCs w:val="20"/>
          <w:lang w:eastAsia="sv-SE"/>
        </w:rPr>
      </w:pPr>
      <w:r>
        <w:rPr>
          <w:rFonts w:ascii="Arial" w:hAnsi="Arial" w:cs="Arial"/>
          <w:b/>
          <w:sz w:val="20"/>
          <w:szCs w:val="20"/>
          <w:lang w:eastAsia="sv-SE"/>
        </w:rPr>
        <w:t>Option 1: Rely on existing specification (e.g. TA update mechanism is sufficient);</w:t>
      </w:r>
    </w:p>
    <w:p>
      <w:pPr>
        <w:pStyle w:val="50"/>
        <w:numPr>
          <w:ilvl w:val="0"/>
          <w:numId w:val="12"/>
        </w:numPr>
        <w:rPr>
          <w:rFonts w:ascii="Arial" w:hAnsi="Arial" w:cs="Arial"/>
          <w:b/>
          <w:sz w:val="20"/>
          <w:szCs w:val="20"/>
          <w:lang w:eastAsia="sv-SE"/>
        </w:rPr>
      </w:pPr>
      <w:r>
        <w:rPr>
          <w:rFonts w:ascii="Arial" w:hAnsi="Arial" w:cs="Arial"/>
          <w:b/>
          <w:sz w:val="20"/>
          <w:szCs w:val="20"/>
          <w:lang w:eastAsia="sv-SE"/>
        </w:rPr>
        <w:t>Option 2: Additional specification impact is necessary (please describe).</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Theme="minorEastAsia"/>
              </w:rPr>
            </w:pPr>
            <w:r>
              <w:rPr>
                <w:rFonts w:eastAsiaTheme="minorEastAsia"/>
              </w:rPr>
              <w:t>Option 1</w:t>
            </w:r>
          </w:p>
        </w:tc>
        <w:tc>
          <w:tcPr>
            <w:tcW w:w="6480" w:type="dxa"/>
          </w:tcPr>
          <w:p>
            <w:pPr>
              <w:rPr>
                <w:rFonts w:eastAsiaTheme="minorEastAsia"/>
                <w:highlight w:val="yellow"/>
              </w:rPr>
            </w:pPr>
            <w:r>
              <w:rPr>
                <w:rFonts w:eastAsiaTheme="minorEastAsia"/>
              </w:rPr>
              <w:t>TA update mechanism is sufficient, and we don’t need the further optimization.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Xiaomi</w:t>
            </w:r>
          </w:p>
        </w:tc>
        <w:tc>
          <w:tcPr>
            <w:tcW w:w="1739" w:type="dxa"/>
          </w:tcPr>
          <w:p>
            <w:pPr>
              <w:rPr>
                <w:rFonts w:eastAsiaTheme="minorEastAsia"/>
              </w:rPr>
            </w:pPr>
            <w:r>
              <w:rPr>
                <w:rFonts w:hint="eastAsia" w:eastAsiaTheme="minorEastAsia"/>
              </w:rPr>
              <w:t>O</w:t>
            </w:r>
            <w:r>
              <w:rPr>
                <w:rFonts w:eastAsiaTheme="minorEastAsia"/>
              </w:rPr>
              <w:t>ption 1</w:t>
            </w:r>
          </w:p>
        </w:tc>
        <w:tc>
          <w:tcPr>
            <w:tcW w:w="6480" w:type="dxa"/>
          </w:tcPr>
          <w:p>
            <w:pPr>
              <w:rPr>
                <w:rFonts w:eastAsiaTheme="minorEastAsia"/>
              </w:rPr>
            </w:pPr>
            <w:r>
              <w:rPr>
                <w:rFonts w:hint="eastAsia" w:eastAsiaTheme="minorEastAsia"/>
              </w:rPr>
              <w:t>B</w:t>
            </w:r>
            <w:r>
              <w:rPr>
                <w:rFonts w:eastAsiaTheme="minorEastAsia"/>
              </w:rPr>
              <w:t>y TA update, the mismatch can be reduced a lot, and leads to less resource waste compared with option 2. Because option 2 uses semi-static configuration of the CG timer, which will cause much severe mismatch of RTT with CG timer, leading to more CG resources unable to use for new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Malgun Gothic"/>
                <w:lang w:eastAsia="ko-KR"/>
              </w:rPr>
              <w:t>LG</w:t>
            </w:r>
          </w:p>
        </w:tc>
        <w:tc>
          <w:tcPr>
            <w:tcW w:w="1739" w:type="dxa"/>
          </w:tcPr>
          <w:p>
            <w:pPr>
              <w:rPr>
                <w:rFonts w:eastAsia="Malgun Gothic"/>
                <w:lang w:eastAsia="ko-KR"/>
              </w:rPr>
            </w:pPr>
            <w:r>
              <w:rPr>
                <w:rFonts w:hint="eastAsia" w:eastAsia="Malgun Gothic"/>
                <w:lang w:eastAsia="ko-KR"/>
              </w:rPr>
              <w:t>Option 1</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O</w:t>
            </w:r>
            <w:r>
              <w:rPr>
                <w:rFonts w:eastAsiaTheme="minorEastAsia"/>
              </w:rPr>
              <w:t>ption 1</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lang w:eastAsia="en-US"/>
              </w:rPr>
              <w:t>CATT</w:t>
            </w:r>
          </w:p>
        </w:tc>
        <w:tc>
          <w:tcPr>
            <w:tcW w:w="1739" w:type="dxa"/>
          </w:tcPr>
          <w:p>
            <w:pPr>
              <w:rPr>
                <w:rFonts w:eastAsiaTheme="minorEastAsia"/>
              </w:rPr>
            </w:pPr>
            <w:r>
              <w:rPr>
                <w:rFonts w:eastAsiaTheme="minorEastAsia"/>
                <w:lang w:eastAsia="en-US"/>
              </w:rPr>
              <w:t>Option 1</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Theme="minorEastAsia"/>
              </w:rPr>
              <w:t>O</w:t>
            </w:r>
            <w:r>
              <w:rPr>
                <w:rFonts w:eastAsiaTheme="minorEastAsia"/>
              </w:rPr>
              <w:t>ption 1</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sz w:val="20"/>
                <w:szCs w:val="20"/>
                <w:lang w:val="en-US" w:eastAsia="sv-SE" w:bidi="ar-SA"/>
              </w:rPr>
            </w:pPr>
          </w:p>
        </w:tc>
        <w:tc>
          <w:tcPr>
            <w:tcW w:w="1739" w:type="dxa"/>
            <w:vAlign w:val="top"/>
          </w:tcPr>
          <w:p>
            <w:pPr>
              <w:rPr>
                <w:rFonts w:hint="default" w:ascii="Arial" w:hAnsi="Arial" w:cs="Times New Roman" w:eastAsiaTheme="minorEastAsia"/>
                <w:sz w:val="20"/>
                <w:szCs w:val="20"/>
                <w:lang w:val="en-US" w:eastAsia="zh-CN" w:bidi="ar-SA"/>
              </w:rPr>
            </w:pPr>
          </w:p>
        </w:tc>
        <w:tc>
          <w:tcPr>
            <w:tcW w:w="6480" w:type="dxa"/>
            <w:vAlign w:val="top"/>
          </w:tcPr>
          <w:p>
            <w:pPr>
              <w:rPr>
                <w:rFonts w:hint="default" w:ascii="Arial" w:hAnsi="Arial" w:cs="Times New Roman" w:eastAsiaTheme="minorEastAsia"/>
                <w:sz w:val="20"/>
                <w:szCs w:val="20"/>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ind w:left="1440" w:hanging="1440"/>
        <w:rPr>
          <w:rFonts w:cs="Arial"/>
          <w:b/>
          <w:lang w:eastAsia="sv-SE"/>
        </w:rPr>
      </w:pPr>
    </w:p>
    <w:p>
      <w:pPr>
        <w:ind w:left="1440" w:hanging="1440"/>
        <w:rPr>
          <w:rFonts w:cs="Arial"/>
          <w:b/>
          <w:lang w:eastAsia="sv-SE"/>
        </w:rPr>
      </w:pPr>
      <w:r>
        <w:rPr>
          <w:rFonts w:cs="Arial"/>
          <w:b/>
          <w:lang w:eastAsia="sv-SE"/>
        </w:rPr>
        <w:t xml:space="preserve">Question 2: </w:t>
      </w:r>
      <w:r>
        <w:rPr>
          <w:rFonts w:cs="Arial"/>
          <w:b/>
          <w:lang w:eastAsia="sv-SE"/>
        </w:rPr>
        <w:tab/>
      </w:r>
      <w:r>
        <w:rPr>
          <w:rFonts w:cs="Arial"/>
          <w:b/>
          <w:lang w:eastAsia="sv-SE"/>
        </w:rPr>
        <w:t xml:space="preserve">Could values in Option 2 be selected to balance additional overhead and approximately compensate UE-gNB RTT? </w:t>
      </w:r>
    </w:p>
    <w:p>
      <w:pPr>
        <w:pStyle w:val="50"/>
        <w:numPr>
          <w:ilvl w:val="0"/>
          <w:numId w:val="12"/>
        </w:numPr>
        <w:rPr>
          <w:rFonts w:ascii="Arial" w:hAnsi="Arial" w:cs="Arial"/>
          <w:b/>
          <w:sz w:val="20"/>
          <w:szCs w:val="20"/>
          <w:lang w:eastAsia="sv-SE"/>
        </w:rPr>
      </w:pPr>
      <w:r>
        <w:rPr>
          <w:rFonts w:ascii="Arial" w:hAnsi="Arial" w:cs="Arial"/>
          <w:b/>
          <w:sz w:val="20"/>
          <w:szCs w:val="20"/>
          <w:lang w:eastAsia="sv-SE"/>
        </w:rPr>
        <w:t>If “Yes”, please describe how such a tradeoff can be accomplished.</w:t>
      </w:r>
    </w:p>
    <w:p>
      <w:pPr>
        <w:pStyle w:val="50"/>
        <w:numPr>
          <w:ilvl w:val="0"/>
          <w:numId w:val="12"/>
        </w:numPr>
        <w:rPr>
          <w:rFonts w:ascii="Arial" w:hAnsi="Arial" w:cs="Arial"/>
          <w:b/>
          <w:sz w:val="20"/>
          <w:szCs w:val="20"/>
          <w:lang w:eastAsia="sv-SE"/>
        </w:rPr>
      </w:pPr>
      <w:r>
        <w:rPr>
          <w:rFonts w:ascii="Arial" w:hAnsi="Arial" w:cs="Arial"/>
          <w:b/>
          <w:sz w:val="20"/>
          <w:szCs w:val="20"/>
          <w:lang w:eastAsia="sv-SE"/>
        </w:rPr>
        <w:t>If “No”, please describe possible impacts to system performance (if any).</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Yes/No</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Theme="minorEastAsia"/>
              </w:rPr>
            </w:pPr>
            <w:r>
              <w:rPr>
                <w:rFonts w:eastAsiaTheme="minorEastAsia"/>
              </w:rPr>
              <w:t>No</w:t>
            </w:r>
          </w:p>
        </w:tc>
        <w:tc>
          <w:tcPr>
            <w:tcW w:w="6480" w:type="dxa"/>
          </w:tcPr>
          <w:p>
            <w:pPr>
              <w:rPr>
                <w:rFonts w:eastAsiaTheme="minorEastAsia"/>
              </w:rPr>
            </w:pPr>
            <w:r>
              <w:rPr>
                <w:rFonts w:eastAsiaTheme="minorEastAsia"/>
              </w:rPr>
              <w:t>RTT is quite different for LEO/GEO scenarios with different altitude and is constantly changing. In order to match diffrent RTT, many different values need to be introduced, which leads to extra signalling overhead. Note that the unit of configuredGrantTimer is periodicity of CG. The length of configuredGrantTimer depends not only on the value of configuredGrantTimer but also on the length of periodicity. Hence, it would limit the configuration on periodicity, if we choose to balance additional overhead and approximately compensate UE-gNB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N</w:t>
            </w:r>
            <w:r>
              <w:rPr>
                <w:rFonts w:eastAsiaTheme="minorEastAsia"/>
              </w:rPr>
              <w:t>o</w:t>
            </w:r>
          </w:p>
        </w:tc>
        <w:tc>
          <w:tcPr>
            <w:tcW w:w="6480" w:type="dxa"/>
          </w:tcPr>
          <w:p>
            <w:pPr>
              <w:rPr>
                <w:rFonts w:eastAsiaTheme="minorEastAsia"/>
              </w:rPr>
            </w:pPr>
            <w:r>
              <w:rPr>
                <w:rFonts w:hint="eastAsia" w:eastAsiaTheme="minorEastAsia"/>
              </w:rPr>
              <w:t>W</w:t>
            </w:r>
            <w:r>
              <w:rPr>
                <w:rFonts w:eastAsiaTheme="minorEastAsia"/>
              </w:rPr>
              <w:t>e do not see how this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Malgun Gothic"/>
                <w:lang w:eastAsia="ko-KR"/>
              </w:rPr>
              <w:t>LG</w:t>
            </w:r>
          </w:p>
        </w:tc>
        <w:tc>
          <w:tcPr>
            <w:tcW w:w="1739" w:type="dxa"/>
          </w:tcPr>
          <w:p>
            <w:pPr>
              <w:rPr>
                <w:rFonts w:eastAsia="Malgun Gothic"/>
                <w:lang w:eastAsia="ko-KR"/>
              </w:rPr>
            </w:pPr>
            <w:r>
              <w:rPr>
                <w:rFonts w:hint="eastAsia" w:eastAsia="Malgun Gothic"/>
                <w:lang w:eastAsia="ko-KR"/>
              </w:rPr>
              <w:t>No</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N</w:t>
            </w:r>
            <w:r>
              <w:rPr>
                <w:rFonts w:eastAsiaTheme="minorEastAsia"/>
              </w:rPr>
              <w:t>o</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No</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Theme="minorEastAsia"/>
              </w:rPr>
              <w:t>N</w:t>
            </w:r>
            <w:r>
              <w:rPr>
                <w:rFonts w:eastAsiaTheme="minorEastAsia"/>
              </w:rPr>
              <w:t>o</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sz w:val="20"/>
                <w:szCs w:val="20"/>
                <w:lang w:val="en-US" w:eastAsia="sv-SE" w:bidi="ar-SA"/>
              </w:rPr>
            </w:pPr>
          </w:p>
        </w:tc>
        <w:tc>
          <w:tcPr>
            <w:tcW w:w="1739" w:type="dxa"/>
            <w:vAlign w:val="top"/>
          </w:tcPr>
          <w:p>
            <w:pPr>
              <w:rPr>
                <w:rFonts w:hint="default" w:ascii="Arial" w:hAnsi="Arial" w:cs="Times New Roman" w:eastAsiaTheme="minorEastAsia"/>
                <w:sz w:val="20"/>
                <w:szCs w:val="20"/>
                <w:highlight w:val="none"/>
                <w:lang w:val="en-US" w:eastAsia="zh-CN" w:bidi="ar-SA"/>
              </w:rPr>
            </w:pPr>
          </w:p>
        </w:tc>
        <w:tc>
          <w:tcPr>
            <w:tcW w:w="6480" w:type="dxa"/>
            <w:vAlign w:val="top"/>
          </w:tcPr>
          <w:p>
            <w:pPr>
              <w:rPr>
                <w:rFonts w:hint="eastAsia" w:ascii="Arial" w:hAnsi="Arial" w:eastAsia="宋体" w:cs="Times New Roman"/>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ind w:left="1440" w:hanging="1440"/>
        <w:rPr>
          <w:b/>
          <w:lang w:eastAsia="sv-SE"/>
        </w:rPr>
      </w:pPr>
    </w:p>
    <w:p>
      <w:pPr>
        <w:rPr>
          <w:bCs/>
          <w:lang w:eastAsia="sv-SE"/>
        </w:rPr>
      </w:pPr>
      <w:r>
        <w:rPr>
          <w:bCs/>
          <w:lang w:eastAsia="sv-SE"/>
        </w:rPr>
        <w:t>In Phase 1, one company suggests that as a compromise, both options may be specified and left to NW implementation.</w:t>
      </w:r>
    </w:p>
    <w:p>
      <w:pPr>
        <w:ind w:left="1440" w:hanging="1440"/>
        <w:rPr>
          <w:rFonts w:cs="Arial"/>
          <w:b/>
          <w:lang w:eastAsia="sv-SE"/>
        </w:rPr>
      </w:pPr>
      <w:r>
        <w:rPr>
          <w:rFonts w:cs="Arial"/>
          <w:b/>
          <w:lang w:eastAsia="sv-SE"/>
        </w:rPr>
        <w:t xml:space="preserve">Question 3: </w:t>
      </w:r>
      <w:r>
        <w:rPr>
          <w:rFonts w:cs="Arial"/>
          <w:b/>
          <w:lang w:eastAsia="sv-SE"/>
        </w:rPr>
        <w:tab/>
      </w:r>
      <w:r>
        <w:rPr>
          <w:rFonts w:cs="Arial"/>
          <w:b/>
          <w:lang w:eastAsia="sv-SE"/>
        </w:rPr>
        <w:t xml:space="preserve">As a compromise, could both Option 1 and 2 be specified and left to NW configuration? </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Yes/No</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r>
              <w:rPr>
                <w:rFonts w:eastAsiaTheme="minorEastAsia"/>
              </w:rPr>
              <w:t>OPPO</w:t>
            </w:r>
          </w:p>
        </w:tc>
        <w:tc>
          <w:tcPr>
            <w:tcW w:w="1739" w:type="dxa"/>
          </w:tcPr>
          <w:p>
            <w:pPr>
              <w:rPr>
                <w:rFonts w:eastAsiaTheme="minorEastAsia"/>
              </w:rPr>
            </w:pPr>
            <w:r>
              <w:rPr>
                <w:rFonts w:eastAsiaTheme="minorEastAsia"/>
              </w:rPr>
              <w:t>No</w:t>
            </w:r>
          </w:p>
        </w:tc>
        <w:tc>
          <w:tcPr>
            <w:tcW w:w="6480" w:type="dxa"/>
          </w:tcPr>
          <w:p>
            <w:pPr>
              <w:rPr>
                <w:rFonts w:eastAsiaTheme="minorEastAsia"/>
                <w:highlight w:val="yellow"/>
              </w:rPr>
            </w:pPr>
            <w:r>
              <w:rPr>
                <w:rFonts w:eastAsiaTheme="minorEastAsia"/>
              </w:rPr>
              <w:t>This leads to extra spec effort. We only needs to choose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Xiaomi</w:t>
            </w:r>
          </w:p>
        </w:tc>
        <w:tc>
          <w:tcPr>
            <w:tcW w:w="1739" w:type="dxa"/>
          </w:tcPr>
          <w:p>
            <w:pPr>
              <w:rPr>
                <w:rFonts w:eastAsiaTheme="minorEastAsia"/>
              </w:rPr>
            </w:pPr>
            <w:r>
              <w:rPr>
                <w:rFonts w:hint="eastAsia" w:eastAsiaTheme="minorEastAsia"/>
              </w:rPr>
              <w:t>No</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Malgun Gothic"/>
                <w:lang w:eastAsia="ko-KR"/>
              </w:rPr>
            </w:pPr>
            <w:r>
              <w:rPr>
                <w:rFonts w:hint="eastAsia" w:eastAsia="Malgun Gothic"/>
                <w:lang w:eastAsia="ko-KR"/>
              </w:rPr>
              <w:t>LG</w:t>
            </w:r>
          </w:p>
        </w:tc>
        <w:tc>
          <w:tcPr>
            <w:tcW w:w="1739" w:type="dxa"/>
          </w:tcPr>
          <w:p>
            <w:pPr>
              <w:rPr>
                <w:rFonts w:eastAsia="Malgun Gothic"/>
                <w:lang w:eastAsia="ko-KR"/>
              </w:rPr>
            </w:pPr>
            <w:r>
              <w:rPr>
                <w:rFonts w:hint="eastAsia" w:eastAsia="Malgun Gothic"/>
                <w:lang w:eastAsia="ko-KR"/>
              </w:rPr>
              <w:t>No</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N</w:t>
            </w:r>
            <w:r>
              <w:rPr>
                <w:rFonts w:eastAsiaTheme="minorEastAsia"/>
              </w:rPr>
              <w:t>o</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r>
              <w:rPr>
                <w:rFonts w:hint="eastAsia" w:eastAsiaTheme="minorEastAsia"/>
              </w:rPr>
              <w:t>CATT</w:t>
            </w:r>
          </w:p>
        </w:tc>
        <w:tc>
          <w:tcPr>
            <w:tcW w:w="1739" w:type="dxa"/>
          </w:tcPr>
          <w:p>
            <w:pPr>
              <w:rPr>
                <w:rFonts w:eastAsiaTheme="minorEastAsia"/>
              </w:rPr>
            </w:pPr>
            <w:r>
              <w:rPr>
                <w:rFonts w:hint="eastAsia" w:eastAsiaTheme="minorEastAsia"/>
              </w:rPr>
              <w:t>No</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hint="eastAsia" w:eastAsiaTheme="minorEastAsia"/>
              </w:rPr>
              <w:t>N</w:t>
            </w:r>
            <w:r>
              <w:rPr>
                <w:rFonts w:eastAsiaTheme="minorEastAsia"/>
              </w:rPr>
              <w:t>o</w:t>
            </w: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pStyle w:val="3"/>
      </w:pPr>
      <w:r>
        <w:t>HARQ/LCP configuration for CG/SPS</w:t>
      </w:r>
    </w:p>
    <w:p>
      <w:r>
        <w:t xml:space="preserve">In RAN2 #115e and RAN2#116e a new LCP mapping restriction </w:t>
      </w:r>
      <w:r>
        <w:rPr>
          <w:i/>
        </w:rPr>
        <w:t>allowedHARQ-DRX-LCP</w:t>
      </w:r>
      <w:r>
        <w:t xml:space="preserve"> was agreed for dynamic grant in NTN, however it is not clear whether this restriction also applies to configured grant case. </w:t>
      </w:r>
    </w:p>
    <w:p>
      <w:pPr>
        <w:rPr>
          <w:i/>
          <w:lang w:eastAsia="sv-SE"/>
        </w:rPr>
      </w:pPr>
      <w:r>
        <w:rPr>
          <w:lang w:eastAsia="sv-SE"/>
        </w:rPr>
        <w:t>Below is a summary of technical arguments provided via contributions submitted to RAN2#116bis-e:</w:t>
      </w:r>
    </w:p>
    <w:p>
      <w:pPr>
        <w:rPr>
          <w:b/>
          <w:bCs/>
        </w:rPr>
      </w:pPr>
      <w:r>
        <w:rPr>
          <w:b/>
          <w:bCs/>
        </w:rPr>
        <w:t>New restrictions apply to CG [1, 2, 7, 18]</w:t>
      </w:r>
    </w:p>
    <w:p>
      <w:r>
        <w:t xml:space="preserve">Proponenets of applying </w:t>
      </w:r>
      <w:r>
        <w:rPr>
          <w:i/>
          <w:iCs/>
        </w:rPr>
        <w:t>allowedHARQ-DRX-Mode</w:t>
      </w:r>
      <w:r>
        <w:t xml:space="preserve"> to CG note there is no potential use case to keep two different HARQ states between DG and CG, since the QoS requirement of a LCH is same [1, 7]. For simplicity, we can reuse </w:t>
      </w:r>
      <w:r>
        <w:rPr>
          <w:i/>
          <w:iCs/>
        </w:rPr>
        <w:t>uplinkHARQ-DRX- Mode</w:t>
      </w:r>
      <w:r>
        <w:t xml:space="preserve"> and </w:t>
      </w:r>
      <w:r>
        <w:rPr>
          <w:i/>
          <w:iCs/>
        </w:rPr>
        <w:t>allowedHARQ-DRX-Mode</w:t>
      </w:r>
      <w:r>
        <w:t xml:space="preserve"> to set mapping restrictions for configured grants, even though there is the existing </w:t>
      </w:r>
      <w:r>
        <w:rPr>
          <w:i/>
          <w:iCs/>
        </w:rPr>
        <w:t>allowedCG-List</w:t>
      </w:r>
      <w:r>
        <w:t xml:space="preserve"> [18].</w:t>
      </w:r>
    </w:p>
    <w:p>
      <w:pPr>
        <w:rPr>
          <w:b/>
          <w:bCs/>
        </w:rPr>
      </w:pPr>
      <w:r>
        <w:rPr>
          <w:b/>
          <w:bCs/>
        </w:rPr>
        <w:t>New restrictions do not apply to CG [10, 13, 14, 15, 16]</w:t>
      </w:r>
    </w:p>
    <w:p>
      <w:r>
        <w:t xml:space="preserve">Proponents of </w:t>
      </w:r>
      <w:r>
        <w:rPr>
          <w:u w:val="single"/>
        </w:rPr>
        <w:t>not</w:t>
      </w:r>
      <w:r>
        <w:t xml:space="preserve"> applying </w:t>
      </w:r>
      <w:r>
        <w:rPr>
          <w:i/>
          <w:iCs/>
        </w:rPr>
        <w:t>allowedHARQ-DRX-Mode</w:t>
      </w:r>
      <w:r>
        <w:t xml:space="preserve"> to CG note that there are existing LCH restrictions in place which can accomplish the same thing [10, 13, 15, 16] and that the maximum number of configure grant configurations per BWP and MAC can provide granularity for different LCHs to be configured to different CG with different retransmission scheme [13]. Furthermore, there is common understanding that all HARQ processes associated to a CG configuration shall have the same UL HARQ state. It means one CG should have only one retransmission scheme and the </w:t>
      </w:r>
      <w:r>
        <w:rPr>
          <w:i/>
          <w:iCs/>
        </w:rPr>
        <w:t>allowedCG-List</w:t>
      </w:r>
      <w:r>
        <w:t xml:space="preserve"> can be reused to perform LCP for different retransmission scheme in NTN [13, 14].</w:t>
      </w:r>
    </w:p>
    <w:p>
      <w:pPr>
        <w:rPr>
          <w:lang w:eastAsia="sv-SE"/>
        </w:rPr>
      </w:pPr>
      <w:r>
        <w:t>Based outcome of Phase 1, the following relevant agreement and understanding where reached in RAN2#116bis-e:</w:t>
      </w:r>
    </w:p>
    <w:p>
      <w:pPr>
        <w:pStyle w:val="46"/>
        <w:pBdr>
          <w:top w:val="single" w:color="auto" w:sz="4" w:space="1"/>
          <w:left w:val="single" w:color="auto" w:sz="4" w:space="4"/>
          <w:bottom w:val="single" w:color="auto" w:sz="4" w:space="1"/>
          <w:right w:val="single" w:color="auto" w:sz="4" w:space="4"/>
        </w:pBdr>
        <w:ind w:left="1083"/>
      </w:pPr>
      <w:r>
        <w:t>Agreements online:</w:t>
      </w:r>
    </w:p>
    <w:p>
      <w:pPr>
        <w:pStyle w:val="46"/>
        <w:numPr>
          <w:ilvl w:val="0"/>
          <w:numId w:val="13"/>
        </w:numPr>
        <w:pBdr>
          <w:top w:val="single" w:color="auto" w:sz="4" w:space="1"/>
          <w:left w:val="single" w:color="auto" w:sz="4" w:space="4"/>
          <w:bottom w:val="single" w:color="auto" w:sz="4" w:space="1"/>
          <w:right w:val="single" w:color="auto" w:sz="4" w:space="4"/>
        </w:pBdr>
        <w:ind w:left="1080"/>
      </w:pPr>
      <w:r>
        <w:t>It is up to network implementation to ensure proper configuration of HARQ mode for HARQ processes used by a CG configuration (no Stage 3 specification impact). FFS if a note in Stage 2 is needed</w:t>
      </w:r>
    </w:p>
    <w:p>
      <w:pPr>
        <w:pStyle w:val="46"/>
        <w:pBdr>
          <w:top w:val="single" w:color="auto" w:sz="4" w:space="1"/>
          <w:left w:val="single" w:color="auto" w:sz="4" w:space="4"/>
          <w:bottom w:val="single" w:color="auto" w:sz="4" w:space="1"/>
          <w:right w:val="single" w:color="auto" w:sz="4" w:space="4"/>
        </w:pBdr>
        <w:ind w:left="1083"/>
      </w:pPr>
      <w:r>
        <w:t>RAN2 understanding:</w:t>
      </w:r>
    </w:p>
    <w:p>
      <w:pPr>
        <w:pStyle w:val="46"/>
        <w:numPr>
          <w:ilvl w:val="0"/>
          <w:numId w:val="14"/>
        </w:numPr>
        <w:pBdr>
          <w:top w:val="single" w:color="auto" w:sz="4" w:space="1"/>
          <w:left w:val="single" w:color="auto" w:sz="4" w:space="4"/>
          <w:bottom w:val="single" w:color="auto" w:sz="4" w:space="1"/>
          <w:right w:val="single" w:color="auto" w:sz="4" w:space="4"/>
        </w:pBdr>
        <w:ind w:left="1080"/>
        <w:rPr>
          <w:sz w:val="22"/>
          <w:szCs w:val="28"/>
        </w:rPr>
      </w:pPr>
      <w:bookmarkStart w:id="9" w:name="_Hlk93653782"/>
      <w:r>
        <w:rPr>
          <w:szCs w:val="28"/>
        </w:rPr>
        <w:t>RAN2 understanding is that: in general, all HARQ processes used by a CG configuration are configured with the same HARQ state (e.g. A or B). No specification impact</w:t>
      </w:r>
    </w:p>
    <w:bookmarkEnd w:id="9"/>
    <w:p>
      <w:pPr>
        <w:ind w:left="1440" w:hanging="1440"/>
        <w:rPr>
          <w:bCs/>
          <w:sz w:val="2"/>
          <w:szCs w:val="2"/>
          <w:lang w:eastAsia="sv-SE"/>
        </w:rPr>
      </w:pPr>
    </w:p>
    <w:p>
      <w:pPr>
        <w:rPr>
          <w:bCs/>
          <w:lang w:eastAsia="sv-SE"/>
        </w:rPr>
      </w:pPr>
      <w:r>
        <w:rPr>
          <w:bCs/>
          <w:lang w:eastAsia="sv-SE"/>
        </w:rPr>
        <w:t xml:space="preserve">Considering the existing LCP restriction </w:t>
      </w:r>
      <w:r>
        <w:rPr>
          <w:i/>
          <w:iCs/>
        </w:rPr>
        <w:t>allowedCG-List</w:t>
      </w:r>
      <w:r>
        <w:t xml:space="preserve"> maps a LCH to allowed configured grant(s), if all </w:t>
      </w:r>
      <w:r>
        <w:rPr>
          <w:szCs w:val="28"/>
        </w:rPr>
        <w:t xml:space="preserve"> HARQ processes used by a CG configuration are configured with the same HARQ state, </w:t>
      </w:r>
      <w:r>
        <w:t xml:space="preserve">based on the above RAN2 understanding in the general case </w:t>
      </w:r>
      <w:r>
        <w:rPr>
          <w:i/>
          <w:iCs/>
        </w:rPr>
        <w:t>allowedCG-List</w:t>
      </w:r>
      <w:r>
        <w:t xml:space="preserve"> and </w:t>
      </w:r>
      <w:r>
        <w:rPr>
          <w:i/>
          <w:iCs/>
        </w:rPr>
        <w:t>allowedHARQ-DRX-Mode</w:t>
      </w:r>
      <w:r>
        <w:t xml:space="preserve"> may accomplish the same thing. </w:t>
      </w:r>
    </w:p>
    <w:p>
      <w:pPr>
        <w:ind w:left="1440" w:hanging="1440"/>
        <w:rPr>
          <w:b/>
          <w:lang w:eastAsia="sv-SE"/>
        </w:rPr>
      </w:pPr>
      <w:r>
        <w:rPr>
          <w:b/>
          <w:lang w:eastAsia="sv-SE"/>
        </w:rPr>
        <w:t>Question 4:</w:t>
      </w:r>
      <w:r>
        <w:tab/>
      </w:r>
      <w:r>
        <w:rPr>
          <w:b/>
          <w:lang w:eastAsia="sv-SE"/>
        </w:rPr>
        <w:t xml:space="preserve">Do you agree that in the general case (i.e. all HARQ processes used by a CG configuration are configured with the same HARQ state) </w:t>
      </w:r>
      <w:r>
        <w:rPr>
          <w:b/>
          <w:i/>
          <w:iCs/>
        </w:rPr>
        <w:t>allowedHARQ-DRX-Mode</w:t>
      </w:r>
      <w:r>
        <w:rPr>
          <w:b/>
        </w:rPr>
        <w:t xml:space="preserve"> and </w:t>
      </w:r>
      <w:r>
        <w:rPr>
          <w:b/>
          <w:i/>
          <w:iCs/>
        </w:rPr>
        <w:t>allowedCG-List</w:t>
      </w:r>
      <w:r>
        <w:rPr>
          <w:b/>
        </w:rPr>
        <w:t xml:space="preserve"> accomplish the same thing?</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Agree/Disagree</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r>
              <w:rPr>
                <w:rFonts w:eastAsiaTheme="minorEastAsia"/>
              </w:rPr>
              <w:t>OPPO</w:t>
            </w:r>
          </w:p>
        </w:tc>
        <w:tc>
          <w:tcPr>
            <w:tcW w:w="1739" w:type="dxa"/>
          </w:tcPr>
          <w:p>
            <w:pPr>
              <w:rPr>
                <w:rFonts w:eastAsiaTheme="minorEastAsia"/>
              </w:rPr>
            </w:pPr>
          </w:p>
        </w:tc>
        <w:tc>
          <w:tcPr>
            <w:tcW w:w="6480" w:type="dxa"/>
          </w:tcPr>
          <w:p>
            <w:pPr>
              <w:rPr>
                <w:rFonts w:eastAsiaTheme="minorEastAsia"/>
                <w:lang w:val="en-US"/>
              </w:rPr>
            </w:pPr>
            <w:r>
              <w:rPr>
                <w:rFonts w:eastAsiaTheme="minorEastAsia"/>
                <w:lang w:val="en-US"/>
              </w:rPr>
              <w:t>In our understanding, we don’t need to discuss whether this two fields accomplish the same thing or not. It is fully up to network’s implementation to ensure they can work properly.</w:t>
            </w:r>
          </w:p>
          <w:p>
            <w:pPr>
              <w:rPr>
                <w:rFonts w:eastAsiaTheme="minorEastAsia"/>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D</w:t>
            </w:r>
            <w:r>
              <w:rPr>
                <w:rFonts w:eastAsiaTheme="minorEastAsia"/>
              </w:rPr>
              <w:t>isagree</w:t>
            </w:r>
          </w:p>
        </w:tc>
        <w:tc>
          <w:tcPr>
            <w:tcW w:w="6480" w:type="dxa"/>
          </w:tcPr>
          <w:p>
            <w:pPr>
              <w:rPr>
                <w:rFonts w:eastAsiaTheme="minorEastAsia"/>
              </w:rPr>
            </w:pPr>
            <w:r>
              <w:rPr>
                <w:rFonts w:hint="eastAsia" w:eastAsiaTheme="minorEastAsia"/>
              </w:rPr>
              <w:t>W</w:t>
            </w:r>
            <w:r>
              <w:rPr>
                <w:rFonts w:eastAsiaTheme="minorEastAsia"/>
              </w:rPr>
              <w:t xml:space="preserve">e do not think they are used for the same purpose. The </w:t>
            </w:r>
            <w:r>
              <w:rPr>
                <w:i/>
                <w:iCs/>
              </w:rPr>
              <w:t>allowedCG-List  can also take into account other parameters of CG resources</w:t>
            </w:r>
            <w:r>
              <w:rPr>
                <w:rFonts w:hint="eastAsia"/>
                <w:i/>
                <w:iCs/>
              </w:rPr>
              <w:t>,</w:t>
            </w:r>
            <w:r>
              <w:rPr>
                <w:i/>
                <w:iCs/>
              </w:rPr>
              <w:t xml:space="preserve"> e.g. period.</w:t>
            </w:r>
            <w:r>
              <w:rPr>
                <w:iCs/>
              </w:rPr>
              <w:t xml:space="preserve"> But if network only considers HARQ state when configuring </w:t>
            </w:r>
            <w:r>
              <w:rPr>
                <w:i/>
                <w:iCs/>
              </w:rPr>
              <w:t>allowedCG-List</w:t>
            </w:r>
            <w:r>
              <w:rPr>
                <w:iCs/>
              </w:rPr>
              <w:t xml:space="preserve">, then it has the same function as </w:t>
            </w:r>
            <w:r>
              <w:rPr>
                <w:i/>
                <w:iCs/>
              </w:rPr>
              <w:t>allowedHARQ-DRX-Mode.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Malgun Gothic"/>
                <w:lang w:eastAsia="ko-KR"/>
              </w:rPr>
              <w:t>LG</w:t>
            </w:r>
          </w:p>
        </w:tc>
        <w:tc>
          <w:tcPr>
            <w:tcW w:w="1739" w:type="dxa"/>
          </w:tcPr>
          <w:p>
            <w:pPr>
              <w:rPr>
                <w:rFonts w:eastAsia="Malgun Gothic"/>
                <w:lang w:eastAsia="ko-KR"/>
              </w:rPr>
            </w:pPr>
            <w:r>
              <w:rPr>
                <w:rFonts w:hint="eastAsia" w:eastAsia="Malgun Gothic"/>
                <w:lang w:eastAsia="ko-KR"/>
              </w:rPr>
              <w:t>Disagree</w:t>
            </w:r>
          </w:p>
        </w:tc>
        <w:tc>
          <w:tcPr>
            <w:tcW w:w="6480" w:type="dxa"/>
          </w:tcPr>
          <w:p>
            <w:pPr>
              <w:rPr>
                <w:rFonts w:eastAsiaTheme="minorEastAsia"/>
                <w:highlight w:val="yellow"/>
              </w:rPr>
            </w:pPr>
            <w:r>
              <w:rPr>
                <w:rFonts w:eastAsia="Malgun Gothic"/>
                <w:lang w:eastAsia="ko-KR"/>
              </w:rPr>
              <w:t>We do not see the benefit to apply the allowedHARQ-DRX-LCP to the CG instead of allowedCG-List.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p>
        </w:tc>
        <w:tc>
          <w:tcPr>
            <w:tcW w:w="6480" w:type="dxa"/>
          </w:tcPr>
          <w:p>
            <w:pPr>
              <w:rPr>
                <w:rFonts w:eastAsiaTheme="minorEastAsia"/>
                <w:highlight w:val="yellow"/>
              </w:rPr>
            </w:pPr>
            <w:r>
              <w:rPr>
                <w:rFonts w:eastAsiaTheme="minorEastAsia"/>
              </w:rPr>
              <w:t>Share the view of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lang w:eastAsia="en-US"/>
              </w:rPr>
              <w:t>CATT</w:t>
            </w:r>
          </w:p>
        </w:tc>
        <w:tc>
          <w:tcPr>
            <w:tcW w:w="1739" w:type="dxa"/>
          </w:tcPr>
          <w:p>
            <w:pPr>
              <w:rPr>
                <w:rFonts w:eastAsiaTheme="minorEastAsia"/>
              </w:rPr>
            </w:pPr>
          </w:p>
        </w:tc>
        <w:tc>
          <w:tcPr>
            <w:tcW w:w="6480" w:type="dxa"/>
          </w:tcPr>
          <w:p>
            <w:pPr>
              <w:rPr>
                <w:lang w:eastAsia="sv-SE"/>
              </w:rPr>
            </w:pPr>
            <w:r>
              <w:rPr>
                <w:rFonts w:eastAsiaTheme="minorEastAsia"/>
                <w:lang w:eastAsia="en-US"/>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p>
        </w:tc>
        <w:tc>
          <w:tcPr>
            <w:tcW w:w="6480" w:type="dxa"/>
          </w:tcPr>
          <w:p>
            <w:pPr>
              <w:rPr>
                <w:rFonts w:eastAsiaTheme="minorEastAsia"/>
              </w:rPr>
            </w:pPr>
            <w:r>
              <w:rPr>
                <w:rFonts w:hint="eastAsia" w:eastAsiaTheme="minorEastAsia"/>
              </w:rPr>
              <w:t>A</w:t>
            </w:r>
            <w:r>
              <w:rPr>
                <w:rFonts w:eastAsiaTheme="minorEastAsia"/>
              </w:rPr>
              <w:t>gree with OPPO. NW implementation can ensure this if proper configuration is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ZTE</w:t>
            </w:r>
          </w:p>
        </w:tc>
        <w:tc>
          <w:tcPr>
            <w:tcW w:w="1739" w:type="dxa"/>
            <w:vAlign w:val="top"/>
          </w:tcPr>
          <w:p>
            <w:pPr>
              <w:rPr>
                <w:rFonts w:ascii="Arial" w:hAnsi="Arial" w:cs="Times New Roman" w:eastAsiaTheme="minorEastAsia"/>
                <w:sz w:val="20"/>
                <w:szCs w:val="20"/>
                <w:lang w:val="en-GB" w:eastAsia="zh-CN" w:bidi="ar-SA"/>
              </w:rPr>
            </w:pPr>
          </w:p>
        </w:tc>
        <w:tc>
          <w:tcPr>
            <w:tcW w:w="6480" w:type="dxa"/>
            <w:vAlign w:val="top"/>
          </w:tcPr>
          <w:p>
            <w:pPr>
              <w:rPr>
                <w:rFonts w:hint="eastAsia" w:eastAsia="宋体"/>
                <w:highlight w:val="none"/>
                <w:lang w:val="en-US" w:eastAsia="zh-CN"/>
              </w:rPr>
            </w:pPr>
            <w:r>
              <w:rPr>
                <w:rFonts w:hint="eastAsia" w:eastAsia="宋体"/>
                <w:highlight w:val="none"/>
                <w:lang w:val="en-US" w:eastAsia="zh-CN"/>
              </w:rPr>
              <w:t>Share the same view as LG.</w:t>
            </w:r>
          </w:p>
          <w:p>
            <w:pPr>
              <w:rPr>
                <w:rFonts w:hint="default" w:ascii="Arial" w:hAnsi="Arial" w:eastAsia="宋体" w:cs="Times New Roman"/>
                <w:sz w:val="20"/>
                <w:szCs w:val="20"/>
                <w:highlight w:val="yellow"/>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ind w:left="1440" w:hanging="1440"/>
        <w:rPr>
          <w:bCs/>
          <w:lang w:eastAsia="sv-SE"/>
        </w:rPr>
      </w:pPr>
    </w:p>
    <w:p>
      <w:pPr>
        <w:rPr>
          <w:bCs/>
          <w:lang w:eastAsia="sv-SE"/>
        </w:rPr>
      </w:pPr>
      <w:r>
        <w:rPr>
          <w:bCs/>
          <w:lang w:eastAsia="sv-SE"/>
        </w:rPr>
        <w:t xml:space="preserve">However, if it is agreed </w:t>
      </w:r>
      <w:r>
        <w:rPr>
          <w:i/>
          <w:iCs/>
        </w:rPr>
        <w:t>allowedHARQ-DRX-Mode</w:t>
      </w:r>
      <w:r>
        <w:t xml:space="preserve"> applies to CG and all</w:t>
      </w:r>
      <w:r>
        <w:rPr>
          <w:szCs w:val="28"/>
        </w:rPr>
        <w:t xml:space="preserve"> HARQ processes used by a CG configuration are </w:t>
      </w:r>
      <w:r>
        <w:rPr>
          <w:b/>
          <w:bCs/>
          <w:i/>
          <w:iCs/>
          <w:szCs w:val="28"/>
          <w:u w:val="single"/>
        </w:rPr>
        <w:t>not</w:t>
      </w:r>
      <w:r>
        <w:rPr>
          <w:szCs w:val="28"/>
        </w:rPr>
        <w:t xml:space="preserve"> configured with the same HARQ state</w:t>
      </w:r>
      <w:r>
        <w:t xml:space="preserve">, a conflict may arise if </w:t>
      </w:r>
      <w:r>
        <w:rPr>
          <w:bCs/>
          <w:i/>
          <w:iCs/>
        </w:rPr>
        <w:t>allowedCG-List</w:t>
      </w:r>
      <w:r>
        <w:rPr>
          <w:bCs/>
        </w:rPr>
        <w:t xml:space="preserve"> is also configured. It is noted that based on Phase 1 Q5) outcome companies largely disagreed that </w:t>
      </w:r>
      <w:r>
        <w:rPr>
          <w:bCs/>
          <w:i/>
          <w:iCs/>
        </w:rPr>
        <w:t xml:space="preserve">allowedCG-List </w:t>
      </w:r>
      <w:r>
        <w:rPr>
          <w:bCs/>
        </w:rPr>
        <w:t>overrules</w:t>
      </w:r>
      <w:r>
        <w:rPr>
          <w:bCs/>
          <w:i/>
          <w:iCs/>
        </w:rPr>
        <w:t xml:space="preserve"> allowedHARQ-DRX-Mode</w:t>
      </w:r>
      <w:r>
        <w:rPr>
          <w:bCs/>
        </w:rPr>
        <w:t>, so this option is excluded from consideration.</w:t>
      </w:r>
    </w:p>
    <w:p>
      <w:pPr>
        <w:ind w:left="1440" w:hanging="1440"/>
        <w:rPr>
          <w:b/>
        </w:rPr>
      </w:pPr>
      <w:r>
        <w:rPr>
          <w:b/>
          <w:lang w:eastAsia="sv-SE"/>
        </w:rPr>
        <w:t>Question 5:</w:t>
      </w:r>
      <w:r>
        <w:rPr>
          <w:b/>
          <w:lang w:eastAsia="sv-SE"/>
        </w:rPr>
        <w:tab/>
      </w:r>
      <w:r>
        <w:rPr>
          <w:b/>
          <w:lang w:eastAsia="sv-SE"/>
        </w:rPr>
        <w:t xml:space="preserve">If </w:t>
      </w:r>
      <w:r>
        <w:rPr>
          <w:b/>
          <w:i/>
          <w:iCs/>
        </w:rPr>
        <w:t>allowedHARQ-DRX-Mode</w:t>
      </w:r>
      <w:r>
        <w:rPr>
          <w:b/>
          <w:lang w:eastAsia="sv-SE"/>
        </w:rPr>
        <w:t xml:space="preserve"> applies to CG and all HARQ processes used by a CG configuration </w:t>
      </w:r>
      <w:r>
        <w:rPr>
          <w:b/>
          <w:i/>
          <w:iCs/>
          <w:u w:val="single"/>
          <w:lang w:eastAsia="sv-SE"/>
        </w:rPr>
        <w:t>are not</w:t>
      </w:r>
      <w:r>
        <w:rPr>
          <w:b/>
          <w:lang w:eastAsia="sv-SE"/>
        </w:rPr>
        <w:t xml:space="preserve"> configured with the same HARQ state, what is the preferred method of handling a conflict between </w:t>
      </w:r>
      <w:r>
        <w:rPr>
          <w:b/>
          <w:i/>
          <w:iCs/>
        </w:rPr>
        <w:t>allowedHARQ-DRX-Mode</w:t>
      </w:r>
      <w:r>
        <w:rPr>
          <w:b/>
        </w:rPr>
        <w:t xml:space="preserve"> and </w:t>
      </w:r>
      <w:r>
        <w:rPr>
          <w:b/>
          <w:i/>
          <w:iCs/>
        </w:rPr>
        <w:t>allowedCG-List, if configured</w:t>
      </w:r>
      <w:r>
        <w:rPr>
          <w:b/>
        </w:rPr>
        <w:t>?</w:t>
      </w:r>
    </w:p>
    <w:p>
      <w:pPr>
        <w:pStyle w:val="50"/>
        <w:numPr>
          <w:ilvl w:val="0"/>
          <w:numId w:val="12"/>
        </w:numPr>
        <w:rPr>
          <w:rFonts w:ascii="Arial" w:hAnsi="Arial" w:cs="Arial"/>
          <w:b/>
          <w:sz w:val="20"/>
          <w:szCs w:val="20"/>
          <w:lang w:eastAsia="sv-SE"/>
        </w:rPr>
      </w:pPr>
      <w:r>
        <w:rPr>
          <w:rFonts w:ascii="Arial" w:hAnsi="Arial" w:cs="Arial"/>
          <w:b/>
          <w:sz w:val="20"/>
          <w:szCs w:val="20"/>
          <w:lang w:eastAsia="sv-SE"/>
        </w:rPr>
        <w:t xml:space="preserve">Option 1: NW cannot simultaneously configure </w:t>
      </w:r>
      <w:r>
        <w:rPr>
          <w:b/>
          <w:i/>
          <w:iCs/>
        </w:rPr>
        <w:t>allowedHARQ-DRX-Mode</w:t>
      </w:r>
      <w:r>
        <w:rPr>
          <w:b/>
        </w:rPr>
        <w:t xml:space="preserve"> and </w:t>
      </w:r>
      <w:r>
        <w:rPr>
          <w:b/>
          <w:i/>
          <w:iCs/>
        </w:rPr>
        <w:t>allowedCG-List</w:t>
      </w:r>
      <w:r>
        <w:rPr>
          <w:b/>
        </w:rPr>
        <w:t>;</w:t>
      </w:r>
    </w:p>
    <w:p>
      <w:pPr>
        <w:pStyle w:val="50"/>
        <w:numPr>
          <w:ilvl w:val="0"/>
          <w:numId w:val="12"/>
        </w:numPr>
        <w:rPr>
          <w:rFonts w:ascii="Arial" w:hAnsi="Arial" w:cs="Arial"/>
          <w:b/>
          <w:sz w:val="20"/>
          <w:szCs w:val="20"/>
          <w:lang w:eastAsia="sv-SE"/>
        </w:rPr>
      </w:pPr>
      <w:r>
        <w:rPr>
          <w:rFonts w:ascii="Arial" w:hAnsi="Arial" w:cs="Arial"/>
          <w:b/>
          <w:sz w:val="20"/>
          <w:szCs w:val="20"/>
          <w:lang w:eastAsia="sv-SE"/>
        </w:rPr>
        <w:t xml:space="preserve">Option 2: </w:t>
      </w:r>
      <w:r>
        <w:rPr>
          <w:b/>
          <w:i/>
          <w:iCs/>
        </w:rPr>
        <w:t>allowedHARQ-DRX-Mode</w:t>
      </w:r>
      <w:r>
        <w:rPr>
          <w:b/>
        </w:rPr>
        <w:t xml:space="preserve"> overrules </w:t>
      </w:r>
      <w:r>
        <w:rPr>
          <w:b/>
          <w:i/>
          <w:iCs/>
        </w:rPr>
        <w:t>allowedCG-List</w:t>
      </w:r>
      <w:r>
        <w:rPr>
          <w:b/>
        </w:rPr>
        <w:t>;</w:t>
      </w:r>
    </w:p>
    <w:p>
      <w:pPr>
        <w:pStyle w:val="50"/>
        <w:numPr>
          <w:ilvl w:val="0"/>
          <w:numId w:val="12"/>
        </w:numPr>
        <w:rPr>
          <w:rFonts w:ascii="Arial" w:hAnsi="Arial" w:cs="Arial"/>
          <w:b/>
          <w:sz w:val="20"/>
          <w:szCs w:val="20"/>
          <w:lang w:eastAsia="sv-SE"/>
        </w:rPr>
      </w:pPr>
      <w:r>
        <w:rPr>
          <w:rFonts w:ascii="Arial" w:hAnsi="Arial" w:cs="Arial"/>
          <w:b/>
          <w:sz w:val="20"/>
          <w:szCs w:val="20"/>
          <w:highlight w:val="yellow"/>
          <w:lang w:eastAsia="sv-SE"/>
        </w:rPr>
        <w:t xml:space="preserve">Option 2a: </w:t>
      </w:r>
      <w:r>
        <w:rPr>
          <w:b/>
          <w:i/>
          <w:iCs/>
          <w:highlight w:val="yellow"/>
        </w:rPr>
        <w:t>allowedCG-List overrides allowedHARQ-DRX-Mode;</w:t>
      </w:r>
    </w:p>
    <w:p>
      <w:pPr>
        <w:pStyle w:val="50"/>
        <w:numPr>
          <w:ilvl w:val="0"/>
          <w:numId w:val="12"/>
        </w:numPr>
        <w:rPr>
          <w:rFonts w:ascii="Arial" w:hAnsi="Arial" w:cs="Arial"/>
          <w:b/>
          <w:sz w:val="20"/>
          <w:szCs w:val="20"/>
          <w:lang w:eastAsia="sv-SE"/>
        </w:rPr>
      </w:pPr>
      <w:r>
        <w:rPr>
          <w:rFonts w:ascii="Arial" w:hAnsi="Arial" w:cs="Arial"/>
          <w:b/>
          <w:sz w:val="20"/>
          <w:szCs w:val="20"/>
          <w:lang w:eastAsia="sv-SE"/>
        </w:rPr>
        <w:t>Option 3: Other, please describe.</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Theme="minorEastAsia"/>
              </w:rPr>
            </w:pPr>
            <w:r>
              <w:rPr>
                <w:rFonts w:eastAsiaTheme="minorEastAsia"/>
              </w:rPr>
              <w:t>Option 3</w:t>
            </w:r>
          </w:p>
        </w:tc>
        <w:tc>
          <w:tcPr>
            <w:tcW w:w="6480" w:type="dxa"/>
          </w:tcPr>
          <w:p>
            <w:pPr>
              <w:rPr>
                <w:rFonts w:eastAsiaTheme="minorEastAsia"/>
                <w:highlight w:val="yellow"/>
              </w:rPr>
            </w:pPr>
            <w:r>
              <w:rPr>
                <w:rFonts w:eastAsiaTheme="minorEastAsia"/>
              </w:rPr>
              <w:t xml:space="preserve">We should trust the network to do the right thing, i.e., for a correct network configuration, all HARQ processes used by a CG configuration should be configured with the same HARQ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O</w:t>
            </w:r>
            <w:r>
              <w:rPr>
                <w:rFonts w:eastAsiaTheme="minorEastAsia"/>
              </w:rPr>
              <w:t>ption 2a</w:t>
            </w:r>
          </w:p>
        </w:tc>
        <w:tc>
          <w:tcPr>
            <w:tcW w:w="6480" w:type="dxa"/>
          </w:tcPr>
          <w:p>
            <w:pPr>
              <w:rPr>
                <w:rFonts w:eastAsiaTheme="minorEastAsia"/>
              </w:rPr>
            </w:pPr>
            <w:r>
              <w:rPr>
                <w:rFonts w:hint="eastAsia" w:eastAsiaTheme="minorEastAsia"/>
              </w:rPr>
              <w:t>I</w:t>
            </w:r>
            <w:r>
              <w:rPr>
                <w:rFonts w:eastAsiaTheme="minorEastAsia"/>
              </w:rPr>
              <w:t xml:space="preserve">f </w:t>
            </w:r>
            <w:r>
              <w:rPr>
                <w:i/>
                <w:iCs/>
              </w:rPr>
              <w:t>allowedCG-List  is configured, it takes all the parameters related to CG into account, including HARQ mode. In this sense, UE should only follow allowedCG-List, instead of allowedHARQ-DRX-Mode.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Malgun Gothic"/>
                <w:lang w:eastAsia="ko-KR"/>
              </w:rPr>
            </w:pPr>
            <w:r>
              <w:rPr>
                <w:rFonts w:hint="eastAsia" w:eastAsia="Malgun Gothic"/>
                <w:lang w:eastAsia="ko-KR"/>
              </w:rPr>
              <w:t>LG</w:t>
            </w:r>
          </w:p>
        </w:tc>
        <w:tc>
          <w:tcPr>
            <w:tcW w:w="1739" w:type="dxa"/>
          </w:tcPr>
          <w:p>
            <w:pPr>
              <w:rPr>
                <w:rFonts w:eastAsia="Malgun Gothic"/>
                <w:lang w:eastAsia="ko-KR"/>
              </w:rPr>
            </w:pPr>
            <w:r>
              <w:rPr>
                <w:rFonts w:hint="eastAsia" w:eastAsia="Malgun Gothic"/>
                <w:lang w:eastAsia="ko-KR"/>
              </w:rPr>
              <w:t>Option 2a</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vivo</w:t>
            </w:r>
          </w:p>
        </w:tc>
        <w:tc>
          <w:tcPr>
            <w:tcW w:w="1739" w:type="dxa"/>
          </w:tcPr>
          <w:p>
            <w:pPr>
              <w:rPr>
                <w:rFonts w:eastAsiaTheme="minorEastAsia"/>
              </w:rPr>
            </w:pPr>
            <w:r>
              <w:rPr>
                <w:rFonts w:hint="eastAsia" w:eastAsiaTheme="minorEastAsia"/>
              </w:rPr>
              <w:t>Option</w:t>
            </w:r>
            <w:r>
              <w:rPr>
                <w:rFonts w:eastAsiaTheme="minorEastAsia"/>
              </w:rPr>
              <w:t xml:space="preserve"> 3</w:t>
            </w:r>
          </w:p>
        </w:tc>
        <w:tc>
          <w:tcPr>
            <w:tcW w:w="6480" w:type="dxa"/>
          </w:tcPr>
          <w:p>
            <w:pPr>
              <w:rPr>
                <w:rFonts w:eastAsiaTheme="minorEastAsia"/>
                <w:highlight w:val="yellow"/>
              </w:rPr>
            </w:pPr>
            <w:r>
              <w:rPr>
                <w:rFonts w:hint="eastAsia" w:eastAsiaTheme="minorEastAsia"/>
              </w:rPr>
              <w:t>Agree</w:t>
            </w:r>
            <w:r>
              <w:rPr>
                <w:rFonts w:eastAsiaTheme="minorEastAsia"/>
              </w:rPr>
              <w:t xml:space="preserve"> </w:t>
            </w:r>
            <w:r>
              <w:rPr>
                <w:rFonts w:hint="eastAsia" w:eastAsiaTheme="minorEastAsia"/>
              </w:rPr>
              <w:t>with</w:t>
            </w:r>
            <w:r>
              <w:rPr>
                <w:rFonts w:eastAsiaTheme="minorEastAsia"/>
              </w:rPr>
              <w:t xml:space="preserve"> </w:t>
            </w:r>
            <w:r>
              <w:rPr>
                <w:rFonts w:hint="eastAsia" w:eastAsiaTheme="minorEastAsia"/>
              </w:rPr>
              <w:t>OPPO,</w:t>
            </w:r>
            <w:r>
              <w:rPr>
                <w:rFonts w:eastAsiaTheme="minorEastAsia"/>
              </w:rPr>
              <w:t xml:space="preserve"> the network can configure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lang w:eastAsia="en-US"/>
              </w:rPr>
              <w:t>CATT</w:t>
            </w:r>
          </w:p>
        </w:tc>
        <w:tc>
          <w:tcPr>
            <w:tcW w:w="1739" w:type="dxa"/>
          </w:tcPr>
          <w:p>
            <w:pPr>
              <w:rPr>
                <w:rFonts w:eastAsiaTheme="minorEastAsia"/>
              </w:rPr>
            </w:pPr>
            <w:r>
              <w:rPr>
                <w:rFonts w:eastAsiaTheme="minorEastAsia"/>
                <w:lang w:eastAsia="en-US"/>
              </w:rPr>
              <w:t>Option 3</w:t>
            </w:r>
          </w:p>
        </w:tc>
        <w:tc>
          <w:tcPr>
            <w:tcW w:w="6480" w:type="dxa"/>
          </w:tcPr>
          <w:p>
            <w:pPr>
              <w:rPr>
                <w:lang w:eastAsia="sv-SE"/>
              </w:rPr>
            </w:pPr>
            <w:r>
              <w:rPr>
                <w:rFonts w:eastAsiaTheme="minorEastAsia"/>
                <w:lang w:eastAsia="en-US"/>
              </w:rPr>
              <w:t>It is up to network implemention to guarantee a correct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eastAsiaTheme="minorEastAsia"/>
              </w:rPr>
              <w:t>None</w:t>
            </w:r>
          </w:p>
        </w:tc>
        <w:tc>
          <w:tcPr>
            <w:tcW w:w="6480" w:type="dxa"/>
          </w:tcPr>
          <w:p>
            <w:pPr>
              <w:rPr>
                <w:rFonts w:eastAsiaTheme="minorEastAsia"/>
              </w:rPr>
            </w:pPr>
            <w:r>
              <w:rPr>
                <w:rFonts w:eastAsiaTheme="minorEastAsia"/>
              </w:rPr>
              <w:t xml:space="preserve">This is why we suggested to add a note of the principle tha </w:t>
            </w:r>
            <w:r>
              <w:rPr>
                <w:b/>
                <w:i/>
              </w:rPr>
              <w:t>all</w:t>
            </w:r>
            <w:r>
              <w:rPr>
                <w:b/>
                <w:i/>
                <w:szCs w:val="28"/>
              </w:rPr>
              <w:t xml:space="preserve"> HARQ processes used by a CG configuration are configured with the same HARQ state</w:t>
            </w:r>
            <w:r>
              <w:rPr>
                <w:rFonts w:hint="eastAsia" w:asciiTheme="minorEastAsia" w:hAnsiTheme="minorEastAsia" w:eastAsiaTheme="minorEastAsia"/>
                <w:b/>
                <w:i/>
                <w:szCs w:val="28"/>
              </w:rPr>
              <w:t>.</w:t>
            </w:r>
          </w:p>
          <w:p>
            <w:pPr>
              <w:rPr>
                <w:rFonts w:eastAsiaTheme="minorEastAsia"/>
              </w:rPr>
            </w:pPr>
            <w:r>
              <w:rPr>
                <w:rFonts w:eastAsiaTheme="minorEastAsia"/>
              </w:rPr>
              <w:t>In that case, NW implementation can easily ensure no confilict between these two parameters and no action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sz w:val="20"/>
                <w:szCs w:val="20"/>
                <w:lang w:val="en-US" w:eastAsia="sv-SE" w:bidi="ar-SA"/>
              </w:rPr>
            </w:pPr>
            <w:r>
              <w:rPr>
                <w:rFonts w:hint="eastAsia" w:eastAsiaTheme="minorEastAsia"/>
                <w:lang w:val="en-US" w:eastAsia="zh-CN"/>
              </w:rPr>
              <w:t>ZTE</w:t>
            </w:r>
          </w:p>
        </w:tc>
        <w:tc>
          <w:tcPr>
            <w:tcW w:w="1739" w:type="dxa"/>
            <w:vAlign w:val="top"/>
          </w:tcPr>
          <w:p>
            <w:pPr>
              <w:rPr>
                <w:rFonts w:hint="default" w:ascii="Arial" w:hAnsi="Arial" w:cs="Times New Roman" w:eastAsiaTheme="minorEastAsia"/>
                <w:sz w:val="20"/>
                <w:szCs w:val="20"/>
                <w:lang w:val="en-US" w:eastAsia="zh-CN" w:bidi="ar-SA"/>
              </w:rPr>
            </w:pPr>
            <w:r>
              <w:rPr>
                <w:rFonts w:hint="eastAsia" w:eastAsiaTheme="minorEastAsia"/>
                <w:lang w:val="en-US" w:eastAsia="zh-CN"/>
              </w:rPr>
              <w:t>This assumption is not valid</w:t>
            </w:r>
          </w:p>
        </w:tc>
        <w:tc>
          <w:tcPr>
            <w:tcW w:w="6480" w:type="dxa"/>
            <w:vAlign w:val="top"/>
          </w:tcPr>
          <w:p>
            <w:pPr>
              <w:rPr>
                <w:rFonts w:hint="default" w:ascii="Arial" w:hAnsi="Arial" w:eastAsia="宋体" w:cs="Times New Roman"/>
                <w:sz w:val="20"/>
                <w:szCs w:val="20"/>
                <w:highlight w:val="yellow"/>
                <w:lang w:val="en-US" w:eastAsia="zh-CN" w:bidi="ar-SA"/>
              </w:rPr>
            </w:pPr>
            <w:r>
              <w:rPr>
                <w:rFonts w:hint="eastAsia" w:eastAsiaTheme="minorEastAsia"/>
                <w:highlight w:val="none"/>
                <w:lang w:val="en-US" w:eastAsia="zh-CN"/>
              </w:rPr>
              <w:t xml:space="preserve">As the problem itself indicates, allowing applying </w:t>
            </w:r>
            <w:r>
              <w:rPr>
                <w:b w:val="0"/>
                <w:bCs/>
                <w:i/>
                <w:iCs/>
                <w:highlight w:val="none"/>
              </w:rPr>
              <w:t>allowedHARQ-DRX-Mode</w:t>
            </w:r>
            <w:r>
              <w:rPr>
                <w:rFonts w:hint="eastAsia" w:eastAsia="宋体"/>
                <w:b w:val="0"/>
                <w:bCs/>
                <w:i/>
                <w:iCs/>
                <w:highlight w:val="none"/>
                <w:lang w:val="en-US" w:eastAsia="zh-CN"/>
              </w:rPr>
              <w:t xml:space="preserve"> </w:t>
            </w:r>
            <w:r>
              <w:rPr>
                <w:rFonts w:hint="eastAsia" w:eastAsia="宋体"/>
                <w:b w:val="0"/>
                <w:bCs/>
                <w:i w:val="0"/>
                <w:iCs w:val="0"/>
                <w:highlight w:val="none"/>
                <w:lang w:val="en-US" w:eastAsia="zh-CN"/>
              </w:rPr>
              <w:t xml:space="preserve">to CG will introduce more complex discussion, e.g, how to deal with conflict configuration, while there is no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rPr>
          <w:b/>
          <w:bCs/>
          <w:iCs/>
          <w:lang w:val="en-US"/>
        </w:rPr>
      </w:pPr>
    </w:p>
    <w:p>
      <w:pPr>
        <w:pStyle w:val="3"/>
      </w:pPr>
      <w:r>
        <w:t xml:space="preserve">PUSCH transmission scheduled by RAR </w:t>
      </w:r>
    </w:p>
    <w:p>
      <w:r>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pPr>
        <w:rPr>
          <w:i/>
          <w:lang w:eastAsia="sv-SE"/>
        </w:rPr>
      </w:pPr>
      <w:r>
        <w:rPr>
          <w:lang w:eastAsia="sv-SE"/>
        </w:rPr>
        <w:t>Below is a summary of technical arguments provided via contributions submitted to RAN2#116bis-e:</w:t>
      </w:r>
    </w:p>
    <w:p>
      <w:pPr>
        <w:rPr>
          <w:b/>
          <w:bCs/>
        </w:rPr>
      </w:pPr>
      <w:r>
        <w:rPr>
          <w:b/>
          <w:bCs/>
        </w:rPr>
        <w:t>Up to NW implementation [1, 10, 16]:</w:t>
      </w:r>
    </w:p>
    <w:p>
      <w:pPr>
        <w:rPr>
          <w:lang w:val="en-US"/>
        </w:rPr>
      </w:pPr>
      <w:r>
        <w:rPr>
          <w:lang w:val="en-US"/>
        </w:rPr>
        <w:t xml:space="preserve">Proponents of leaving this issue up to network implementation/not addressing this issue note that </w:t>
      </w:r>
      <w:r>
        <w:rPr>
          <w:rFonts w:eastAsia="Calibri"/>
        </w:rPr>
        <w:t xml:space="preserve">PDCCH monitoring behaviour during RA procedure is perfectly controlled by RAR window and the running of </w:t>
      </w:r>
      <w:r>
        <w:rPr>
          <w:i/>
        </w:rPr>
        <w:t>ra-ContentionResolutionTimer</w:t>
      </w:r>
      <w:r>
        <w:t>, and DRX timer running or not has no extra contribution to the PDCCH monitoring during RACH [1, 16]. Regarding LCP, we can simply leave proper configuration up to NW implementation without any specification impact [1, 10, 16].</w:t>
      </w:r>
    </w:p>
    <w:p>
      <w:pPr>
        <w:rPr>
          <w:b/>
          <w:bCs/>
          <w:lang w:val="en-US"/>
        </w:rPr>
      </w:pPr>
      <w:r>
        <w:rPr>
          <w:b/>
          <w:bCs/>
          <w:lang w:val="en-US"/>
        </w:rPr>
        <w:t>Ignore HARQ/LCP configuration [2, 3]</w:t>
      </w:r>
    </w:p>
    <w:p>
      <w:r>
        <w:t xml:space="preserve">Proponents of addressing this issue note that there may be multiple ways of solving the issue, for example </w:t>
      </w:r>
      <w:r>
        <w:rPr>
          <w:i/>
          <w:iCs/>
        </w:rPr>
        <w:t>uplinkHARQ-DRX-LCP-Mode-r17</w:t>
      </w:r>
      <w:r>
        <w:t xml:space="preserve"> does not applies to HARQ process 0 carring PUSCH transmission scheduled by RAR or PUSCH payload of MsgA; or for UL grant in RAR or UL grant associated with MsgA PUSCH resource, LCP restriction of HARQ state does not apply [2]. From the perspective of [3], this should be discussed case by case where the triggering event should to be considered. A general principle is that we could make sure what needs to be transmitted to the gNB during RACH can be carried in the UL grant in RAR (In other words, the LCH that can use the UL grant in RAR is related with the triggering events. And for this LCH, the LCP restriction is not applied)</w:t>
      </w:r>
    </w:p>
    <w:p>
      <w:r>
        <w:t xml:space="preserve">Out of 17 responding companies, the following table presents a summary of responses to the above question </w:t>
      </w:r>
      <w:r>
        <w:rPr>
          <w:lang w:eastAsia="sv-SE"/>
        </w:rPr>
        <w:t>(companies are encouraged to refer to the original discussion document in R2-2101739 for detailed summary):</w:t>
      </w:r>
      <w:r>
        <w:t>:</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2316"/>
        <w:gridCol w:w="2316"/>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65" w:type="dxa"/>
            <w:gridSpan w:val="4"/>
            <w:shd w:val="clear" w:color="auto" w:fill="F1F1F1" w:themeFill="background1" w:themeFillShade="F2"/>
            <w:vAlign w:val="center"/>
          </w:tcPr>
          <w:p>
            <w:pPr>
              <w:jc w:val="center"/>
              <w:rPr>
                <w:b/>
                <w:i/>
                <w:iCs/>
              </w:rPr>
            </w:pPr>
            <w:r>
              <w:rPr>
                <w:b/>
                <w:i/>
                <w:iCs/>
              </w:rPr>
              <w:t>Preferred option for the cases that HARQ process 0 carries PUSCH transmission scheduled by RAR or PUSCH payload of MsgA</w:t>
            </w:r>
            <w:r>
              <w:rPr>
                <w:rFonts w:cs="Arial"/>
                <w:b/>
                <w:i/>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6" w:type="dxa"/>
            <w:shd w:val="clear" w:color="auto" w:fill="F1F1F1" w:themeFill="background1" w:themeFillShade="F2"/>
            <w:vAlign w:val="center"/>
          </w:tcPr>
          <w:p>
            <w:pPr>
              <w:jc w:val="center"/>
            </w:pPr>
            <w:r>
              <w:t>NW implementation</w:t>
            </w:r>
          </w:p>
        </w:tc>
        <w:tc>
          <w:tcPr>
            <w:tcW w:w="2316" w:type="dxa"/>
            <w:shd w:val="clear" w:color="auto" w:fill="F1F1F1" w:themeFill="background1" w:themeFillShade="F2"/>
            <w:vAlign w:val="center"/>
          </w:tcPr>
          <w:p>
            <w:pPr>
              <w:jc w:val="center"/>
            </w:pPr>
            <w:r>
              <w:rPr>
                <w:rFonts w:cs="Arial"/>
                <w:bCs/>
                <w:i/>
                <w:iCs/>
              </w:rPr>
              <w:t xml:space="preserve">uplinkHARQ-DRX-LCP-Mode-r17 </w:t>
            </w:r>
            <w:r>
              <w:rPr>
                <w:rFonts w:cs="Arial"/>
                <w:bCs/>
              </w:rPr>
              <w:t>does not applies</w:t>
            </w:r>
          </w:p>
        </w:tc>
        <w:tc>
          <w:tcPr>
            <w:tcW w:w="2316" w:type="dxa"/>
            <w:shd w:val="clear" w:color="auto" w:fill="F1F1F1" w:themeFill="background1" w:themeFillShade="F2"/>
            <w:vAlign w:val="center"/>
          </w:tcPr>
          <w:p>
            <w:pPr>
              <w:jc w:val="center"/>
            </w:pPr>
            <w:r>
              <w:rPr>
                <w:rFonts w:cs="Arial"/>
                <w:bCs/>
              </w:rPr>
              <w:t>LCP restriction of HARQ state does not apply</w:t>
            </w:r>
          </w:p>
        </w:tc>
        <w:tc>
          <w:tcPr>
            <w:tcW w:w="2317" w:type="dxa"/>
            <w:shd w:val="clear" w:color="auto" w:fill="F1F1F1" w:themeFill="background1" w:themeFillShade="F2"/>
            <w:vAlign w:val="center"/>
          </w:tcPr>
          <w:p>
            <w:pPr>
              <w:jc w:val="center"/>
            </w:pPr>
            <w:r>
              <w:t>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6" w:type="dxa"/>
            <w:vAlign w:val="center"/>
          </w:tcPr>
          <w:p>
            <w:pPr>
              <w:jc w:val="center"/>
            </w:pPr>
            <w:r>
              <w:t>11</w:t>
            </w:r>
          </w:p>
        </w:tc>
        <w:tc>
          <w:tcPr>
            <w:tcW w:w="2316" w:type="dxa"/>
          </w:tcPr>
          <w:p>
            <w:pPr>
              <w:jc w:val="center"/>
            </w:pPr>
            <w:r>
              <w:t>1</w:t>
            </w:r>
          </w:p>
        </w:tc>
        <w:tc>
          <w:tcPr>
            <w:tcW w:w="2316" w:type="dxa"/>
            <w:vAlign w:val="center"/>
          </w:tcPr>
          <w:p>
            <w:pPr>
              <w:jc w:val="center"/>
            </w:pPr>
            <w:r>
              <w:t>6</w:t>
            </w:r>
          </w:p>
        </w:tc>
        <w:tc>
          <w:tcPr>
            <w:tcW w:w="2317" w:type="dxa"/>
          </w:tcPr>
          <w:p>
            <w:pPr>
              <w:jc w:val="center"/>
            </w:pPr>
            <w:r>
              <w:t>1</w:t>
            </w:r>
          </w:p>
        </w:tc>
      </w:tr>
    </w:tbl>
    <w:p>
      <w:pPr>
        <w:ind w:left="1440" w:hanging="1440"/>
        <w:rPr>
          <w:bCs/>
          <w:sz w:val="8"/>
          <w:szCs w:val="8"/>
          <w:lang w:eastAsia="sv-SE"/>
        </w:rPr>
      </w:pPr>
    </w:p>
    <w:p>
      <w:pPr>
        <w:rPr>
          <w:lang w:eastAsia="sv-SE"/>
        </w:rPr>
      </w:pPr>
      <w:r>
        <w:rPr>
          <w:lang w:eastAsia="sv-SE"/>
        </w:rPr>
        <w:t xml:space="preserve">After subsequent discussion via reflector the following two proposals were suggested: </w:t>
      </w:r>
    </w:p>
    <w:p>
      <w:pPr>
        <w:ind w:left="1440" w:hanging="1440"/>
        <w:rPr>
          <w:rFonts w:ascii="Calibri" w:hAnsi="Calibri"/>
          <w:lang w:val="en-US" w:eastAsia="sv-SE"/>
        </w:rPr>
      </w:pPr>
      <w:r>
        <w:rPr>
          <w:b/>
          <w:bCs/>
          <w:lang w:eastAsia="sv-SE"/>
        </w:rPr>
        <w:t xml:space="preserve">Proposal A:     </w:t>
      </w:r>
      <w:r>
        <w:rPr>
          <w:b/>
          <w:bCs/>
          <w:i/>
          <w:iCs/>
        </w:rPr>
        <w:t>allowedHARQ-DRX-LCP</w:t>
      </w:r>
      <w:r>
        <w:rPr>
          <w:b/>
          <w:bCs/>
          <w:lang w:eastAsia="sv-SE"/>
        </w:rPr>
        <w:t xml:space="preserve"> shall not apply to LCP for Msg3/MsgA PUSCH. FFS whether this can be left to NW implementation, or explicitly specified.</w:t>
      </w:r>
    </w:p>
    <w:p>
      <w:pPr>
        <w:ind w:left="1440" w:hanging="1440"/>
        <w:rPr>
          <w:rFonts w:ascii="Calibri" w:hAnsi="Calibri"/>
          <w:b/>
          <w:bCs/>
          <w:lang w:val="en-US"/>
        </w:rPr>
      </w:pPr>
      <w:r>
        <w:rPr>
          <w:b/>
          <w:bCs/>
        </w:rPr>
        <w:t xml:space="preserve">Proposal B: </w:t>
      </w:r>
      <w:r>
        <w:rPr>
          <w:b/>
          <w:bCs/>
        </w:rPr>
        <w:tab/>
      </w:r>
      <w:r>
        <w:rPr>
          <w:b/>
          <w:bCs/>
        </w:rPr>
        <w:t>For the cases that HARQ process 0 carries PUSCH transmission scheduled by RAR or PUSCH payload of MsgA, configuration of HARQ mode is up to NW implementation, and UE always follows it.</w:t>
      </w:r>
    </w:p>
    <w:p>
      <w:pPr>
        <w:rPr>
          <w:bCs/>
          <w:lang w:val="en-US" w:eastAsia="sv-SE"/>
        </w:rPr>
      </w:pPr>
      <w:r>
        <w:rPr>
          <w:bCs/>
          <w:lang w:val="en-US" w:eastAsia="sv-SE"/>
        </w:rPr>
        <w:t xml:space="preserve">Rapporteur understands advantage of Proposal A is that will guarentee new LCP restriction does not interfere with legacy transmission of </w:t>
      </w:r>
      <w:r>
        <w:rPr>
          <w:lang w:eastAsia="sv-SE"/>
        </w:rPr>
        <w:t>Msg3/MsgA PUSCH</w:t>
      </w:r>
      <w:r>
        <w:t xml:space="preserve"> (with FFS addressing whether the network can handle this via configuration or there needs to be an exception captured in the MAC spec). The advantage of Proposal B is that there is less specification impact and additional NW flexibility by leaving it fully to NW configuration to avoid impact to legacy procedure.</w:t>
      </w:r>
    </w:p>
    <w:p>
      <w:pPr>
        <w:ind w:left="1440" w:hanging="1440"/>
        <w:rPr>
          <w:b/>
          <w:bCs/>
          <w:iCs/>
        </w:rPr>
      </w:pPr>
      <w:r>
        <w:rPr>
          <w:b/>
          <w:lang w:eastAsia="sv-SE"/>
        </w:rPr>
        <w:t>Question 6:</w:t>
      </w:r>
      <w:r>
        <w:tab/>
      </w:r>
      <w:r>
        <w:rPr>
          <w:b/>
          <w:bCs/>
          <w:iCs/>
        </w:rPr>
        <w:t>For the cases that HARQ process 0 carries PUSCH transmission scheduled by RAR or PUSCH payload of MsgA, what is your preferred option?:</w:t>
      </w:r>
    </w:p>
    <w:p>
      <w:pPr>
        <w:pStyle w:val="50"/>
        <w:numPr>
          <w:ilvl w:val="0"/>
          <w:numId w:val="15"/>
        </w:numPr>
        <w:rPr>
          <w:rFonts w:ascii="Arial" w:hAnsi="Arial" w:cs="Arial"/>
          <w:b/>
          <w:bCs/>
          <w:sz w:val="18"/>
          <w:szCs w:val="18"/>
        </w:rPr>
      </w:pPr>
      <w:r>
        <w:rPr>
          <w:rFonts w:ascii="Arial" w:hAnsi="Arial" w:cs="Arial"/>
          <w:b/>
          <w:bCs/>
          <w:i/>
          <w:iCs/>
          <w:sz w:val="20"/>
          <w:szCs w:val="20"/>
        </w:rPr>
        <w:t>allowedHARQ-DRX-LCP</w:t>
      </w:r>
      <w:r>
        <w:rPr>
          <w:rFonts w:ascii="Arial" w:hAnsi="Arial" w:cs="Arial"/>
          <w:b/>
          <w:bCs/>
          <w:sz w:val="20"/>
          <w:szCs w:val="20"/>
          <w:lang w:eastAsia="sv-SE"/>
        </w:rPr>
        <w:t xml:space="preserve"> shall not apply to LCP for Msg3/MsgA PUSCH FFS whether this can be left to NW implementation, or explicitly specified.</w:t>
      </w:r>
    </w:p>
    <w:p>
      <w:pPr>
        <w:pStyle w:val="50"/>
        <w:numPr>
          <w:ilvl w:val="0"/>
          <w:numId w:val="15"/>
        </w:numPr>
        <w:rPr>
          <w:rFonts w:ascii="Arial" w:hAnsi="Arial" w:cs="Arial"/>
          <w:b/>
          <w:bCs/>
          <w:sz w:val="18"/>
          <w:szCs w:val="18"/>
        </w:rPr>
      </w:pPr>
      <w:r>
        <w:rPr>
          <w:rFonts w:ascii="Arial" w:hAnsi="Arial" w:cs="Arial"/>
          <w:b/>
          <w:bCs/>
          <w:sz w:val="20"/>
          <w:szCs w:val="20"/>
        </w:rPr>
        <w:t>Configuration of HARQ mode and</w:t>
      </w:r>
      <w:r>
        <w:rPr>
          <w:rFonts w:ascii="Arial" w:hAnsi="Arial" w:cs="Arial"/>
          <w:b/>
          <w:bCs/>
          <w:i/>
          <w:iCs/>
          <w:sz w:val="20"/>
          <w:szCs w:val="20"/>
        </w:rPr>
        <w:t xml:space="preserve"> allowedHARQ-DRX-LCP</w:t>
      </w:r>
      <w:r>
        <w:rPr>
          <w:rFonts w:ascii="Arial" w:hAnsi="Arial" w:cs="Arial"/>
          <w:b/>
          <w:bCs/>
          <w:sz w:val="20"/>
          <w:szCs w:val="20"/>
        </w:rPr>
        <w:t xml:space="preserve"> is up to NW implementation, and UE always follows it.</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OPPO</w:t>
            </w:r>
          </w:p>
        </w:tc>
        <w:tc>
          <w:tcPr>
            <w:tcW w:w="1739" w:type="dxa"/>
          </w:tcPr>
          <w:p>
            <w:pPr>
              <w:rPr>
                <w:rFonts w:eastAsiaTheme="minorEastAsia"/>
              </w:rPr>
            </w:pPr>
            <w:r>
              <w:rPr>
                <w:rFonts w:eastAsiaTheme="minorEastAsia"/>
              </w:rPr>
              <w:t>Option 2</w:t>
            </w:r>
          </w:p>
        </w:tc>
        <w:tc>
          <w:tcPr>
            <w:tcW w:w="6480" w:type="dxa"/>
          </w:tcPr>
          <w:p>
            <w:pPr>
              <w:rPr>
                <w:rFonts w:eastAsiaTheme="minorEastAsia"/>
                <w:highlight w:val="yellow"/>
              </w:rPr>
            </w:pPr>
            <w:r>
              <w:rPr>
                <w:rFonts w:eastAsiaTheme="minorEastAsia"/>
              </w:rPr>
              <w:t>The LCP impact on PUSCH transmission scheduled by RAR or PUSCH payload of MsgA can be avoided by NW’s proper configuration with the least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X</w:t>
            </w:r>
            <w:r>
              <w:rPr>
                <w:rFonts w:eastAsiaTheme="minorEastAsia"/>
              </w:rPr>
              <w:t>iaomi</w:t>
            </w:r>
          </w:p>
        </w:tc>
        <w:tc>
          <w:tcPr>
            <w:tcW w:w="1739" w:type="dxa"/>
          </w:tcPr>
          <w:p>
            <w:pPr>
              <w:rPr>
                <w:rFonts w:eastAsiaTheme="minorEastAsia"/>
              </w:rPr>
            </w:pPr>
            <w:r>
              <w:rPr>
                <w:rFonts w:hint="eastAsia" w:eastAsiaTheme="minorEastAsia"/>
              </w:rPr>
              <w:t>O</w:t>
            </w:r>
            <w:r>
              <w:rPr>
                <w:rFonts w:eastAsiaTheme="minorEastAsia"/>
              </w:rPr>
              <w:t>ption 1</w:t>
            </w:r>
          </w:p>
        </w:tc>
        <w:tc>
          <w:tcPr>
            <w:tcW w:w="6480" w:type="dxa"/>
          </w:tcPr>
          <w:p>
            <w:r>
              <w:rPr>
                <w:rFonts w:hint="eastAsia"/>
              </w:rPr>
              <w:t>F</w:t>
            </w:r>
            <w:r>
              <w:t>irst, we need to clarify whether the configuration of “No HARQ state” is per HARQ process or per UE? We think it should be per UE since it will apply no RTT offset for DRX which only relates to satellites height.</w:t>
            </w:r>
          </w:p>
          <w:p>
            <w:pPr>
              <w:rPr>
                <w:rFonts w:eastAsiaTheme="minorEastAsia"/>
              </w:rPr>
            </w:pPr>
            <w:r>
              <w:t>Second, if network configure HARQ process #0 with no HARQ state, dynamic scheduling may not be able to use this HARQ process since DRX RTT timer can not be extended by RTT.</w:t>
            </w:r>
          </w:p>
          <w:p>
            <w:pPr>
              <w:rPr>
                <w:rFonts w:eastAsiaTheme="minorEastAsia"/>
              </w:rPr>
            </w:pPr>
            <w:r>
              <w:rPr>
                <w:rFonts w:hint="eastAsia"/>
              </w:rPr>
              <w:t>T</w:t>
            </w:r>
            <w:r>
              <w:t>hird, if network configure HARQ process #0 with harq state, it means the LCHs configured with other HARQ state can not use it even if the RACH is triggered by them due to data arrival. It will greatly increase the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Malgun Gothic"/>
                <w:lang w:eastAsia="ko-KR"/>
              </w:rPr>
            </w:pPr>
            <w:r>
              <w:rPr>
                <w:rFonts w:hint="eastAsia" w:eastAsia="Malgun Gothic"/>
                <w:lang w:eastAsia="ko-KR"/>
              </w:rPr>
              <w:t>LG</w:t>
            </w:r>
          </w:p>
        </w:tc>
        <w:tc>
          <w:tcPr>
            <w:tcW w:w="1739" w:type="dxa"/>
          </w:tcPr>
          <w:p>
            <w:pPr>
              <w:rPr>
                <w:rFonts w:eastAsia="Malgun Gothic"/>
                <w:lang w:eastAsia="ko-KR"/>
              </w:rPr>
            </w:pPr>
            <w:r>
              <w:rPr>
                <w:rFonts w:hint="eastAsia" w:eastAsia="Malgun Gothic"/>
                <w:lang w:eastAsia="ko-KR"/>
              </w:rPr>
              <w:t>Option 2</w:t>
            </w:r>
          </w:p>
        </w:tc>
        <w:tc>
          <w:tcPr>
            <w:tcW w:w="6480" w:type="dxa"/>
          </w:tcPr>
          <w:p>
            <w:pPr>
              <w:rPr>
                <w:rFonts w:eastAsia="Malgun Gothic"/>
                <w:highlight w:val="yellow"/>
                <w:lang w:eastAsia="ko-KR"/>
              </w:rPr>
            </w:pPr>
            <w:r>
              <w:t>The smart network would not configure the wrong HARQ state to the HARQ PID0. Thus, the UE should follow the configuration configured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v</w:t>
            </w:r>
            <w:r>
              <w:rPr>
                <w:rFonts w:eastAsiaTheme="minorEastAsia"/>
              </w:rPr>
              <w:t>ivo</w:t>
            </w:r>
          </w:p>
        </w:tc>
        <w:tc>
          <w:tcPr>
            <w:tcW w:w="1739" w:type="dxa"/>
          </w:tcPr>
          <w:p>
            <w:pPr>
              <w:rPr>
                <w:rFonts w:eastAsiaTheme="minorEastAsia"/>
              </w:rPr>
            </w:pPr>
            <w:r>
              <w:rPr>
                <w:rFonts w:hint="eastAsia" w:eastAsiaTheme="minorEastAsia"/>
              </w:rPr>
              <w:t>O</w:t>
            </w:r>
            <w:r>
              <w:rPr>
                <w:rFonts w:eastAsiaTheme="minorEastAsia"/>
              </w:rPr>
              <w:t>ption 2</w:t>
            </w: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lang w:eastAsia="en-US"/>
              </w:rPr>
              <w:t>CATT</w:t>
            </w:r>
          </w:p>
        </w:tc>
        <w:tc>
          <w:tcPr>
            <w:tcW w:w="1739" w:type="dxa"/>
          </w:tcPr>
          <w:p>
            <w:pPr>
              <w:rPr>
                <w:rFonts w:eastAsiaTheme="minorEastAsia"/>
              </w:rPr>
            </w:pPr>
            <w:r>
              <w:rPr>
                <w:rFonts w:eastAsiaTheme="minorEastAsia"/>
                <w:lang w:eastAsia="en-US"/>
              </w:rPr>
              <w:t>Option 2</w:t>
            </w: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r>
              <w:rPr>
                <w:rFonts w:hint="eastAsia" w:eastAsiaTheme="minorEastAsia"/>
              </w:rPr>
              <w:t>H</w:t>
            </w:r>
            <w:r>
              <w:rPr>
                <w:rFonts w:eastAsiaTheme="minorEastAsia"/>
              </w:rPr>
              <w:t>uawei, HiSilicon</w:t>
            </w:r>
          </w:p>
        </w:tc>
        <w:tc>
          <w:tcPr>
            <w:tcW w:w="1739" w:type="dxa"/>
          </w:tcPr>
          <w:p>
            <w:pPr>
              <w:rPr>
                <w:lang w:eastAsia="sv-SE"/>
              </w:rPr>
            </w:pPr>
            <w:r>
              <w:rPr>
                <w:rFonts w:eastAsiaTheme="minorEastAsia"/>
              </w:rPr>
              <w:t>Option 1</w:t>
            </w:r>
          </w:p>
        </w:tc>
        <w:tc>
          <w:tcPr>
            <w:tcW w:w="6480" w:type="dxa"/>
          </w:tcPr>
          <w:p>
            <w:pPr>
              <w:rPr>
                <w:rFonts w:eastAsiaTheme="minorEastAsia"/>
              </w:rPr>
            </w:pPr>
            <w:r>
              <w:rPr>
                <w:rFonts w:eastAsiaTheme="minorEastAsia"/>
              </w:rPr>
              <w:t xml:space="preserve">We should make sure that what needs to be transmitted to the gNB during RACH can be carried in the UL grant in RAR. This means if we want the data from a LCH to be transmitted during RACH, the allowedHARQ-DRX-LCP should not apply to that LCH.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vAlign w:val="top"/>
          </w:tcPr>
          <w:p>
            <w:pPr>
              <w:rPr>
                <w:rFonts w:hint="default" w:ascii="Arial" w:hAnsi="Arial" w:cs="Times New Roman" w:eastAsiaTheme="minorEastAsia"/>
                <w:b w:val="0"/>
                <w:bCs w:val="0"/>
                <w:sz w:val="20"/>
                <w:szCs w:val="20"/>
                <w:lang w:val="en-US" w:eastAsia="sv-SE" w:bidi="ar-SA"/>
              </w:rPr>
            </w:pPr>
            <w:r>
              <w:rPr>
                <w:rFonts w:hint="eastAsia" w:eastAsiaTheme="minorEastAsia"/>
                <w:b w:val="0"/>
                <w:bCs w:val="0"/>
                <w:lang w:val="en-US" w:eastAsia="zh-CN"/>
              </w:rPr>
              <w:t>ZTE</w:t>
            </w:r>
          </w:p>
        </w:tc>
        <w:tc>
          <w:tcPr>
            <w:tcW w:w="1739" w:type="dxa"/>
            <w:vAlign w:val="top"/>
          </w:tcPr>
          <w:p>
            <w:pPr>
              <w:rPr>
                <w:rFonts w:hint="default" w:ascii="Arial" w:hAnsi="Arial" w:cs="Times New Roman" w:eastAsiaTheme="minorEastAsia"/>
                <w:b w:val="0"/>
                <w:bCs w:val="0"/>
                <w:sz w:val="20"/>
                <w:szCs w:val="20"/>
                <w:lang w:val="en-US" w:eastAsia="zh-CN" w:bidi="ar-SA"/>
              </w:rPr>
            </w:pPr>
            <w:r>
              <w:rPr>
                <w:rFonts w:hint="eastAsia" w:eastAsiaTheme="minorEastAsia"/>
                <w:b w:val="0"/>
                <w:bCs w:val="0"/>
                <w:lang w:val="en-US" w:eastAsia="zh-CN"/>
              </w:rPr>
              <w:t xml:space="preserve"> Option 2</w:t>
            </w:r>
          </w:p>
        </w:tc>
        <w:tc>
          <w:tcPr>
            <w:tcW w:w="6480" w:type="dxa"/>
            <w:vAlign w:val="top"/>
          </w:tcPr>
          <w:p>
            <w:pPr>
              <w:rPr>
                <w:rFonts w:hint="eastAsia" w:eastAsiaTheme="minorEastAsia"/>
                <w:b w:val="0"/>
                <w:bCs w:val="0"/>
                <w:highlight w:val="none"/>
                <w:lang w:val="en-US" w:eastAsia="zh-CN"/>
              </w:rPr>
            </w:pPr>
            <w:r>
              <w:rPr>
                <w:rFonts w:hint="eastAsia" w:eastAsiaTheme="minorEastAsia"/>
                <w:b w:val="0"/>
                <w:bCs w:val="0"/>
                <w:highlight w:val="none"/>
                <w:lang w:val="en-US" w:eastAsia="zh-CN"/>
              </w:rPr>
              <w:t>According to existing specs, CCCH has default LCH parameters as below:</w:t>
            </w:r>
          </w:p>
          <w:tbl>
            <w:tblPr>
              <w:tblStyle w:val="25"/>
              <w:tblW w:w="936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2"/>
              <w:gridCol w:w="1986"/>
              <w:gridCol w:w="340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60" w:type="dxa"/>
                  <w:tcBorders>
                    <w:top w:val="single" w:color="auto" w:sz="4" w:space="0"/>
                    <w:left w:val="single" w:color="auto" w:sz="4" w:space="0"/>
                    <w:bottom w:val="single" w:color="auto" w:sz="4" w:space="0"/>
                    <w:right w:val="single" w:color="auto" w:sz="4" w:space="0"/>
                  </w:tcBorders>
                </w:tcPr>
                <w:p>
                  <w:pPr>
                    <w:pStyle w:val="64"/>
                    <w:keepNext w:val="0"/>
                    <w:keepLines w:val="0"/>
                    <w:rPr>
                      <w:lang w:eastAsia="en-GB"/>
                    </w:rPr>
                  </w:pPr>
                  <w:r>
                    <w:rPr>
                      <w:lang w:eastAsia="en-GB"/>
                    </w:rPr>
                    <w:t>Name</w:t>
                  </w:r>
                </w:p>
              </w:tc>
              <w:tc>
                <w:tcPr>
                  <w:tcW w:w="1985" w:type="dxa"/>
                  <w:tcBorders>
                    <w:top w:val="single" w:color="auto" w:sz="4" w:space="0"/>
                    <w:left w:val="single" w:color="auto" w:sz="4" w:space="0"/>
                    <w:bottom w:val="single" w:color="auto" w:sz="4" w:space="0"/>
                    <w:right w:val="single" w:color="auto" w:sz="4" w:space="0"/>
                  </w:tcBorders>
                </w:tcPr>
                <w:p>
                  <w:pPr>
                    <w:pStyle w:val="64"/>
                    <w:keepNext w:val="0"/>
                    <w:keepLines w:val="0"/>
                    <w:rPr>
                      <w:lang w:eastAsia="en-GB"/>
                    </w:rPr>
                  </w:pPr>
                  <w:r>
                    <w:rPr>
                      <w:lang w:eastAsia="en-GB"/>
                    </w:rPr>
                    <w:t>Value</w:t>
                  </w:r>
                </w:p>
              </w:tc>
              <w:tc>
                <w:tcPr>
                  <w:tcW w:w="3402" w:type="dxa"/>
                  <w:tcBorders>
                    <w:top w:val="single" w:color="auto" w:sz="4" w:space="0"/>
                    <w:left w:val="single" w:color="auto" w:sz="4" w:space="0"/>
                    <w:bottom w:val="single" w:color="auto" w:sz="4" w:space="0"/>
                    <w:right w:val="single" w:color="auto" w:sz="4" w:space="0"/>
                  </w:tcBorders>
                </w:tcPr>
                <w:p>
                  <w:pPr>
                    <w:pStyle w:val="64"/>
                    <w:keepNext w:val="0"/>
                    <w:keepLines w:val="0"/>
                    <w:rPr>
                      <w:lang w:eastAsia="en-GB"/>
                    </w:rPr>
                  </w:pPr>
                  <w:r>
                    <w:rPr>
                      <w:lang w:eastAsia="en-GB"/>
                    </w:rPr>
                    <w:t>Semantics description</w:t>
                  </w:r>
                </w:p>
              </w:tc>
              <w:tc>
                <w:tcPr>
                  <w:tcW w:w="708" w:type="dxa"/>
                  <w:tcBorders>
                    <w:top w:val="single" w:color="auto" w:sz="4" w:space="0"/>
                    <w:left w:val="single" w:color="auto" w:sz="4" w:space="0"/>
                    <w:bottom w:val="single" w:color="auto" w:sz="4" w:space="0"/>
                    <w:right w:val="single" w:color="auto" w:sz="4" w:space="0"/>
                  </w:tcBorders>
                </w:tcPr>
                <w:p>
                  <w:pPr>
                    <w:pStyle w:val="64"/>
                    <w:keepNext w:val="0"/>
                    <w:keepLines w:val="0"/>
                    <w:rPr>
                      <w:lang w:eastAsia="en-GB"/>
                    </w:rPr>
                  </w:pPr>
                  <w:r>
                    <w:rPr>
                      <w:lang w:eastAsia="en-GB"/>
                    </w:rPr>
                    <w:t>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Borders>
                    <w:top w:val="single" w:color="auto" w:sz="4" w:space="0"/>
                    <w:left w:val="single" w:color="auto" w:sz="4" w:space="0"/>
                    <w:bottom w:val="single" w:color="auto" w:sz="4" w:space="0"/>
                    <w:right w:val="single" w:color="auto" w:sz="4" w:space="0"/>
                  </w:tcBorders>
                </w:tcPr>
                <w:p>
                  <w:pPr>
                    <w:pStyle w:val="58"/>
                    <w:rPr>
                      <w:lang w:eastAsia="en-GB"/>
                    </w:rPr>
                  </w:pPr>
                  <w:r>
                    <w:rPr>
                      <w:lang w:eastAsia="sv-SE"/>
                    </w:rPr>
                    <w:t>SDAP configuration</w:t>
                  </w:r>
                </w:p>
              </w:tc>
              <w:tc>
                <w:tcPr>
                  <w:tcW w:w="1985" w:type="dxa"/>
                  <w:tcBorders>
                    <w:top w:val="single" w:color="auto" w:sz="4" w:space="0"/>
                    <w:left w:val="single" w:color="auto" w:sz="4" w:space="0"/>
                    <w:bottom w:val="single" w:color="auto" w:sz="4" w:space="0"/>
                    <w:right w:val="single" w:color="auto" w:sz="4" w:space="0"/>
                  </w:tcBorders>
                </w:tcPr>
                <w:p>
                  <w:pPr>
                    <w:pStyle w:val="58"/>
                    <w:rPr>
                      <w:lang w:eastAsia="en-GB"/>
                    </w:rPr>
                  </w:pPr>
                  <w:r>
                    <w:rPr>
                      <w:lang w:eastAsia="sv-SE"/>
                    </w:rPr>
                    <w:t>Not used</w:t>
                  </w:r>
                </w:p>
              </w:tc>
              <w:tc>
                <w:tcPr>
                  <w:tcW w:w="3402" w:type="dxa"/>
                  <w:tcBorders>
                    <w:top w:val="single" w:color="auto" w:sz="4" w:space="0"/>
                    <w:left w:val="single" w:color="auto" w:sz="4" w:space="0"/>
                    <w:bottom w:val="single" w:color="auto" w:sz="4" w:space="0"/>
                    <w:right w:val="single" w:color="auto" w:sz="4" w:space="0"/>
                  </w:tcBorders>
                </w:tcPr>
                <w:p>
                  <w:pPr>
                    <w:pStyle w:val="58"/>
                    <w:rPr>
                      <w:lang w:eastAsia="en-GB"/>
                    </w:rPr>
                  </w:pPr>
                </w:p>
              </w:tc>
              <w:tc>
                <w:tcPr>
                  <w:tcW w:w="708" w:type="dxa"/>
                  <w:tcBorders>
                    <w:top w:val="single" w:color="auto" w:sz="4" w:space="0"/>
                    <w:left w:val="single" w:color="auto" w:sz="4" w:space="0"/>
                    <w:bottom w:val="single" w:color="auto" w:sz="4" w:space="0"/>
                    <w:right w:val="single" w:color="auto" w:sz="4" w:space="0"/>
                  </w:tcBorders>
                </w:tcPr>
                <w:p>
                  <w:pPr>
                    <w:pStyle w:val="58"/>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Borders>
                    <w:top w:val="single" w:color="auto" w:sz="4" w:space="0"/>
                    <w:left w:val="single" w:color="auto" w:sz="4" w:space="0"/>
                    <w:bottom w:val="single" w:color="auto" w:sz="4" w:space="0"/>
                    <w:right w:val="single" w:color="auto" w:sz="4" w:space="0"/>
                  </w:tcBorders>
                </w:tcPr>
                <w:p>
                  <w:pPr>
                    <w:pStyle w:val="58"/>
                    <w:rPr>
                      <w:lang w:eastAsia="en-GB"/>
                    </w:rPr>
                  </w:pPr>
                  <w:r>
                    <w:rPr>
                      <w:lang w:eastAsia="en-GB"/>
                    </w:rPr>
                    <w:t>PDCP configuration</w:t>
                  </w:r>
                </w:p>
              </w:tc>
              <w:tc>
                <w:tcPr>
                  <w:tcW w:w="1985" w:type="dxa"/>
                  <w:tcBorders>
                    <w:top w:val="single" w:color="auto" w:sz="4" w:space="0"/>
                    <w:left w:val="single" w:color="auto" w:sz="4" w:space="0"/>
                    <w:bottom w:val="single" w:color="auto" w:sz="4" w:space="0"/>
                    <w:right w:val="single" w:color="auto" w:sz="4" w:space="0"/>
                  </w:tcBorders>
                </w:tcPr>
                <w:p>
                  <w:pPr>
                    <w:pStyle w:val="58"/>
                    <w:rPr>
                      <w:lang w:eastAsia="en-GB"/>
                    </w:rPr>
                  </w:pPr>
                  <w:r>
                    <w:rPr>
                      <w:lang w:eastAsia="sv-SE"/>
                    </w:rPr>
                    <w:t>Not used</w:t>
                  </w:r>
                </w:p>
              </w:tc>
              <w:tc>
                <w:tcPr>
                  <w:tcW w:w="3402" w:type="dxa"/>
                  <w:tcBorders>
                    <w:top w:val="single" w:color="auto" w:sz="4" w:space="0"/>
                    <w:left w:val="single" w:color="auto" w:sz="4" w:space="0"/>
                    <w:bottom w:val="single" w:color="auto" w:sz="4" w:space="0"/>
                    <w:right w:val="single" w:color="auto" w:sz="4" w:space="0"/>
                  </w:tcBorders>
                </w:tcPr>
                <w:p>
                  <w:pPr>
                    <w:pStyle w:val="58"/>
                    <w:rPr>
                      <w:lang w:eastAsia="en-GB"/>
                    </w:rPr>
                  </w:pPr>
                </w:p>
              </w:tc>
              <w:tc>
                <w:tcPr>
                  <w:tcW w:w="708" w:type="dxa"/>
                  <w:tcBorders>
                    <w:top w:val="single" w:color="auto" w:sz="4" w:space="0"/>
                    <w:left w:val="single" w:color="auto" w:sz="4" w:space="0"/>
                    <w:bottom w:val="single" w:color="auto" w:sz="4" w:space="0"/>
                    <w:right w:val="single" w:color="auto" w:sz="4" w:space="0"/>
                  </w:tcBorders>
                </w:tcPr>
                <w:p>
                  <w:pPr>
                    <w:pStyle w:val="58"/>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Borders>
                    <w:top w:val="single" w:color="auto" w:sz="4" w:space="0"/>
                    <w:left w:val="single" w:color="auto" w:sz="4" w:space="0"/>
                    <w:bottom w:val="single" w:color="auto" w:sz="4" w:space="0"/>
                    <w:right w:val="single" w:color="auto" w:sz="4" w:space="0"/>
                  </w:tcBorders>
                </w:tcPr>
                <w:p>
                  <w:pPr>
                    <w:pStyle w:val="58"/>
                    <w:rPr>
                      <w:lang w:eastAsia="en-GB"/>
                    </w:rPr>
                  </w:pPr>
                  <w:r>
                    <w:rPr>
                      <w:lang w:eastAsia="en-GB"/>
                    </w:rPr>
                    <w:t>RLC configuration</w:t>
                  </w:r>
                </w:p>
              </w:tc>
              <w:tc>
                <w:tcPr>
                  <w:tcW w:w="1985" w:type="dxa"/>
                  <w:tcBorders>
                    <w:top w:val="single" w:color="auto" w:sz="4" w:space="0"/>
                    <w:left w:val="single" w:color="auto" w:sz="4" w:space="0"/>
                    <w:bottom w:val="single" w:color="auto" w:sz="4" w:space="0"/>
                    <w:right w:val="single" w:color="auto" w:sz="4" w:space="0"/>
                  </w:tcBorders>
                </w:tcPr>
                <w:p>
                  <w:pPr>
                    <w:pStyle w:val="58"/>
                    <w:rPr>
                      <w:lang w:eastAsia="en-GB"/>
                    </w:rPr>
                  </w:pPr>
                  <w:r>
                    <w:rPr>
                      <w:lang w:eastAsia="en-GB"/>
                    </w:rPr>
                    <w:t>TM</w:t>
                  </w:r>
                </w:p>
              </w:tc>
              <w:tc>
                <w:tcPr>
                  <w:tcW w:w="3402" w:type="dxa"/>
                  <w:tcBorders>
                    <w:top w:val="single" w:color="auto" w:sz="4" w:space="0"/>
                    <w:left w:val="single" w:color="auto" w:sz="4" w:space="0"/>
                    <w:bottom w:val="single" w:color="auto" w:sz="4" w:space="0"/>
                    <w:right w:val="single" w:color="auto" w:sz="4" w:space="0"/>
                  </w:tcBorders>
                </w:tcPr>
                <w:p>
                  <w:pPr>
                    <w:pStyle w:val="58"/>
                    <w:rPr>
                      <w:lang w:eastAsia="en-GB"/>
                    </w:rPr>
                  </w:pPr>
                </w:p>
              </w:tc>
              <w:tc>
                <w:tcPr>
                  <w:tcW w:w="708" w:type="dxa"/>
                  <w:tcBorders>
                    <w:top w:val="single" w:color="auto" w:sz="4" w:space="0"/>
                    <w:left w:val="single" w:color="auto" w:sz="4" w:space="0"/>
                    <w:bottom w:val="single" w:color="auto" w:sz="4" w:space="0"/>
                    <w:right w:val="single" w:color="auto" w:sz="4" w:space="0"/>
                  </w:tcBorders>
                </w:tcPr>
                <w:p>
                  <w:pPr>
                    <w:pStyle w:val="58"/>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Borders>
                    <w:top w:val="single" w:color="auto" w:sz="4" w:space="0"/>
                    <w:left w:val="single" w:color="auto" w:sz="4" w:space="0"/>
                    <w:bottom w:val="single" w:color="auto" w:sz="4" w:space="0"/>
                    <w:right w:val="single" w:color="auto" w:sz="4" w:space="0"/>
                  </w:tcBorders>
                </w:tcPr>
                <w:p>
                  <w:pPr>
                    <w:pStyle w:val="58"/>
                    <w:rPr>
                      <w:lang w:eastAsia="en-GB"/>
                    </w:rPr>
                  </w:pPr>
                  <w:r>
                    <w:rPr>
                      <w:lang w:eastAsia="en-GB"/>
                    </w:rPr>
                    <w:t>Logical channel configuration</w:t>
                  </w:r>
                </w:p>
              </w:tc>
              <w:tc>
                <w:tcPr>
                  <w:tcW w:w="1985" w:type="dxa"/>
                  <w:tcBorders>
                    <w:top w:val="single" w:color="auto" w:sz="4" w:space="0"/>
                    <w:left w:val="single" w:color="auto" w:sz="4" w:space="0"/>
                    <w:bottom w:val="single" w:color="auto" w:sz="4" w:space="0"/>
                    <w:right w:val="single" w:color="auto" w:sz="4" w:space="0"/>
                  </w:tcBorders>
                </w:tcPr>
                <w:p>
                  <w:pPr>
                    <w:pStyle w:val="58"/>
                    <w:rPr>
                      <w:lang w:eastAsia="en-GB"/>
                    </w:rPr>
                  </w:pPr>
                </w:p>
              </w:tc>
              <w:tc>
                <w:tcPr>
                  <w:tcW w:w="3402" w:type="dxa"/>
                  <w:tcBorders>
                    <w:top w:val="single" w:color="auto" w:sz="4" w:space="0"/>
                    <w:left w:val="single" w:color="auto" w:sz="4" w:space="0"/>
                    <w:bottom w:val="single" w:color="auto" w:sz="4" w:space="0"/>
                    <w:right w:val="single" w:color="auto" w:sz="4" w:space="0"/>
                  </w:tcBorders>
                </w:tcPr>
                <w:p>
                  <w:pPr>
                    <w:pStyle w:val="58"/>
                    <w:rPr>
                      <w:lang w:eastAsia="en-GB"/>
                    </w:rPr>
                  </w:pPr>
                </w:p>
              </w:tc>
              <w:tc>
                <w:tcPr>
                  <w:tcW w:w="708" w:type="dxa"/>
                  <w:tcBorders>
                    <w:top w:val="single" w:color="auto" w:sz="4" w:space="0"/>
                    <w:left w:val="single" w:color="auto" w:sz="4" w:space="0"/>
                    <w:bottom w:val="single" w:color="auto" w:sz="4" w:space="0"/>
                    <w:right w:val="single" w:color="auto" w:sz="4" w:space="0"/>
                  </w:tcBorders>
                </w:tcPr>
                <w:p>
                  <w:pPr>
                    <w:pStyle w:val="58"/>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Borders>
                    <w:top w:val="single" w:color="auto" w:sz="4" w:space="0"/>
                    <w:left w:val="single" w:color="auto" w:sz="4" w:space="0"/>
                    <w:bottom w:val="single" w:color="auto" w:sz="4" w:space="0"/>
                    <w:right w:val="single" w:color="auto" w:sz="4" w:space="0"/>
                  </w:tcBorders>
                </w:tcPr>
                <w:p>
                  <w:pPr>
                    <w:pStyle w:val="58"/>
                    <w:rPr>
                      <w:i/>
                      <w:lang w:eastAsia="en-GB"/>
                    </w:rPr>
                  </w:pPr>
                  <w:r>
                    <w:rPr>
                      <w:i/>
                      <w:lang w:eastAsia="sv-SE"/>
                    </w:rPr>
                    <w:t>&gt;</w:t>
                  </w:r>
                  <w:r>
                    <w:rPr>
                      <w:i/>
                      <w:lang w:eastAsia="en-GB"/>
                    </w:rPr>
                    <w:t>priority</w:t>
                  </w:r>
                </w:p>
              </w:tc>
              <w:tc>
                <w:tcPr>
                  <w:tcW w:w="1985" w:type="dxa"/>
                  <w:tcBorders>
                    <w:top w:val="single" w:color="auto" w:sz="4" w:space="0"/>
                    <w:left w:val="single" w:color="auto" w:sz="4" w:space="0"/>
                    <w:bottom w:val="single" w:color="auto" w:sz="4" w:space="0"/>
                    <w:right w:val="single" w:color="auto" w:sz="4" w:space="0"/>
                  </w:tcBorders>
                </w:tcPr>
                <w:p>
                  <w:pPr>
                    <w:pStyle w:val="58"/>
                    <w:rPr>
                      <w:lang w:eastAsia="en-GB"/>
                    </w:rPr>
                  </w:pPr>
                  <w:r>
                    <w:rPr>
                      <w:lang w:eastAsia="en-GB"/>
                    </w:rPr>
                    <w:t>1</w:t>
                  </w:r>
                </w:p>
              </w:tc>
              <w:tc>
                <w:tcPr>
                  <w:tcW w:w="3402" w:type="dxa"/>
                  <w:tcBorders>
                    <w:top w:val="single" w:color="auto" w:sz="4" w:space="0"/>
                    <w:left w:val="single" w:color="auto" w:sz="4" w:space="0"/>
                    <w:bottom w:val="single" w:color="auto" w:sz="4" w:space="0"/>
                    <w:right w:val="single" w:color="auto" w:sz="4" w:space="0"/>
                  </w:tcBorders>
                </w:tcPr>
                <w:p>
                  <w:pPr>
                    <w:pStyle w:val="58"/>
                    <w:rPr>
                      <w:lang w:eastAsia="en-GB"/>
                    </w:rPr>
                  </w:pPr>
                  <w:r>
                    <w:rPr>
                      <w:lang w:eastAsia="en-GB"/>
                    </w:rPr>
                    <w:t>Highest priority</w:t>
                  </w:r>
                </w:p>
              </w:tc>
              <w:tc>
                <w:tcPr>
                  <w:tcW w:w="708" w:type="dxa"/>
                  <w:tcBorders>
                    <w:top w:val="single" w:color="auto" w:sz="4" w:space="0"/>
                    <w:left w:val="single" w:color="auto" w:sz="4" w:space="0"/>
                    <w:bottom w:val="single" w:color="auto" w:sz="4" w:space="0"/>
                    <w:right w:val="single" w:color="auto" w:sz="4" w:space="0"/>
                  </w:tcBorders>
                </w:tcPr>
                <w:p>
                  <w:pPr>
                    <w:pStyle w:val="58"/>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Borders>
                    <w:top w:val="single" w:color="auto" w:sz="4" w:space="0"/>
                    <w:left w:val="single" w:color="auto" w:sz="4" w:space="0"/>
                    <w:bottom w:val="single" w:color="auto" w:sz="4" w:space="0"/>
                    <w:right w:val="single" w:color="auto" w:sz="4" w:space="0"/>
                  </w:tcBorders>
                </w:tcPr>
                <w:p>
                  <w:pPr>
                    <w:pStyle w:val="58"/>
                    <w:rPr>
                      <w:i/>
                      <w:lang w:eastAsia="en-GB"/>
                    </w:rPr>
                  </w:pPr>
                  <w:r>
                    <w:rPr>
                      <w:i/>
                      <w:lang w:eastAsia="sv-SE"/>
                    </w:rPr>
                    <w:t>&gt;</w:t>
                  </w:r>
                  <w:r>
                    <w:rPr>
                      <w:i/>
                      <w:lang w:eastAsia="en-GB"/>
                    </w:rPr>
                    <w:t>prioritisedBitRate</w:t>
                  </w:r>
                </w:p>
              </w:tc>
              <w:tc>
                <w:tcPr>
                  <w:tcW w:w="1985" w:type="dxa"/>
                  <w:tcBorders>
                    <w:top w:val="single" w:color="auto" w:sz="4" w:space="0"/>
                    <w:left w:val="single" w:color="auto" w:sz="4" w:space="0"/>
                    <w:bottom w:val="single" w:color="auto" w:sz="4" w:space="0"/>
                    <w:right w:val="single" w:color="auto" w:sz="4" w:space="0"/>
                  </w:tcBorders>
                </w:tcPr>
                <w:p>
                  <w:pPr>
                    <w:pStyle w:val="58"/>
                    <w:rPr>
                      <w:lang w:eastAsia="en-GB"/>
                    </w:rPr>
                  </w:pPr>
                  <w:r>
                    <w:rPr>
                      <w:lang w:eastAsia="en-GB"/>
                    </w:rPr>
                    <w:t>infinity</w:t>
                  </w:r>
                </w:p>
              </w:tc>
              <w:tc>
                <w:tcPr>
                  <w:tcW w:w="3402" w:type="dxa"/>
                  <w:tcBorders>
                    <w:top w:val="single" w:color="auto" w:sz="4" w:space="0"/>
                    <w:left w:val="single" w:color="auto" w:sz="4" w:space="0"/>
                    <w:bottom w:val="single" w:color="auto" w:sz="4" w:space="0"/>
                    <w:right w:val="single" w:color="auto" w:sz="4" w:space="0"/>
                  </w:tcBorders>
                </w:tcPr>
                <w:p>
                  <w:pPr>
                    <w:pStyle w:val="58"/>
                    <w:rPr>
                      <w:lang w:eastAsia="en-GB"/>
                    </w:rPr>
                  </w:pPr>
                </w:p>
              </w:tc>
              <w:tc>
                <w:tcPr>
                  <w:tcW w:w="708" w:type="dxa"/>
                  <w:tcBorders>
                    <w:top w:val="single" w:color="auto" w:sz="4" w:space="0"/>
                    <w:left w:val="single" w:color="auto" w:sz="4" w:space="0"/>
                    <w:bottom w:val="single" w:color="auto" w:sz="4" w:space="0"/>
                    <w:right w:val="single" w:color="auto" w:sz="4" w:space="0"/>
                  </w:tcBorders>
                </w:tcPr>
                <w:p>
                  <w:pPr>
                    <w:pStyle w:val="58"/>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Borders>
                    <w:top w:val="single" w:color="auto" w:sz="4" w:space="0"/>
                    <w:left w:val="single" w:color="auto" w:sz="4" w:space="0"/>
                    <w:bottom w:val="single" w:color="auto" w:sz="4" w:space="0"/>
                    <w:right w:val="single" w:color="auto" w:sz="4" w:space="0"/>
                  </w:tcBorders>
                </w:tcPr>
                <w:p>
                  <w:pPr>
                    <w:pStyle w:val="58"/>
                    <w:rPr>
                      <w:i/>
                      <w:lang w:eastAsia="en-GB"/>
                    </w:rPr>
                  </w:pPr>
                  <w:r>
                    <w:rPr>
                      <w:i/>
                      <w:lang w:eastAsia="sv-SE"/>
                    </w:rPr>
                    <w:t>&gt;</w:t>
                  </w:r>
                  <w:r>
                    <w:rPr>
                      <w:i/>
                      <w:lang w:eastAsia="en-GB"/>
                    </w:rPr>
                    <w:t>bucketSizeDuration</w:t>
                  </w:r>
                </w:p>
              </w:tc>
              <w:tc>
                <w:tcPr>
                  <w:tcW w:w="1985" w:type="dxa"/>
                  <w:tcBorders>
                    <w:top w:val="single" w:color="auto" w:sz="4" w:space="0"/>
                    <w:left w:val="single" w:color="auto" w:sz="4" w:space="0"/>
                    <w:bottom w:val="single" w:color="auto" w:sz="4" w:space="0"/>
                    <w:right w:val="single" w:color="auto" w:sz="4" w:space="0"/>
                  </w:tcBorders>
                </w:tcPr>
                <w:p>
                  <w:pPr>
                    <w:pStyle w:val="58"/>
                    <w:rPr>
                      <w:lang w:eastAsia="sv-SE"/>
                    </w:rPr>
                  </w:pPr>
                  <w:r>
                    <w:rPr>
                      <w:lang w:eastAsia="sv-SE"/>
                    </w:rPr>
                    <w:t>ms1000</w:t>
                  </w:r>
                </w:p>
              </w:tc>
              <w:tc>
                <w:tcPr>
                  <w:tcW w:w="3402" w:type="dxa"/>
                  <w:tcBorders>
                    <w:top w:val="single" w:color="auto" w:sz="4" w:space="0"/>
                    <w:left w:val="single" w:color="auto" w:sz="4" w:space="0"/>
                    <w:bottom w:val="single" w:color="auto" w:sz="4" w:space="0"/>
                    <w:right w:val="single" w:color="auto" w:sz="4" w:space="0"/>
                  </w:tcBorders>
                </w:tcPr>
                <w:p>
                  <w:pPr>
                    <w:pStyle w:val="58"/>
                    <w:rPr>
                      <w:lang w:eastAsia="en-GB"/>
                    </w:rPr>
                  </w:pPr>
                </w:p>
              </w:tc>
              <w:tc>
                <w:tcPr>
                  <w:tcW w:w="708" w:type="dxa"/>
                  <w:tcBorders>
                    <w:top w:val="single" w:color="auto" w:sz="4" w:space="0"/>
                    <w:left w:val="single" w:color="auto" w:sz="4" w:space="0"/>
                    <w:bottom w:val="single" w:color="auto" w:sz="4" w:space="0"/>
                    <w:right w:val="single" w:color="auto" w:sz="4" w:space="0"/>
                  </w:tcBorders>
                </w:tcPr>
                <w:p>
                  <w:pPr>
                    <w:pStyle w:val="58"/>
                    <w:rPr>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0" w:type="dxa"/>
                  <w:tcBorders>
                    <w:top w:val="single" w:color="auto" w:sz="4" w:space="0"/>
                    <w:left w:val="single" w:color="auto" w:sz="4" w:space="0"/>
                    <w:bottom w:val="single" w:color="auto" w:sz="4" w:space="0"/>
                    <w:right w:val="single" w:color="auto" w:sz="4" w:space="0"/>
                  </w:tcBorders>
                </w:tcPr>
                <w:p>
                  <w:pPr>
                    <w:pStyle w:val="58"/>
                    <w:rPr>
                      <w:i/>
                      <w:lang w:eastAsia="en-GB"/>
                    </w:rPr>
                  </w:pPr>
                  <w:r>
                    <w:rPr>
                      <w:i/>
                      <w:lang w:eastAsia="sv-SE"/>
                    </w:rPr>
                    <w:t>&gt;</w:t>
                  </w:r>
                  <w:r>
                    <w:rPr>
                      <w:i/>
                      <w:lang w:eastAsia="en-GB"/>
                    </w:rPr>
                    <w:t>logicalChannelGroup</w:t>
                  </w:r>
                </w:p>
              </w:tc>
              <w:tc>
                <w:tcPr>
                  <w:tcW w:w="1985" w:type="dxa"/>
                  <w:tcBorders>
                    <w:top w:val="single" w:color="auto" w:sz="4" w:space="0"/>
                    <w:left w:val="single" w:color="auto" w:sz="4" w:space="0"/>
                    <w:bottom w:val="single" w:color="auto" w:sz="4" w:space="0"/>
                    <w:right w:val="single" w:color="auto" w:sz="4" w:space="0"/>
                  </w:tcBorders>
                </w:tcPr>
                <w:p>
                  <w:pPr>
                    <w:pStyle w:val="58"/>
                    <w:rPr>
                      <w:lang w:eastAsia="en-GB"/>
                    </w:rPr>
                  </w:pPr>
                  <w:r>
                    <w:rPr>
                      <w:lang w:eastAsia="en-GB"/>
                    </w:rPr>
                    <w:t>0</w:t>
                  </w:r>
                </w:p>
              </w:tc>
              <w:tc>
                <w:tcPr>
                  <w:tcW w:w="3402" w:type="dxa"/>
                  <w:tcBorders>
                    <w:top w:val="single" w:color="auto" w:sz="4" w:space="0"/>
                    <w:left w:val="single" w:color="auto" w:sz="4" w:space="0"/>
                    <w:bottom w:val="single" w:color="auto" w:sz="4" w:space="0"/>
                    <w:right w:val="single" w:color="auto" w:sz="4" w:space="0"/>
                  </w:tcBorders>
                </w:tcPr>
                <w:p>
                  <w:pPr>
                    <w:pStyle w:val="58"/>
                    <w:rPr>
                      <w:lang w:eastAsia="en-GB"/>
                    </w:rPr>
                  </w:pPr>
                </w:p>
              </w:tc>
              <w:tc>
                <w:tcPr>
                  <w:tcW w:w="708" w:type="dxa"/>
                  <w:tcBorders>
                    <w:top w:val="single" w:color="auto" w:sz="4" w:space="0"/>
                    <w:left w:val="single" w:color="auto" w:sz="4" w:space="0"/>
                    <w:bottom w:val="single" w:color="auto" w:sz="4" w:space="0"/>
                    <w:right w:val="single" w:color="auto" w:sz="4" w:space="0"/>
                  </w:tcBorders>
                </w:tcPr>
                <w:p>
                  <w:pPr>
                    <w:pStyle w:val="58"/>
                    <w:rPr>
                      <w:lang w:eastAsia="en-GB"/>
                    </w:rPr>
                  </w:pPr>
                </w:p>
              </w:tc>
            </w:tr>
          </w:tbl>
          <w:p>
            <w:pPr>
              <w:rPr>
                <w:rFonts w:hint="default" w:eastAsiaTheme="minorEastAsia"/>
                <w:b w:val="0"/>
                <w:bCs w:val="0"/>
                <w:highlight w:val="none"/>
                <w:lang w:val="en-US" w:eastAsia="zh-CN"/>
              </w:rPr>
            </w:pPr>
          </w:p>
          <w:p>
            <w:pPr>
              <w:rPr>
                <w:rFonts w:hint="default" w:ascii="Arial" w:hAnsi="Arial" w:cs="Times New Roman" w:eastAsiaTheme="minorEastAsia"/>
                <w:b w:val="0"/>
                <w:bCs w:val="0"/>
                <w:sz w:val="20"/>
                <w:szCs w:val="20"/>
                <w:highlight w:val="yellow"/>
                <w:lang w:val="en-US" w:eastAsia="zh-CN" w:bidi="ar-SA"/>
              </w:rPr>
            </w:pPr>
            <w:r>
              <w:rPr>
                <w:rFonts w:ascii="Arial" w:hAnsi="Arial" w:cs="Arial"/>
                <w:b w:val="0"/>
                <w:bCs w:val="0"/>
                <w:i/>
                <w:iCs/>
                <w:sz w:val="20"/>
                <w:szCs w:val="20"/>
              </w:rPr>
              <w:t>allowedHARQ-DRX-LCP</w:t>
            </w:r>
            <w:r>
              <w:rPr>
                <w:rFonts w:hint="eastAsia" w:ascii="Arial" w:hAnsi="Arial" w:eastAsia="宋体" w:cs="Arial"/>
                <w:b w:val="0"/>
                <w:bCs w:val="0"/>
                <w:sz w:val="20"/>
                <w:szCs w:val="20"/>
                <w:lang w:val="en-US" w:eastAsia="zh-CN"/>
              </w:rPr>
              <w:t xml:space="preserve"> will not be configured for CCCH data and C-RNTI MAC CE as well as TA report MAC CE, thus they can be mapped to any HP state. And due to their priority they will always be put in received RAR UL grant before other LCH in HP#0, and if there are available grant to be used only LCH with the same state as HP#0 will be included. It shall not impact the transmission of CCCH or C-RNTI/TA report MAC CE in Msg3 or MsgA </w:t>
            </w:r>
            <w:r>
              <w:rPr>
                <w:rFonts w:hint="eastAsia" w:eastAsiaTheme="minorEastAsia"/>
                <w:b w:val="0"/>
                <w:bCs w:val="0"/>
                <w:highlight w:val="none"/>
                <w:lang w:val="en-US" w:eastAsia="zh-CN"/>
              </w:rPr>
              <w:t>. NW implementation can handle it.</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pStyle w:val="46"/>
        <w:ind w:left="0" w:firstLine="0"/>
        <w:rPr>
          <w:sz w:val="18"/>
          <w:szCs w:val="22"/>
        </w:rPr>
      </w:pPr>
    </w:p>
    <w:p>
      <w:pPr>
        <w:ind w:left="1440" w:hanging="1440"/>
        <w:rPr>
          <w:b/>
          <w:bCs/>
          <w:iCs/>
        </w:rPr>
      </w:pPr>
      <w:r>
        <w:rPr>
          <w:b/>
          <w:lang w:eastAsia="sv-SE"/>
        </w:rPr>
        <w:t>Question 7:</w:t>
      </w:r>
      <w:r>
        <w:tab/>
      </w:r>
      <w:r>
        <w:rPr>
          <w:b/>
          <w:bCs/>
          <w:iCs/>
        </w:rPr>
        <w:t xml:space="preserve">If “Option 1” in Q6, what is the preferred method of ensuring </w:t>
      </w:r>
      <w:r>
        <w:rPr>
          <w:rFonts w:cs="Arial"/>
          <w:b/>
          <w:bCs/>
          <w:i/>
          <w:iCs/>
        </w:rPr>
        <w:t>allowedHARQ-DRX-LCP</w:t>
      </w:r>
      <w:r>
        <w:rPr>
          <w:rFonts w:cs="Arial"/>
          <w:b/>
          <w:bCs/>
          <w:lang w:eastAsia="sv-SE"/>
        </w:rPr>
        <w:t xml:space="preserve"> shall not apply to LCP for Msg3/MsgA PUSCH?</w:t>
      </w:r>
    </w:p>
    <w:p>
      <w:pPr>
        <w:pStyle w:val="50"/>
        <w:numPr>
          <w:ilvl w:val="0"/>
          <w:numId w:val="16"/>
        </w:numPr>
        <w:rPr>
          <w:rFonts w:ascii="Arial" w:hAnsi="Arial" w:cs="Arial"/>
          <w:b/>
          <w:bCs/>
          <w:sz w:val="18"/>
          <w:szCs w:val="18"/>
        </w:rPr>
      </w:pPr>
      <w:r>
        <w:rPr>
          <w:rFonts w:ascii="Arial" w:hAnsi="Arial" w:cs="Arial"/>
          <w:b/>
          <w:bCs/>
          <w:sz w:val="20"/>
          <w:szCs w:val="20"/>
          <w:lang w:eastAsia="sv-SE"/>
        </w:rPr>
        <w:t>Left to NW implementation;</w:t>
      </w:r>
    </w:p>
    <w:p>
      <w:pPr>
        <w:pStyle w:val="50"/>
        <w:numPr>
          <w:ilvl w:val="0"/>
          <w:numId w:val="16"/>
        </w:numPr>
        <w:rPr>
          <w:rFonts w:ascii="Arial" w:hAnsi="Arial" w:cs="Arial"/>
          <w:b/>
          <w:bCs/>
          <w:sz w:val="18"/>
          <w:szCs w:val="18"/>
        </w:rPr>
      </w:pPr>
      <w:r>
        <w:rPr>
          <w:rFonts w:ascii="Arial" w:hAnsi="Arial" w:cs="Arial"/>
          <w:b/>
          <w:bCs/>
          <w:sz w:val="20"/>
          <w:szCs w:val="20"/>
          <w:lang w:eastAsia="sv-SE"/>
        </w:rPr>
        <w:t>Explicitly specified.</w:t>
      </w:r>
    </w:p>
    <w:tbl>
      <w:tblPr>
        <w:tblStyle w:val="2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739"/>
        <w:gridCol w:w="6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shd w:val="clear" w:color="auto" w:fill="E7E6E6" w:themeFill="background2"/>
          </w:tcPr>
          <w:p>
            <w:pPr>
              <w:jc w:val="center"/>
              <w:rPr>
                <w:b/>
                <w:lang w:eastAsia="sv-SE"/>
              </w:rPr>
            </w:pPr>
            <w:r>
              <w:rPr>
                <w:b/>
                <w:lang w:eastAsia="sv-SE"/>
              </w:rPr>
              <w:t>Company</w:t>
            </w:r>
          </w:p>
        </w:tc>
        <w:tc>
          <w:tcPr>
            <w:tcW w:w="1739" w:type="dxa"/>
            <w:shd w:val="clear" w:color="auto" w:fill="E7E6E6" w:themeFill="background2"/>
          </w:tcPr>
          <w:p>
            <w:pPr>
              <w:jc w:val="center"/>
              <w:rPr>
                <w:b/>
                <w:lang w:eastAsia="sv-SE"/>
              </w:rPr>
            </w:pPr>
            <w:r>
              <w:rPr>
                <w:b/>
                <w:lang w:eastAsia="sv-SE"/>
              </w:rPr>
              <w:t>Preferred Option</w:t>
            </w:r>
          </w:p>
        </w:tc>
        <w:tc>
          <w:tcPr>
            <w:tcW w:w="6480" w:type="dxa"/>
            <w:shd w:val="clear" w:color="auto" w:fill="E7E6E6" w:themeFill="background2"/>
          </w:tcPr>
          <w:p>
            <w:pPr>
              <w:jc w:val="center"/>
              <w:rPr>
                <w:b/>
                <w:i/>
                <w:iCs/>
                <w:lang w:eastAsia="sv-SE"/>
              </w:rPr>
            </w:pPr>
            <w:r>
              <w:rPr>
                <w:b/>
                <w:lang w:eastAsia="sv-SE"/>
              </w:rPr>
              <w:t xml:space="preserve">Additional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eastAsiaTheme="minorEastAsia"/>
              </w:rPr>
              <w:t>Xiaomi</w:t>
            </w:r>
          </w:p>
        </w:tc>
        <w:tc>
          <w:tcPr>
            <w:tcW w:w="1739" w:type="dxa"/>
          </w:tcPr>
          <w:p>
            <w:pPr>
              <w:rPr>
                <w:rFonts w:eastAsiaTheme="minorEastAsia"/>
              </w:rPr>
            </w:pPr>
            <w:r>
              <w:rPr>
                <w:rFonts w:hint="eastAsia" w:eastAsiaTheme="minorEastAsia"/>
              </w:rPr>
              <w:t>O</w:t>
            </w:r>
            <w:r>
              <w:rPr>
                <w:rFonts w:eastAsiaTheme="minorEastAsia"/>
              </w:rPr>
              <w:t>ption 2</w:t>
            </w:r>
          </w:p>
        </w:tc>
        <w:tc>
          <w:tcPr>
            <w:tcW w:w="6480" w:type="dxa"/>
          </w:tcPr>
          <w:p>
            <w:pPr>
              <w:rPr>
                <w:rFonts w:eastAsiaTheme="minorEastAsia"/>
                <w:highlight w:val="yellow"/>
              </w:rPr>
            </w:pPr>
            <w:r>
              <w:rPr>
                <w:rFonts w:hint="eastAsia" w:eastAsiaTheme="minorEastAsia"/>
              </w:rPr>
              <w:t>N</w:t>
            </w:r>
            <w:r>
              <w:rPr>
                <w:rFonts w:eastAsiaTheme="minorEastAsia"/>
              </w:rPr>
              <w:t xml:space="preserve">W implementation can not ensure it unless “no HARQ state” is configured for HARQ process #0. However, if “no HARQ state” is configured per UE, it will lead to other HARQ processes configured with “no HARQ state”. If “no HARQ state” is only configured for HARQ process #0, </w:t>
            </w:r>
            <w:r>
              <w:t>dynamic scheduling may not be able to use HARQ process #0 since DRX RTT timer can not be extended by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r>
              <w:rPr>
                <w:rFonts w:hint="eastAsia" w:eastAsiaTheme="minorEastAsia"/>
              </w:rPr>
              <w:t>H</w:t>
            </w:r>
            <w:r>
              <w:rPr>
                <w:rFonts w:eastAsiaTheme="minorEastAsia"/>
              </w:rPr>
              <w:t>uawei, HiSilicon</w:t>
            </w:r>
          </w:p>
        </w:tc>
        <w:tc>
          <w:tcPr>
            <w:tcW w:w="1739" w:type="dxa"/>
          </w:tcPr>
          <w:p>
            <w:pPr>
              <w:rPr>
                <w:rFonts w:eastAsiaTheme="minorEastAsia"/>
              </w:rPr>
            </w:pPr>
            <w:r>
              <w:rPr>
                <w:rFonts w:eastAsiaTheme="minorEastAsia"/>
              </w:rPr>
              <w:t>Option 2</w:t>
            </w:r>
          </w:p>
        </w:tc>
        <w:tc>
          <w:tcPr>
            <w:tcW w:w="6480" w:type="dxa"/>
          </w:tcPr>
          <w:p>
            <w:pPr>
              <w:rPr>
                <w:rFonts w:eastAsiaTheme="minorEastAsia"/>
              </w:rPr>
            </w:pPr>
            <w:r>
              <w:rPr>
                <w:rFonts w:hint="eastAsia" w:eastAsiaTheme="minorEastAsia"/>
              </w:rPr>
              <w:t>S</w:t>
            </w:r>
            <w:r>
              <w:rPr>
                <w:rFonts w:eastAsiaTheme="minorEastAsia"/>
              </w:rPr>
              <w:t>ee the comment to Q6.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lang w:eastAsia="sv-SE"/>
              </w:rPr>
            </w:pPr>
          </w:p>
        </w:tc>
        <w:tc>
          <w:tcPr>
            <w:tcW w:w="1739" w:type="dxa"/>
          </w:tcPr>
          <w:p>
            <w:pPr>
              <w:rPr>
                <w:lang w:eastAsia="sv-SE"/>
              </w:rPr>
            </w:pPr>
          </w:p>
        </w:tc>
        <w:tc>
          <w:tcPr>
            <w:tcW w:w="64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等线"/>
              </w:rPr>
            </w:pPr>
          </w:p>
        </w:tc>
        <w:tc>
          <w:tcPr>
            <w:tcW w:w="1739" w:type="dxa"/>
          </w:tcPr>
          <w:p>
            <w:pPr>
              <w:rPr>
                <w:rFonts w:eastAsia="等线"/>
              </w:rPr>
            </w:pPr>
          </w:p>
        </w:tc>
        <w:tc>
          <w:tcPr>
            <w:tcW w:w="64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6" w:type="dxa"/>
          </w:tcPr>
          <w:p>
            <w:pPr>
              <w:rPr>
                <w:rFonts w:eastAsiaTheme="minorEastAsia"/>
              </w:rPr>
            </w:pPr>
          </w:p>
        </w:tc>
        <w:tc>
          <w:tcPr>
            <w:tcW w:w="1739" w:type="dxa"/>
          </w:tcPr>
          <w:p>
            <w:pPr>
              <w:rPr>
                <w:rFonts w:eastAsiaTheme="minorEastAsia"/>
              </w:rPr>
            </w:pPr>
          </w:p>
        </w:tc>
        <w:tc>
          <w:tcPr>
            <w:tcW w:w="6480" w:type="dxa"/>
          </w:tcPr>
          <w:p>
            <w:pPr>
              <w:rPr>
                <w:rFonts w:eastAsiaTheme="minorEastAsia"/>
              </w:rPr>
            </w:pPr>
          </w:p>
        </w:tc>
      </w:tr>
    </w:tbl>
    <w:p>
      <w:pPr>
        <w:pStyle w:val="46"/>
        <w:ind w:left="0" w:firstLine="0"/>
        <w:rPr>
          <w:sz w:val="18"/>
          <w:szCs w:val="22"/>
        </w:rPr>
      </w:pPr>
    </w:p>
    <w:p>
      <w:pPr>
        <w:pStyle w:val="2"/>
      </w:pPr>
      <w:r>
        <w:t>Summary</w:t>
      </w:r>
    </w:p>
    <w:p>
      <w:pPr>
        <w:jc w:val="center"/>
      </w:pPr>
      <w:r>
        <w:t>&lt;</w:t>
      </w:r>
      <w:r>
        <w:rPr>
          <w:highlight w:val="yellow"/>
        </w:rPr>
        <w:t>To be generated pending company feedback</w:t>
      </w:r>
      <w:r>
        <w:t>&gt;</w:t>
      </w:r>
    </w:p>
    <w:p>
      <w:pPr>
        <w:pStyle w:val="2"/>
      </w:pPr>
      <w:r>
        <w:t>Conclusion</w:t>
      </w:r>
    </w:p>
    <w:p>
      <w:pPr>
        <w:tabs>
          <w:tab w:val="left" w:pos="0"/>
        </w:tabs>
      </w:pPr>
      <w:r>
        <w:t>In this contribution the following proposals are suggested based on contributions submitted to RAN2#116bis-e AI 8.10.2.2:</w:t>
      </w:r>
    </w:p>
    <w:p>
      <w:pPr>
        <w:jc w:val="center"/>
      </w:pPr>
      <w:r>
        <w:t>&lt;</w:t>
      </w:r>
      <w:r>
        <w:rPr>
          <w:highlight w:val="yellow"/>
        </w:rPr>
        <w:t>To be generated pending company feedback</w:t>
      </w:r>
      <w:r>
        <w:t>&gt;</w:t>
      </w:r>
    </w:p>
    <w:p>
      <w:pPr>
        <w:pStyle w:val="2"/>
      </w:pPr>
      <w:r>
        <w:t>References</w:t>
      </w:r>
    </w:p>
    <w:p>
      <w:pPr>
        <w:pStyle w:val="45"/>
      </w:pPr>
      <w:r>
        <w:fldChar w:fldCharType="begin"/>
      </w:r>
      <w:r>
        <w:instrText xml:space="preserve"> HYPERLINK "https://www.3gpp.org/ftp/tsg_ran/WG2_RL2/TSGR2_116bis-e/Docs/R2-2200244.zip" </w:instrText>
      </w:r>
      <w:r>
        <w:fldChar w:fldCharType="separate"/>
      </w:r>
      <w:r>
        <w:rPr>
          <w:rStyle w:val="32"/>
        </w:rPr>
        <w:t>R2-2200244</w:t>
      </w:r>
      <w:r>
        <w:rPr>
          <w:rStyle w:val="32"/>
        </w:rPr>
        <w:fldChar w:fldCharType="end"/>
      </w:r>
      <w:r>
        <w:tab/>
      </w:r>
      <w:r>
        <w:t>Remaining issues on other MAC aspects in NTN – OPPO</w:t>
      </w:r>
    </w:p>
    <w:p>
      <w:pPr>
        <w:pStyle w:val="45"/>
      </w:pPr>
      <w:r>
        <w:fldChar w:fldCharType="begin"/>
      </w:r>
      <w:r>
        <w:instrText xml:space="preserve"> HYPERLINK "https://www.3gpp.org/ftp/tsg_ran/WG2_RL2/TSGR2_116bis-e/Docs/R2-2200271.zip" </w:instrText>
      </w:r>
      <w:r>
        <w:fldChar w:fldCharType="separate"/>
      </w:r>
      <w:r>
        <w:rPr>
          <w:rStyle w:val="32"/>
        </w:rPr>
        <w:t>R2-2200271</w:t>
      </w:r>
      <w:r>
        <w:rPr>
          <w:rStyle w:val="32"/>
        </w:rPr>
        <w:fldChar w:fldCharType="end"/>
      </w:r>
      <w:r>
        <w:tab/>
      </w:r>
      <w:r>
        <w:t>Remaining issues related to HARQ retransmission state – Xiaomi</w:t>
      </w:r>
    </w:p>
    <w:p>
      <w:pPr>
        <w:pStyle w:val="45"/>
      </w:pPr>
      <w:r>
        <w:fldChar w:fldCharType="begin"/>
      </w:r>
      <w:r>
        <w:instrText xml:space="preserve"> HYPERLINK "https://www.3gpp.org/ftp/tsg_ran/WG2_RL2/TSGR2_116bis-e/Docs/R2-2200348.zip" </w:instrText>
      </w:r>
      <w:r>
        <w:fldChar w:fldCharType="separate"/>
      </w:r>
      <w:r>
        <w:rPr>
          <w:rStyle w:val="32"/>
        </w:rPr>
        <w:t>R2-2200348</w:t>
      </w:r>
      <w:r>
        <w:rPr>
          <w:rStyle w:val="32"/>
        </w:rPr>
        <w:fldChar w:fldCharType="end"/>
      </w:r>
      <w:r>
        <w:tab/>
      </w:r>
      <w:r>
        <w:t>Remaining issues about  other MAC aspects – Huawei, HiSilicon</w:t>
      </w:r>
    </w:p>
    <w:p>
      <w:pPr>
        <w:pStyle w:val="45"/>
      </w:pPr>
      <w:r>
        <w:fldChar w:fldCharType="begin"/>
      </w:r>
      <w:r>
        <w:instrText xml:space="preserve"> HYPERLINK "https://www.3gpp.org/ftp/tsg_ran/WG2_RL2/TSGR2_116bis-e/Docs/R2-2200444.zip" </w:instrText>
      </w:r>
      <w:r>
        <w:fldChar w:fldCharType="separate"/>
      </w:r>
      <w:r>
        <w:rPr>
          <w:rStyle w:val="32"/>
        </w:rPr>
        <w:t>R2-2200444</w:t>
      </w:r>
      <w:r>
        <w:rPr>
          <w:rStyle w:val="32"/>
        </w:rPr>
        <w:fldChar w:fldCharType="end"/>
      </w:r>
      <w:r>
        <w:tab/>
      </w:r>
      <w:r>
        <w:t>HARQ process for SPS and CG – Qualcomm Incorporated</w:t>
      </w:r>
      <w:r>
        <w:tab/>
      </w:r>
    </w:p>
    <w:p>
      <w:pPr>
        <w:pStyle w:val="45"/>
      </w:pPr>
      <w:r>
        <w:fldChar w:fldCharType="begin"/>
      </w:r>
      <w:r>
        <w:instrText xml:space="preserve"> HYPERLINK "https://www.3gpp.org/ftp/tsg_ran/WG2_RL2/TSGR2_116bis-e/Docs/R2-2200618.zip" </w:instrText>
      </w:r>
      <w:r>
        <w:fldChar w:fldCharType="separate"/>
      </w:r>
      <w:r>
        <w:rPr>
          <w:rStyle w:val="32"/>
        </w:rPr>
        <w:t>R2-2200618</w:t>
      </w:r>
      <w:r>
        <w:rPr>
          <w:rStyle w:val="32"/>
        </w:rPr>
        <w:fldChar w:fldCharType="end"/>
      </w:r>
      <w:r>
        <w:tab/>
      </w:r>
      <w:r>
        <w:t>Remaining issues on disabling uplink HARQ retransmission – MediaTek Inc.</w:t>
      </w:r>
    </w:p>
    <w:p>
      <w:pPr>
        <w:pStyle w:val="45"/>
      </w:pPr>
      <w:r>
        <w:fldChar w:fldCharType="begin"/>
      </w:r>
      <w:r>
        <w:instrText xml:space="preserve"> HYPERLINK "https://www.3gpp.org/ftp/tsg_ran/WG2_RL2/TSGR2_116bis-e/Docs/R2-2200619.zip" </w:instrText>
      </w:r>
      <w:r>
        <w:fldChar w:fldCharType="separate"/>
      </w:r>
      <w:r>
        <w:rPr>
          <w:rStyle w:val="32"/>
        </w:rPr>
        <w:t>R2-2200619</w:t>
      </w:r>
      <w:r>
        <w:rPr>
          <w:rStyle w:val="32"/>
        </w:rPr>
        <w:fldChar w:fldCharType="end"/>
      </w:r>
      <w:r>
        <w:tab/>
      </w:r>
      <w:r>
        <w:t>Round trip delay offset for configured grant timer – MediaTek Inc.</w:t>
      </w:r>
    </w:p>
    <w:p>
      <w:pPr>
        <w:pStyle w:val="45"/>
      </w:pPr>
      <w:r>
        <w:fldChar w:fldCharType="begin"/>
      </w:r>
      <w:r>
        <w:instrText xml:space="preserve"> HYPERLINK "https://www.3gpp.org/ftp/tsg_ran/WG2_RL2/TSGR2_116bis-e/Docs/R2-2200628.zip" </w:instrText>
      </w:r>
      <w:r>
        <w:fldChar w:fldCharType="separate"/>
      </w:r>
      <w:r>
        <w:rPr>
          <w:rStyle w:val="32"/>
        </w:rPr>
        <w:t>R2-2200628</w:t>
      </w:r>
      <w:r>
        <w:rPr>
          <w:rStyle w:val="32"/>
        </w:rPr>
        <w:fldChar w:fldCharType="end"/>
      </w:r>
      <w:r>
        <w:tab/>
      </w:r>
      <w:r>
        <w:t>Discussion on HARQ and LCP remaining issues</w:t>
      </w:r>
      <w:r>
        <w:tab/>
      </w:r>
      <w:r>
        <w:t>– Spreadtrum</w:t>
      </w:r>
    </w:p>
    <w:p>
      <w:pPr>
        <w:pStyle w:val="45"/>
      </w:pPr>
      <w:r>
        <w:fldChar w:fldCharType="begin"/>
      </w:r>
      <w:r>
        <w:instrText xml:space="preserve"> HYPERLINK "https://www.3gpp.org/ftp/tsg_ran/WG2_RL2/TSGR2_116bis-e/Docs/R2-2200689.zip" </w:instrText>
      </w:r>
      <w:r>
        <w:fldChar w:fldCharType="separate"/>
      </w:r>
      <w:r>
        <w:rPr>
          <w:rStyle w:val="32"/>
        </w:rPr>
        <w:t>R2-2200689</w:t>
      </w:r>
      <w:r>
        <w:rPr>
          <w:rStyle w:val="32"/>
        </w:rPr>
        <w:fldChar w:fldCharType="end"/>
      </w:r>
      <w:r>
        <w:tab/>
      </w:r>
      <w:r>
        <w:t>Left Issues on DL/UL HARQ Aspects – CATT</w:t>
      </w:r>
    </w:p>
    <w:p>
      <w:pPr>
        <w:pStyle w:val="45"/>
      </w:pPr>
      <w:r>
        <w:fldChar w:fldCharType="begin"/>
      </w:r>
      <w:r>
        <w:instrText xml:space="preserve"> HYPERLINK "https://www.3gpp.org/ftp/tsg_ran/WG2_RL2/TSGR2_116bis-e/Docs/R2-2200787.zip" </w:instrText>
      </w:r>
      <w:r>
        <w:fldChar w:fldCharType="separate"/>
      </w:r>
      <w:r>
        <w:rPr>
          <w:rStyle w:val="32"/>
        </w:rPr>
        <w:t>R2-2200787</w:t>
      </w:r>
      <w:r>
        <w:rPr>
          <w:rStyle w:val="32"/>
        </w:rPr>
        <w:fldChar w:fldCharType="end"/>
      </w:r>
      <w:r>
        <w:tab/>
      </w:r>
      <w:r>
        <w:t>Remaining  issues on HARQ related timer handling for NR NTN – vivo</w:t>
      </w:r>
    </w:p>
    <w:p>
      <w:pPr>
        <w:pStyle w:val="45"/>
      </w:pPr>
      <w:r>
        <w:fldChar w:fldCharType="begin"/>
      </w:r>
      <w:r>
        <w:instrText xml:space="preserve"> HYPERLINK "https://www.3gpp.org/ftp/tsg_ran/WG2_RL2/TSGR2_116bis-e/Docs/R2-2200788.zip" </w:instrText>
      </w:r>
      <w:r>
        <w:fldChar w:fldCharType="separate"/>
      </w:r>
      <w:r>
        <w:rPr>
          <w:rStyle w:val="32"/>
        </w:rPr>
        <w:t>R2-2200788</w:t>
      </w:r>
      <w:r>
        <w:rPr>
          <w:rStyle w:val="32"/>
        </w:rPr>
        <w:fldChar w:fldCharType="end"/>
      </w:r>
      <w:r>
        <w:tab/>
      </w:r>
      <w:r>
        <w:t>Remaining issues on LCP aspects – vivo</w:t>
      </w:r>
    </w:p>
    <w:p>
      <w:pPr>
        <w:pStyle w:val="45"/>
      </w:pPr>
      <w:r>
        <w:fldChar w:fldCharType="begin"/>
      </w:r>
      <w:r>
        <w:instrText xml:space="preserve"> HYPERLINK "https://www.3gpp.org/ftp/tsg_ran/WG2_RL2/TSGR2_116bis-e/Docs/R2-2200870.zip" </w:instrText>
      </w:r>
      <w:r>
        <w:fldChar w:fldCharType="separate"/>
      </w:r>
      <w:r>
        <w:rPr>
          <w:rStyle w:val="32"/>
        </w:rPr>
        <w:t>R2-2200870</w:t>
      </w:r>
      <w:r>
        <w:rPr>
          <w:rStyle w:val="32"/>
        </w:rPr>
        <w:fldChar w:fldCharType="end"/>
      </w:r>
      <w:r>
        <w:tab/>
      </w:r>
      <w:r>
        <w:t>Further Considerations on CG/SPS for NR NTN – CMCC</w:t>
      </w:r>
    </w:p>
    <w:p>
      <w:pPr>
        <w:pStyle w:val="45"/>
      </w:pPr>
      <w:r>
        <w:fldChar w:fldCharType="begin"/>
      </w:r>
      <w:r>
        <w:instrText xml:space="preserve"> HYPERLINK "https://www.3gpp.org/ftp/tsg_ran/WG2_RL2/TSGR2_116bis-e/Docs/R2-2200911.zip" </w:instrText>
      </w:r>
      <w:r>
        <w:fldChar w:fldCharType="separate"/>
      </w:r>
      <w:r>
        <w:rPr>
          <w:rStyle w:val="32"/>
        </w:rPr>
        <w:t>R2-2200911</w:t>
      </w:r>
      <w:r>
        <w:rPr>
          <w:rStyle w:val="32"/>
        </w:rPr>
        <w:fldChar w:fldCharType="end"/>
      </w:r>
      <w:r>
        <w:tab/>
      </w:r>
      <w:r>
        <w:t>CG enhancements in NTN – Sony</w:t>
      </w:r>
    </w:p>
    <w:p>
      <w:pPr>
        <w:pStyle w:val="45"/>
      </w:pPr>
      <w:r>
        <w:fldChar w:fldCharType="begin"/>
      </w:r>
      <w:r>
        <w:instrText xml:space="preserve"> HYPERLINK "https://www.3gpp.org/ftp/tsg_ran/WG2_RL2/TSGR2_116bis-e/Docs/R2-2201008.zip" </w:instrText>
      </w:r>
      <w:r>
        <w:fldChar w:fldCharType="separate"/>
      </w:r>
      <w:r>
        <w:rPr>
          <w:rStyle w:val="32"/>
        </w:rPr>
        <w:t>R2-2201008</w:t>
      </w:r>
      <w:r>
        <w:rPr>
          <w:rStyle w:val="32"/>
        </w:rPr>
        <w:fldChar w:fldCharType="end"/>
      </w:r>
      <w:r>
        <w:tab/>
      </w:r>
      <w:r>
        <w:t>Discussion on left issues on MAC aspects – Nokia, Nokia Shanghai Bell</w:t>
      </w:r>
    </w:p>
    <w:p>
      <w:pPr>
        <w:pStyle w:val="45"/>
      </w:pPr>
      <w:r>
        <w:fldChar w:fldCharType="begin"/>
      </w:r>
      <w:r>
        <w:instrText xml:space="preserve"> HYPERLINK "https://www.3gpp.org/ftp/tsg_ran/WG2_RL2/TSGR2_116bis-e/Docs/R2-2201163.zip" </w:instrText>
      </w:r>
      <w:r>
        <w:fldChar w:fldCharType="separate"/>
      </w:r>
      <w:r>
        <w:rPr>
          <w:rStyle w:val="32"/>
        </w:rPr>
        <w:t>R2-2201163</w:t>
      </w:r>
      <w:r>
        <w:rPr>
          <w:rStyle w:val="32"/>
        </w:rPr>
        <w:fldChar w:fldCharType="end"/>
      </w:r>
      <w:r>
        <w:tab/>
      </w:r>
      <w:r>
        <w:t>Remaining MAC open issues in NTN – InterDigital</w:t>
      </w:r>
    </w:p>
    <w:p>
      <w:pPr>
        <w:pStyle w:val="45"/>
      </w:pPr>
      <w:r>
        <w:fldChar w:fldCharType="begin"/>
      </w:r>
      <w:r>
        <w:instrText xml:space="preserve"> HYPERLINK "https://www.3gpp.org/ftp/tsg_ran/WG2_RL2/TSGR2_116bis-e/Docs/R2-2201325.zip" </w:instrText>
      </w:r>
      <w:r>
        <w:fldChar w:fldCharType="separate"/>
      </w:r>
      <w:r>
        <w:rPr>
          <w:rStyle w:val="32"/>
        </w:rPr>
        <w:t>R2-2201325</w:t>
      </w:r>
      <w:r>
        <w:rPr>
          <w:rStyle w:val="32"/>
        </w:rPr>
        <w:fldChar w:fldCharType="end"/>
      </w:r>
      <w:r>
        <w:tab/>
      </w:r>
      <w:r>
        <w:t>Consideration on remaining issues of other MAC aspects – ZTE Corporation, Sanechips</w:t>
      </w:r>
    </w:p>
    <w:p>
      <w:pPr>
        <w:pStyle w:val="45"/>
      </w:pPr>
      <w:r>
        <w:fldChar w:fldCharType="begin"/>
      </w:r>
      <w:r>
        <w:instrText xml:space="preserve"> HYPERLINK "https://www.3gpp.org/ftp/tsg_ran/WG2_RL2/TSGR2_116bis-e/Docs/R2-2201364.zip" </w:instrText>
      </w:r>
      <w:r>
        <w:fldChar w:fldCharType="separate"/>
      </w:r>
      <w:r>
        <w:rPr>
          <w:rStyle w:val="32"/>
        </w:rPr>
        <w:t>R2-2201364</w:t>
      </w:r>
      <w:r>
        <w:rPr>
          <w:rStyle w:val="32"/>
        </w:rPr>
        <w:fldChar w:fldCharType="end"/>
      </w:r>
      <w:r>
        <w:tab/>
      </w:r>
      <w:r>
        <w:t>Discussion on other MAC aspects  – LG Electronics Inc.</w:t>
      </w:r>
    </w:p>
    <w:p>
      <w:pPr>
        <w:pStyle w:val="45"/>
      </w:pPr>
      <w:r>
        <w:fldChar w:fldCharType="begin"/>
      </w:r>
      <w:r>
        <w:instrText xml:space="preserve"> HYPERLINK "https://www.3gpp.org/ftp/tsg_ran/WG2_RL2/TSGR2_116bis-e/Docs/R2-2201480.zip" </w:instrText>
      </w:r>
      <w:r>
        <w:fldChar w:fldCharType="separate"/>
      </w:r>
      <w:r>
        <w:rPr>
          <w:rStyle w:val="32"/>
        </w:rPr>
        <w:t>R2-2201480</w:t>
      </w:r>
      <w:r>
        <w:rPr>
          <w:rStyle w:val="32"/>
        </w:rPr>
        <w:fldChar w:fldCharType="end"/>
      </w:r>
      <w:r>
        <w:tab/>
      </w:r>
      <w:r>
        <w:t>HARQ State A/B for CG/SPS aspects – ITL</w:t>
      </w:r>
    </w:p>
    <w:p>
      <w:pPr>
        <w:pStyle w:val="45"/>
      </w:pPr>
      <w:r>
        <w:fldChar w:fldCharType="begin"/>
      </w:r>
      <w:r>
        <w:instrText xml:space="preserve"> HYPERLINK "https://www.3gpp.org/ftp/tsg_ran/WG2_RL2/TSGR2_116bis-e/Docs/R2-2201629.zip" </w:instrText>
      </w:r>
      <w:r>
        <w:fldChar w:fldCharType="separate"/>
      </w:r>
      <w:r>
        <w:rPr>
          <w:rStyle w:val="32"/>
        </w:rPr>
        <w:t>R2-2201629</w:t>
      </w:r>
      <w:r>
        <w:rPr>
          <w:rStyle w:val="32"/>
        </w:rPr>
        <w:fldChar w:fldCharType="end"/>
      </w:r>
      <w:r>
        <w:tab/>
      </w:r>
      <w:r>
        <w:t>On configured scheduling, DRX, LCP, HARQ and SR/BSR in NTNs – Ericsson</w:t>
      </w:r>
    </w:p>
    <w:sectPr>
      <w:footerReference r:id="rId3" w:type="default"/>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820"/>
        <w:tab w:val="right" w:pos="9639"/>
      </w:tabs>
      <w:jc w:val="left"/>
    </w:pPr>
    <w:r>
      <w:tab/>
    </w:r>
    <w:r>
      <w:rPr>
        <w:rStyle w:val="29"/>
      </w:rPr>
      <w:fldChar w:fldCharType="begin"/>
    </w:r>
    <w:r>
      <w:rPr>
        <w:rStyle w:val="29"/>
      </w:rPr>
      <w:instrText xml:space="preserve"> PAGE </w:instrText>
    </w:r>
    <w:r>
      <w:rPr>
        <w:rStyle w:val="29"/>
      </w:rPr>
      <w:fldChar w:fldCharType="separate"/>
    </w:r>
    <w:r>
      <w:rPr>
        <w:rStyle w:val="29"/>
      </w:rPr>
      <w:t>8</w:t>
    </w:r>
    <w:r>
      <w:rPr>
        <w:rStyle w:val="29"/>
      </w:rPr>
      <w:fldChar w:fldCharType="end"/>
    </w:r>
    <w:r>
      <w:rPr>
        <w:rStyle w:val="29"/>
      </w:rPr>
      <w:t>/</w:t>
    </w:r>
    <w:r>
      <w:rPr>
        <w:rStyle w:val="29"/>
      </w:rPr>
      <w:fldChar w:fldCharType="begin"/>
    </w:r>
    <w:r>
      <w:rPr>
        <w:rStyle w:val="29"/>
      </w:rPr>
      <w:instrText xml:space="preserve"> NUMPAGES </w:instrText>
    </w:r>
    <w:r>
      <w:rPr>
        <w:rStyle w:val="29"/>
      </w:rPr>
      <w:fldChar w:fldCharType="separate"/>
    </w:r>
    <w:r>
      <w:rPr>
        <w:rStyle w:val="29"/>
      </w:rPr>
      <w:t>9</w:t>
    </w:r>
    <w:r>
      <w:rPr>
        <w:rStyle w:val="29"/>
      </w:rPr>
      <w:fldChar w:fldCharType="end"/>
    </w:r>
    <w:r>
      <w:rPr>
        <w:rStyle w:val="29"/>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63830A8"/>
    <w:multiLevelType w:val="multilevel"/>
    <w:tmpl w:val="063830A8"/>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6DE079B"/>
    <w:multiLevelType w:val="multilevel"/>
    <w:tmpl w:val="16DE079B"/>
    <w:lvl w:ilvl="0" w:tentative="0">
      <w:start w:val="1"/>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1A100C4E"/>
    <w:multiLevelType w:val="multilevel"/>
    <w:tmpl w:val="1A100C4E"/>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2D21819"/>
    <w:multiLevelType w:val="multilevel"/>
    <w:tmpl w:val="22D21819"/>
    <w:lvl w:ilvl="0" w:tentative="0">
      <w:start w:val="1"/>
      <w:numFmt w:val="bullet"/>
      <w:pStyle w:val="85"/>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FE76F4C"/>
    <w:multiLevelType w:val="multilevel"/>
    <w:tmpl w:val="2FE76F4C"/>
    <w:lvl w:ilvl="0" w:tentative="0">
      <w:start w:val="0"/>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1CD34B6"/>
    <w:multiLevelType w:val="multilevel"/>
    <w:tmpl w:val="31CD34B6"/>
    <w:lvl w:ilvl="0" w:tentative="0">
      <w:start w:val="1"/>
      <w:numFmt w:val="bullet"/>
      <w:pStyle w:val="12"/>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6EA685C"/>
    <w:multiLevelType w:val="multilevel"/>
    <w:tmpl w:val="36EA685C"/>
    <w:lvl w:ilvl="0" w:tentative="0">
      <w:start w:val="6"/>
      <w:numFmt w:val="bullet"/>
      <w:lvlText w:val="-"/>
      <w:lvlJc w:val="left"/>
      <w:pPr>
        <w:ind w:left="360" w:hanging="360"/>
      </w:pPr>
      <w:rPr>
        <w:rFonts w:hint="default" w:ascii="Arial" w:hAnsi="Arial" w:eastAsia="MS Mincho" w:cs="Aria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4BDF65F6"/>
    <w:multiLevelType w:val="multilevel"/>
    <w:tmpl w:val="4BDF65F6"/>
    <w:lvl w:ilvl="0" w:tentative="0">
      <w:start w:val="1"/>
      <w:numFmt w:val="decimal"/>
      <w:pStyle w:val="4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101505E"/>
    <w:multiLevelType w:val="multilevel"/>
    <w:tmpl w:val="5101505E"/>
    <w:lvl w:ilvl="0" w:tentative="0">
      <w:start w:val="1"/>
      <w:numFmt w:val="decimal"/>
      <w:pStyle w:val="8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68"/>
      <w:lvlText w:val=""/>
      <w:lvlJc w:val="left"/>
      <w:pPr>
        <w:tabs>
          <w:tab w:val="left" w:pos="1080"/>
        </w:tabs>
        <w:ind w:left="1080" w:hanging="360"/>
      </w:pPr>
      <w:rPr>
        <w:rFonts w:hint="default" w:ascii="Wingdings" w:hAnsi="Wingdings"/>
      </w:rPr>
    </w:lvl>
    <w:lvl w:ilvl="1" w:tentative="0">
      <w:start w:val="1"/>
      <w:numFmt w:val="bullet"/>
      <w:lvlText w:val="o"/>
      <w:lvlJc w:val="left"/>
      <w:pPr>
        <w:tabs>
          <w:tab w:val="left" w:pos="901"/>
        </w:tabs>
        <w:ind w:left="901" w:hanging="360"/>
      </w:pPr>
      <w:rPr>
        <w:rFonts w:hint="default" w:ascii="Courier New" w:hAnsi="Courier New" w:cs="Courier New"/>
      </w:rPr>
    </w:lvl>
    <w:lvl w:ilvl="2" w:tentative="0">
      <w:start w:val="1"/>
      <w:numFmt w:val="bullet"/>
      <w:lvlText w:val=""/>
      <w:lvlJc w:val="left"/>
      <w:pPr>
        <w:tabs>
          <w:tab w:val="left" w:pos="1621"/>
        </w:tabs>
        <w:ind w:left="1621" w:hanging="360"/>
      </w:pPr>
      <w:rPr>
        <w:rFonts w:hint="default" w:ascii="Wingdings" w:hAnsi="Wingdings"/>
      </w:rPr>
    </w:lvl>
    <w:lvl w:ilvl="3" w:tentative="0">
      <w:start w:val="1"/>
      <w:numFmt w:val="bullet"/>
      <w:lvlText w:val=""/>
      <w:lvlJc w:val="left"/>
      <w:pPr>
        <w:tabs>
          <w:tab w:val="left" w:pos="2341"/>
        </w:tabs>
        <w:ind w:left="2341" w:hanging="360"/>
      </w:pPr>
      <w:rPr>
        <w:rFonts w:hint="default" w:ascii="Symbol" w:hAnsi="Symbol"/>
      </w:rPr>
    </w:lvl>
    <w:lvl w:ilvl="4" w:tentative="0">
      <w:start w:val="1"/>
      <w:numFmt w:val="bullet"/>
      <w:lvlText w:val="o"/>
      <w:lvlJc w:val="left"/>
      <w:pPr>
        <w:tabs>
          <w:tab w:val="left" w:pos="3061"/>
        </w:tabs>
        <w:ind w:left="3061" w:hanging="360"/>
      </w:pPr>
      <w:rPr>
        <w:rFonts w:hint="default" w:ascii="Courier New" w:hAnsi="Courier New" w:cs="Courier New"/>
      </w:rPr>
    </w:lvl>
    <w:lvl w:ilvl="5" w:tentative="0">
      <w:start w:val="1"/>
      <w:numFmt w:val="bullet"/>
      <w:lvlText w:val=""/>
      <w:lvlJc w:val="left"/>
      <w:pPr>
        <w:tabs>
          <w:tab w:val="left" w:pos="3781"/>
        </w:tabs>
        <w:ind w:left="3781" w:hanging="360"/>
      </w:pPr>
      <w:rPr>
        <w:rFonts w:hint="default" w:ascii="Wingdings" w:hAnsi="Wingdings"/>
      </w:rPr>
    </w:lvl>
    <w:lvl w:ilvl="6" w:tentative="0">
      <w:start w:val="1"/>
      <w:numFmt w:val="bullet"/>
      <w:lvlText w:val=""/>
      <w:lvlJc w:val="left"/>
      <w:pPr>
        <w:tabs>
          <w:tab w:val="left" w:pos="4501"/>
        </w:tabs>
        <w:ind w:left="4501" w:hanging="360"/>
      </w:pPr>
      <w:rPr>
        <w:rFonts w:hint="default" w:ascii="Symbol" w:hAnsi="Symbol"/>
      </w:rPr>
    </w:lvl>
    <w:lvl w:ilvl="7" w:tentative="0">
      <w:start w:val="1"/>
      <w:numFmt w:val="bullet"/>
      <w:lvlText w:val="o"/>
      <w:lvlJc w:val="left"/>
      <w:pPr>
        <w:tabs>
          <w:tab w:val="left" w:pos="5221"/>
        </w:tabs>
        <w:ind w:left="5221" w:hanging="360"/>
      </w:pPr>
      <w:rPr>
        <w:rFonts w:hint="default" w:ascii="Courier New" w:hAnsi="Courier New" w:cs="Courier New"/>
      </w:rPr>
    </w:lvl>
    <w:lvl w:ilvl="8" w:tentative="0">
      <w:start w:val="1"/>
      <w:numFmt w:val="bullet"/>
      <w:lvlText w:val=""/>
      <w:lvlJc w:val="left"/>
      <w:pPr>
        <w:tabs>
          <w:tab w:val="left" w:pos="5941"/>
        </w:tabs>
        <w:ind w:left="5941" w:hanging="360"/>
      </w:pPr>
      <w:rPr>
        <w:rFonts w:hint="default" w:ascii="Wingdings" w:hAnsi="Wingdings"/>
      </w:rPr>
    </w:lvl>
  </w:abstractNum>
  <w:abstractNum w:abstractNumId="11">
    <w:nsid w:val="558E6751"/>
    <w:multiLevelType w:val="multilevel"/>
    <w:tmpl w:val="558E6751"/>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2">
    <w:nsid w:val="5FFD3797"/>
    <w:multiLevelType w:val="multilevel"/>
    <w:tmpl w:val="5FFD3797"/>
    <w:lvl w:ilvl="0" w:tentative="0">
      <w:start w:val="6"/>
      <w:numFmt w:val="bullet"/>
      <w:lvlText w:val="-"/>
      <w:lvlJc w:val="left"/>
      <w:pPr>
        <w:ind w:left="720" w:hanging="360"/>
      </w:pPr>
      <w:rPr>
        <w:rFonts w:hint="default" w:ascii="Arial" w:hAnsi="Arial" w:eastAsia="MS Mincho"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7F749F2"/>
    <w:multiLevelType w:val="multilevel"/>
    <w:tmpl w:val="67F749F2"/>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29A5EA5"/>
    <w:multiLevelType w:val="multilevel"/>
    <w:tmpl w:val="729A5EA5"/>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5">
    <w:nsid w:val="7604541A"/>
    <w:multiLevelType w:val="multilevel"/>
    <w:tmpl w:val="7604541A"/>
    <w:lvl w:ilvl="0" w:tentative="0">
      <w:start w:val="1"/>
      <w:numFmt w:val="bullet"/>
      <w:pStyle w:val="1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6"/>
  </w:num>
  <w:num w:numId="3">
    <w:abstractNumId w:val="15"/>
  </w:num>
  <w:num w:numId="4">
    <w:abstractNumId w:val="8"/>
  </w:num>
  <w:num w:numId="5">
    <w:abstractNumId w:val="10"/>
  </w:num>
  <w:num w:numId="6">
    <w:abstractNumId w:val="9"/>
  </w:num>
  <w:num w:numId="7">
    <w:abstractNumId w:val="4"/>
  </w:num>
  <w:num w:numId="8">
    <w:abstractNumId w:val="5"/>
  </w:num>
  <w:num w:numId="9">
    <w:abstractNumId w:val="1"/>
  </w:num>
  <w:num w:numId="10">
    <w:abstractNumId w:val="2"/>
  </w:num>
  <w:num w:numId="11">
    <w:abstractNumId w:val="7"/>
  </w:num>
  <w:num w:numId="12">
    <w:abstractNumId w:val="12"/>
  </w:num>
  <w:num w:numId="13">
    <w:abstractNumId w:val="11"/>
  </w:num>
  <w:num w:numId="14">
    <w:abstractNumId w:val="14"/>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hideSpellingErrors/>
  <w:hideGrammaticalErrors/>
  <w:documentProtection w:enforcement="0"/>
  <w:defaultTabStop w:val="720"/>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2DD"/>
    <w:rsid w:val="00000582"/>
    <w:rsid w:val="000005C7"/>
    <w:rsid w:val="0000072C"/>
    <w:rsid w:val="00000FBD"/>
    <w:rsid w:val="0000143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008"/>
    <w:rsid w:val="00015A33"/>
    <w:rsid w:val="00015B35"/>
    <w:rsid w:val="00015D36"/>
    <w:rsid w:val="00016173"/>
    <w:rsid w:val="0001641E"/>
    <w:rsid w:val="00016AA2"/>
    <w:rsid w:val="00016C83"/>
    <w:rsid w:val="000170DD"/>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0F86"/>
    <w:rsid w:val="00081157"/>
    <w:rsid w:val="00081B36"/>
    <w:rsid w:val="000825F3"/>
    <w:rsid w:val="00082968"/>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04B"/>
    <w:rsid w:val="000A313F"/>
    <w:rsid w:val="000A34F1"/>
    <w:rsid w:val="000A3742"/>
    <w:rsid w:val="000A3CB2"/>
    <w:rsid w:val="000A41CF"/>
    <w:rsid w:val="000A4C33"/>
    <w:rsid w:val="000A4D14"/>
    <w:rsid w:val="000A50F7"/>
    <w:rsid w:val="000A510C"/>
    <w:rsid w:val="000A514F"/>
    <w:rsid w:val="000A577C"/>
    <w:rsid w:val="000A5916"/>
    <w:rsid w:val="000A601E"/>
    <w:rsid w:val="000A61AF"/>
    <w:rsid w:val="000A6397"/>
    <w:rsid w:val="000A651B"/>
    <w:rsid w:val="000A7658"/>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3FB9"/>
    <w:rsid w:val="000C5589"/>
    <w:rsid w:val="000C5FAD"/>
    <w:rsid w:val="000C67CC"/>
    <w:rsid w:val="000C684D"/>
    <w:rsid w:val="000C6C4B"/>
    <w:rsid w:val="000C719C"/>
    <w:rsid w:val="000C7C78"/>
    <w:rsid w:val="000D06D1"/>
    <w:rsid w:val="000D115E"/>
    <w:rsid w:val="000D130C"/>
    <w:rsid w:val="000D21BC"/>
    <w:rsid w:val="000D2D94"/>
    <w:rsid w:val="000D2FEC"/>
    <w:rsid w:val="000D30C8"/>
    <w:rsid w:val="000D33F6"/>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6F94"/>
    <w:rsid w:val="000F7010"/>
    <w:rsid w:val="00100EE9"/>
    <w:rsid w:val="00101BB5"/>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1AB"/>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378CA"/>
    <w:rsid w:val="00140521"/>
    <w:rsid w:val="001422DA"/>
    <w:rsid w:val="001428CB"/>
    <w:rsid w:val="00142FB5"/>
    <w:rsid w:val="0014327D"/>
    <w:rsid w:val="00143787"/>
    <w:rsid w:val="0014479E"/>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E9D"/>
    <w:rsid w:val="00154339"/>
    <w:rsid w:val="00155464"/>
    <w:rsid w:val="001554CA"/>
    <w:rsid w:val="001557F7"/>
    <w:rsid w:val="00155C45"/>
    <w:rsid w:val="00156285"/>
    <w:rsid w:val="0015706A"/>
    <w:rsid w:val="0015706D"/>
    <w:rsid w:val="00157973"/>
    <w:rsid w:val="0016062E"/>
    <w:rsid w:val="00160845"/>
    <w:rsid w:val="00160A17"/>
    <w:rsid w:val="001615DD"/>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4FC"/>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2CB"/>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7F"/>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2CEE"/>
    <w:rsid w:val="0019305B"/>
    <w:rsid w:val="001931FC"/>
    <w:rsid w:val="0019323A"/>
    <w:rsid w:val="0019331A"/>
    <w:rsid w:val="001936CF"/>
    <w:rsid w:val="00193CAE"/>
    <w:rsid w:val="00194276"/>
    <w:rsid w:val="001943CE"/>
    <w:rsid w:val="0019444A"/>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69"/>
    <w:rsid w:val="001A113C"/>
    <w:rsid w:val="001A22B8"/>
    <w:rsid w:val="001A2521"/>
    <w:rsid w:val="001A306C"/>
    <w:rsid w:val="001A31E3"/>
    <w:rsid w:val="001A3323"/>
    <w:rsid w:val="001A36E0"/>
    <w:rsid w:val="001A3F5A"/>
    <w:rsid w:val="001A4819"/>
    <w:rsid w:val="001A55A0"/>
    <w:rsid w:val="001A5BD2"/>
    <w:rsid w:val="001A5CC7"/>
    <w:rsid w:val="001A60E3"/>
    <w:rsid w:val="001A6BF5"/>
    <w:rsid w:val="001A6E9E"/>
    <w:rsid w:val="001A776D"/>
    <w:rsid w:val="001A78CB"/>
    <w:rsid w:val="001B1069"/>
    <w:rsid w:val="001B20F4"/>
    <w:rsid w:val="001B233C"/>
    <w:rsid w:val="001B2DF8"/>
    <w:rsid w:val="001B2FB1"/>
    <w:rsid w:val="001B3248"/>
    <w:rsid w:val="001B3813"/>
    <w:rsid w:val="001B3F9B"/>
    <w:rsid w:val="001B42B7"/>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D7FD6"/>
    <w:rsid w:val="001E0ADE"/>
    <w:rsid w:val="001E10C2"/>
    <w:rsid w:val="001E11BC"/>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1B5"/>
    <w:rsid w:val="00200DD1"/>
    <w:rsid w:val="00201118"/>
    <w:rsid w:val="0020115C"/>
    <w:rsid w:val="00201217"/>
    <w:rsid w:val="00201298"/>
    <w:rsid w:val="002018DD"/>
    <w:rsid w:val="00201B12"/>
    <w:rsid w:val="00201B19"/>
    <w:rsid w:val="00201F2D"/>
    <w:rsid w:val="00201FB7"/>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828"/>
    <w:rsid w:val="00214E6A"/>
    <w:rsid w:val="00215068"/>
    <w:rsid w:val="0021614B"/>
    <w:rsid w:val="002163D7"/>
    <w:rsid w:val="002168C1"/>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6AF"/>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7FC"/>
    <w:rsid w:val="00273BBF"/>
    <w:rsid w:val="00274837"/>
    <w:rsid w:val="00274D43"/>
    <w:rsid w:val="0027532F"/>
    <w:rsid w:val="00275768"/>
    <w:rsid w:val="002758DA"/>
    <w:rsid w:val="0027591A"/>
    <w:rsid w:val="00275FF1"/>
    <w:rsid w:val="0027625F"/>
    <w:rsid w:val="002763DD"/>
    <w:rsid w:val="00276642"/>
    <w:rsid w:val="00276712"/>
    <w:rsid w:val="00276961"/>
    <w:rsid w:val="00277048"/>
    <w:rsid w:val="002772E0"/>
    <w:rsid w:val="0027749A"/>
    <w:rsid w:val="00277906"/>
    <w:rsid w:val="00277E83"/>
    <w:rsid w:val="0028014A"/>
    <w:rsid w:val="00280D14"/>
    <w:rsid w:val="002811F2"/>
    <w:rsid w:val="002816BA"/>
    <w:rsid w:val="0028280B"/>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ABF"/>
    <w:rsid w:val="00291B76"/>
    <w:rsid w:val="00294012"/>
    <w:rsid w:val="0029454C"/>
    <w:rsid w:val="0029500F"/>
    <w:rsid w:val="00295C55"/>
    <w:rsid w:val="00295E58"/>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2F64"/>
    <w:rsid w:val="002A33CA"/>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18D"/>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799"/>
    <w:rsid w:val="002D0921"/>
    <w:rsid w:val="002D09C0"/>
    <w:rsid w:val="002D0AE9"/>
    <w:rsid w:val="002D0B80"/>
    <w:rsid w:val="002D0FD2"/>
    <w:rsid w:val="002D18E2"/>
    <w:rsid w:val="002D19F9"/>
    <w:rsid w:val="002D1E85"/>
    <w:rsid w:val="002D2309"/>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2B4B"/>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2F7DE0"/>
    <w:rsid w:val="00300025"/>
    <w:rsid w:val="0030080E"/>
    <w:rsid w:val="003009F1"/>
    <w:rsid w:val="00300B80"/>
    <w:rsid w:val="00300D57"/>
    <w:rsid w:val="00300E12"/>
    <w:rsid w:val="003010C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0CB2"/>
    <w:rsid w:val="00311B1E"/>
    <w:rsid w:val="003121FD"/>
    <w:rsid w:val="00312647"/>
    <w:rsid w:val="003129B8"/>
    <w:rsid w:val="00312E4F"/>
    <w:rsid w:val="00312F61"/>
    <w:rsid w:val="003134D2"/>
    <w:rsid w:val="00314040"/>
    <w:rsid w:val="003146BF"/>
    <w:rsid w:val="0031470D"/>
    <w:rsid w:val="00314967"/>
    <w:rsid w:val="00315150"/>
    <w:rsid w:val="00315928"/>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333"/>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6D06"/>
    <w:rsid w:val="00347AFD"/>
    <w:rsid w:val="00347F5F"/>
    <w:rsid w:val="00350F20"/>
    <w:rsid w:val="003520F5"/>
    <w:rsid w:val="003521D6"/>
    <w:rsid w:val="00352281"/>
    <w:rsid w:val="00352393"/>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033"/>
    <w:rsid w:val="00361A09"/>
    <w:rsid w:val="00361BA5"/>
    <w:rsid w:val="00361D70"/>
    <w:rsid w:val="00362E03"/>
    <w:rsid w:val="00362FAF"/>
    <w:rsid w:val="00363662"/>
    <w:rsid w:val="00363678"/>
    <w:rsid w:val="003638D0"/>
    <w:rsid w:val="003638DF"/>
    <w:rsid w:val="00363DE9"/>
    <w:rsid w:val="00364B11"/>
    <w:rsid w:val="00365EBF"/>
    <w:rsid w:val="003673EC"/>
    <w:rsid w:val="003676E4"/>
    <w:rsid w:val="00370244"/>
    <w:rsid w:val="00370694"/>
    <w:rsid w:val="003707A4"/>
    <w:rsid w:val="003712A0"/>
    <w:rsid w:val="00371897"/>
    <w:rsid w:val="00371BBB"/>
    <w:rsid w:val="003723B2"/>
    <w:rsid w:val="003727C6"/>
    <w:rsid w:val="00372C72"/>
    <w:rsid w:val="00372DED"/>
    <w:rsid w:val="003730F4"/>
    <w:rsid w:val="003732F6"/>
    <w:rsid w:val="00373456"/>
    <w:rsid w:val="003739AC"/>
    <w:rsid w:val="00374489"/>
    <w:rsid w:val="00374CB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ADB"/>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1F23"/>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3AD"/>
    <w:rsid w:val="003E7659"/>
    <w:rsid w:val="003F0377"/>
    <w:rsid w:val="003F0A4B"/>
    <w:rsid w:val="003F140E"/>
    <w:rsid w:val="003F161F"/>
    <w:rsid w:val="003F162B"/>
    <w:rsid w:val="003F21B3"/>
    <w:rsid w:val="003F25FC"/>
    <w:rsid w:val="003F36E2"/>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2FD5"/>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54CB"/>
    <w:rsid w:val="00427B40"/>
    <w:rsid w:val="00427EC1"/>
    <w:rsid w:val="00430684"/>
    <w:rsid w:val="0043083E"/>
    <w:rsid w:val="004308D3"/>
    <w:rsid w:val="004308FD"/>
    <w:rsid w:val="004309D4"/>
    <w:rsid w:val="00430DFC"/>
    <w:rsid w:val="00430EEF"/>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A00"/>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1F0B"/>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AD2"/>
    <w:rsid w:val="00476BF3"/>
    <w:rsid w:val="00476D34"/>
    <w:rsid w:val="004773F7"/>
    <w:rsid w:val="004778E7"/>
    <w:rsid w:val="00477A79"/>
    <w:rsid w:val="00477B44"/>
    <w:rsid w:val="00477D35"/>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64C"/>
    <w:rsid w:val="00495F4B"/>
    <w:rsid w:val="00496365"/>
    <w:rsid w:val="004967A1"/>
    <w:rsid w:val="004968B2"/>
    <w:rsid w:val="00497381"/>
    <w:rsid w:val="004974D4"/>
    <w:rsid w:val="00497A43"/>
    <w:rsid w:val="00497D8D"/>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022"/>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1"/>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25D"/>
    <w:rsid w:val="004E7707"/>
    <w:rsid w:val="004F05A1"/>
    <w:rsid w:val="004F08E1"/>
    <w:rsid w:val="004F16FC"/>
    <w:rsid w:val="004F1C71"/>
    <w:rsid w:val="004F264F"/>
    <w:rsid w:val="004F2D50"/>
    <w:rsid w:val="004F3460"/>
    <w:rsid w:val="004F34B1"/>
    <w:rsid w:val="004F3ADE"/>
    <w:rsid w:val="004F40B9"/>
    <w:rsid w:val="004F46BC"/>
    <w:rsid w:val="004F499F"/>
    <w:rsid w:val="004F4AAE"/>
    <w:rsid w:val="004F4CEB"/>
    <w:rsid w:val="004F5A8C"/>
    <w:rsid w:val="004F6B1E"/>
    <w:rsid w:val="004F6C67"/>
    <w:rsid w:val="004F72FB"/>
    <w:rsid w:val="004F7A47"/>
    <w:rsid w:val="004F7C93"/>
    <w:rsid w:val="004F7CA2"/>
    <w:rsid w:val="004F7EC4"/>
    <w:rsid w:val="005001F1"/>
    <w:rsid w:val="005004EA"/>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3F4"/>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01"/>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6DB"/>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9D8"/>
    <w:rsid w:val="00552F56"/>
    <w:rsid w:val="0055360F"/>
    <w:rsid w:val="00553978"/>
    <w:rsid w:val="00553C7A"/>
    <w:rsid w:val="005546C9"/>
    <w:rsid w:val="00554760"/>
    <w:rsid w:val="0055522D"/>
    <w:rsid w:val="00555493"/>
    <w:rsid w:val="00555DBF"/>
    <w:rsid w:val="005565A9"/>
    <w:rsid w:val="0055707A"/>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0C3"/>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141"/>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3C1"/>
    <w:rsid w:val="005A07D3"/>
    <w:rsid w:val="005A0F4B"/>
    <w:rsid w:val="005A1402"/>
    <w:rsid w:val="005A20D9"/>
    <w:rsid w:val="005A26C3"/>
    <w:rsid w:val="005A27C3"/>
    <w:rsid w:val="005A2936"/>
    <w:rsid w:val="005A35A9"/>
    <w:rsid w:val="005A445E"/>
    <w:rsid w:val="005A44F6"/>
    <w:rsid w:val="005A4780"/>
    <w:rsid w:val="005A4853"/>
    <w:rsid w:val="005A4AB4"/>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B11"/>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6DFE"/>
    <w:rsid w:val="005C7D1C"/>
    <w:rsid w:val="005D017F"/>
    <w:rsid w:val="005D05EA"/>
    <w:rsid w:val="005D07CC"/>
    <w:rsid w:val="005D0C81"/>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2D9"/>
    <w:rsid w:val="006004FB"/>
    <w:rsid w:val="00600B50"/>
    <w:rsid w:val="00600E8E"/>
    <w:rsid w:val="00601441"/>
    <w:rsid w:val="006014B8"/>
    <w:rsid w:val="00601653"/>
    <w:rsid w:val="0060178A"/>
    <w:rsid w:val="006019EA"/>
    <w:rsid w:val="006020B7"/>
    <w:rsid w:val="006024D1"/>
    <w:rsid w:val="00602AF5"/>
    <w:rsid w:val="00602C80"/>
    <w:rsid w:val="00602CCB"/>
    <w:rsid w:val="00602EE8"/>
    <w:rsid w:val="006034CA"/>
    <w:rsid w:val="0060362B"/>
    <w:rsid w:val="00603800"/>
    <w:rsid w:val="00603A88"/>
    <w:rsid w:val="006040DC"/>
    <w:rsid w:val="00604594"/>
    <w:rsid w:val="0060473C"/>
    <w:rsid w:val="00604843"/>
    <w:rsid w:val="00604BBE"/>
    <w:rsid w:val="00604D88"/>
    <w:rsid w:val="00605024"/>
    <w:rsid w:val="006050A2"/>
    <w:rsid w:val="006058B6"/>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A7B"/>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2CB9"/>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4CC"/>
    <w:rsid w:val="00665496"/>
    <w:rsid w:val="00665CAC"/>
    <w:rsid w:val="00665EFC"/>
    <w:rsid w:val="00666068"/>
    <w:rsid w:val="0066620C"/>
    <w:rsid w:val="00666580"/>
    <w:rsid w:val="006672F8"/>
    <w:rsid w:val="00667CE0"/>
    <w:rsid w:val="00670003"/>
    <w:rsid w:val="00670239"/>
    <w:rsid w:val="00670462"/>
    <w:rsid w:val="006706E7"/>
    <w:rsid w:val="00670BD0"/>
    <w:rsid w:val="00670C68"/>
    <w:rsid w:val="00670D7B"/>
    <w:rsid w:val="0067115D"/>
    <w:rsid w:val="00671BF7"/>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212"/>
    <w:rsid w:val="00695704"/>
    <w:rsid w:val="00695E67"/>
    <w:rsid w:val="00695F74"/>
    <w:rsid w:val="00696589"/>
    <w:rsid w:val="006967B6"/>
    <w:rsid w:val="00696961"/>
    <w:rsid w:val="00696E18"/>
    <w:rsid w:val="00697CF1"/>
    <w:rsid w:val="00697E1B"/>
    <w:rsid w:val="00697EE4"/>
    <w:rsid w:val="006A023C"/>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1A"/>
    <w:rsid w:val="006A7633"/>
    <w:rsid w:val="006B01DC"/>
    <w:rsid w:val="006B03B4"/>
    <w:rsid w:val="006B03C5"/>
    <w:rsid w:val="006B04F5"/>
    <w:rsid w:val="006B0A7F"/>
    <w:rsid w:val="006B0B64"/>
    <w:rsid w:val="006B1003"/>
    <w:rsid w:val="006B15C1"/>
    <w:rsid w:val="006B1882"/>
    <w:rsid w:val="006B1D68"/>
    <w:rsid w:val="006B2553"/>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4BBE"/>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4BD"/>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18D8"/>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37DFA"/>
    <w:rsid w:val="007402A0"/>
    <w:rsid w:val="0074038A"/>
    <w:rsid w:val="00740E08"/>
    <w:rsid w:val="007418C0"/>
    <w:rsid w:val="00741D27"/>
    <w:rsid w:val="00742143"/>
    <w:rsid w:val="00742BD8"/>
    <w:rsid w:val="007436A7"/>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C4B"/>
    <w:rsid w:val="00756E28"/>
    <w:rsid w:val="00756E4A"/>
    <w:rsid w:val="007573BE"/>
    <w:rsid w:val="00757E5A"/>
    <w:rsid w:val="007600FC"/>
    <w:rsid w:val="00760764"/>
    <w:rsid w:val="007608DF"/>
    <w:rsid w:val="007613CB"/>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9A5"/>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3E7"/>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3C94"/>
    <w:rsid w:val="00804196"/>
    <w:rsid w:val="008048B8"/>
    <w:rsid w:val="00804A3C"/>
    <w:rsid w:val="00804F1B"/>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0D4E"/>
    <w:rsid w:val="00861784"/>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3D46"/>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43E"/>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1519"/>
    <w:rsid w:val="00892244"/>
    <w:rsid w:val="00893085"/>
    <w:rsid w:val="00893152"/>
    <w:rsid w:val="0089323A"/>
    <w:rsid w:val="00893F92"/>
    <w:rsid w:val="008940FB"/>
    <w:rsid w:val="00894344"/>
    <w:rsid w:val="00895A20"/>
    <w:rsid w:val="0089601F"/>
    <w:rsid w:val="00896393"/>
    <w:rsid w:val="008969BB"/>
    <w:rsid w:val="00896B05"/>
    <w:rsid w:val="00897107"/>
    <w:rsid w:val="00897155"/>
    <w:rsid w:val="00897357"/>
    <w:rsid w:val="0089761C"/>
    <w:rsid w:val="00897709"/>
    <w:rsid w:val="008A07ED"/>
    <w:rsid w:val="008A08F7"/>
    <w:rsid w:val="008A0CE8"/>
    <w:rsid w:val="008A0D6B"/>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59E9"/>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853"/>
    <w:rsid w:val="008D2CB0"/>
    <w:rsid w:val="008D4935"/>
    <w:rsid w:val="008D54F7"/>
    <w:rsid w:val="008D552A"/>
    <w:rsid w:val="008D5644"/>
    <w:rsid w:val="008D5BDB"/>
    <w:rsid w:val="008D6110"/>
    <w:rsid w:val="008D614F"/>
    <w:rsid w:val="008D69BE"/>
    <w:rsid w:val="008E023C"/>
    <w:rsid w:val="008E0609"/>
    <w:rsid w:val="008E071C"/>
    <w:rsid w:val="008E09D5"/>
    <w:rsid w:val="008E2992"/>
    <w:rsid w:val="008E2D41"/>
    <w:rsid w:val="008E31C4"/>
    <w:rsid w:val="008E32D6"/>
    <w:rsid w:val="008E33C4"/>
    <w:rsid w:val="008E3E63"/>
    <w:rsid w:val="008E404F"/>
    <w:rsid w:val="008E4428"/>
    <w:rsid w:val="008E470B"/>
    <w:rsid w:val="008E4C74"/>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047"/>
    <w:rsid w:val="00901308"/>
    <w:rsid w:val="00901BE7"/>
    <w:rsid w:val="00902B86"/>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4AB"/>
    <w:rsid w:val="00912C19"/>
    <w:rsid w:val="009130DC"/>
    <w:rsid w:val="0091330F"/>
    <w:rsid w:val="00913D74"/>
    <w:rsid w:val="009140D2"/>
    <w:rsid w:val="009141E6"/>
    <w:rsid w:val="009145E8"/>
    <w:rsid w:val="0091472E"/>
    <w:rsid w:val="009151C8"/>
    <w:rsid w:val="00915284"/>
    <w:rsid w:val="0091532D"/>
    <w:rsid w:val="0091579B"/>
    <w:rsid w:val="00915828"/>
    <w:rsid w:val="00916804"/>
    <w:rsid w:val="00916983"/>
    <w:rsid w:val="00916ABE"/>
    <w:rsid w:val="00916CBB"/>
    <w:rsid w:val="00916DBD"/>
    <w:rsid w:val="009178FA"/>
    <w:rsid w:val="00917C5D"/>
    <w:rsid w:val="00917C6A"/>
    <w:rsid w:val="00920690"/>
    <w:rsid w:val="00920C42"/>
    <w:rsid w:val="00921952"/>
    <w:rsid w:val="00921F6B"/>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4AB"/>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07F"/>
    <w:rsid w:val="00954120"/>
    <w:rsid w:val="0095424F"/>
    <w:rsid w:val="0095481B"/>
    <w:rsid w:val="009548FD"/>
    <w:rsid w:val="00954F63"/>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2AAA"/>
    <w:rsid w:val="00963B83"/>
    <w:rsid w:val="00963EDC"/>
    <w:rsid w:val="009641CA"/>
    <w:rsid w:val="0096436A"/>
    <w:rsid w:val="00964633"/>
    <w:rsid w:val="00964B67"/>
    <w:rsid w:val="0096590F"/>
    <w:rsid w:val="00965D00"/>
    <w:rsid w:val="009662CC"/>
    <w:rsid w:val="009663C5"/>
    <w:rsid w:val="009665F4"/>
    <w:rsid w:val="009668F6"/>
    <w:rsid w:val="009671B1"/>
    <w:rsid w:val="00967DDE"/>
    <w:rsid w:val="0097014D"/>
    <w:rsid w:val="0097014F"/>
    <w:rsid w:val="009708CD"/>
    <w:rsid w:val="00971824"/>
    <w:rsid w:val="009727D5"/>
    <w:rsid w:val="00972DE7"/>
    <w:rsid w:val="00972E00"/>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274"/>
    <w:rsid w:val="009B20D9"/>
    <w:rsid w:val="009B2259"/>
    <w:rsid w:val="009B2780"/>
    <w:rsid w:val="009B29B4"/>
    <w:rsid w:val="009B29F4"/>
    <w:rsid w:val="009B2C0F"/>
    <w:rsid w:val="009B390B"/>
    <w:rsid w:val="009B3EC7"/>
    <w:rsid w:val="009B4643"/>
    <w:rsid w:val="009B48F0"/>
    <w:rsid w:val="009B4E91"/>
    <w:rsid w:val="009B4EBA"/>
    <w:rsid w:val="009B6549"/>
    <w:rsid w:val="009B65F1"/>
    <w:rsid w:val="009B663F"/>
    <w:rsid w:val="009B6A0E"/>
    <w:rsid w:val="009B7D3D"/>
    <w:rsid w:val="009C00AF"/>
    <w:rsid w:val="009C0174"/>
    <w:rsid w:val="009C0559"/>
    <w:rsid w:val="009C0805"/>
    <w:rsid w:val="009C0FD4"/>
    <w:rsid w:val="009C1280"/>
    <w:rsid w:val="009C19C6"/>
    <w:rsid w:val="009C19F9"/>
    <w:rsid w:val="009C1BD4"/>
    <w:rsid w:val="009C1DE2"/>
    <w:rsid w:val="009C270F"/>
    <w:rsid w:val="009C2976"/>
    <w:rsid w:val="009C2F4D"/>
    <w:rsid w:val="009C307E"/>
    <w:rsid w:val="009C3A05"/>
    <w:rsid w:val="009C3DEF"/>
    <w:rsid w:val="009C3E04"/>
    <w:rsid w:val="009C3EB7"/>
    <w:rsid w:val="009C4583"/>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4C6"/>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2D2"/>
    <w:rsid w:val="009E4468"/>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20B"/>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C6"/>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27BBD"/>
    <w:rsid w:val="00A306C5"/>
    <w:rsid w:val="00A30F0A"/>
    <w:rsid w:val="00A3189C"/>
    <w:rsid w:val="00A31A12"/>
    <w:rsid w:val="00A31F11"/>
    <w:rsid w:val="00A32264"/>
    <w:rsid w:val="00A3325C"/>
    <w:rsid w:val="00A33611"/>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4EA8"/>
    <w:rsid w:val="00A452B1"/>
    <w:rsid w:val="00A45418"/>
    <w:rsid w:val="00A4698A"/>
    <w:rsid w:val="00A4779B"/>
    <w:rsid w:val="00A47832"/>
    <w:rsid w:val="00A505A7"/>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6AB5"/>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76BF4"/>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87F74"/>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05"/>
    <w:rsid w:val="00AA4D48"/>
    <w:rsid w:val="00AA4E53"/>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6FB"/>
    <w:rsid w:val="00AB5C41"/>
    <w:rsid w:val="00AB5DA6"/>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6A5"/>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A4"/>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28C"/>
    <w:rsid w:val="00B32AB8"/>
    <w:rsid w:val="00B32F4A"/>
    <w:rsid w:val="00B339F1"/>
    <w:rsid w:val="00B33A8E"/>
    <w:rsid w:val="00B33BF1"/>
    <w:rsid w:val="00B353C9"/>
    <w:rsid w:val="00B35469"/>
    <w:rsid w:val="00B358EE"/>
    <w:rsid w:val="00B358FA"/>
    <w:rsid w:val="00B35D11"/>
    <w:rsid w:val="00B35F2C"/>
    <w:rsid w:val="00B36A9F"/>
    <w:rsid w:val="00B372CB"/>
    <w:rsid w:val="00B3739A"/>
    <w:rsid w:val="00B374A5"/>
    <w:rsid w:val="00B4093C"/>
    <w:rsid w:val="00B40F5E"/>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022"/>
    <w:rsid w:val="00B668ED"/>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5F0"/>
    <w:rsid w:val="00B73DBC"/>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3AD4"/>
    <w:rsid w:val="00B840E8"/>
    <w:rsid w:val="00B8456D"/>
    <w:rsid w:val="00B8474C"/>
    <w:rsid w:val="00B857B1"/>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42A"/>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056"/>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2EA1"/>
    <w:rsid w:val="00BD36C6"/>
    <w:rsid w:val="00BD377E"/>
    <w:rsid w:val="00BD3AC0"/>
    <w:rsid w:val="00BD3D0B"/>
    <w:rsid w:val="00BD3DA1"/>
    <w:rsid w:val="00BD40FC"/>
    <w:rsid w:val="00BD42FE"/>
    <w:rsid w:val="00BD435D"/>
    <w:rsid w:val="00BD5990"/>
    <w:rsid w:val="00BD641E"/>
    <w:rsid w:val="00BD66CB"/>
    <w:rsid w:val="00BD7679"/>
    <w:rsid w:val="00BD79D4"/>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429"/>
    <w:rsid w:val="00C04E35"/>
    <w:rsid w:val="00C0534A"/>
    <w:rsid w:val="00C0549C"/>
    <w:rsid w:val="00C05A48"/>
    <w:rsid w:val="00C05D81"/>
    <w:rsid w:val="00C06FD1"/>
    <w:rsid w:val="00C07022"/>
    <w:rsid w:val="00C07993"/>
    <w:rsid w:val="00C07FD0"/>
    <w:rsid w:val="00C101EF"/>
    <w:rsid w:val="00C10AC9"/>
    <w:rsid w:val="00C117F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21C"/>
    <w:rsid w:val="00C243C0"/>
    <w:rsid w:val="00C24CA2"/>
    <w:rsid w:val="00C270D3"/>
    <w:rsid w:val="00C27143"/>
    <w:rsid w:val="00C273D9"/>
    <w:rsid w:val="00C27822"/>
    <w:rsid w:val="00C27DCE"/>
    <w:rsid w:val="00C27F84"/>
    <w:rsid w:val="00C3072C"/>
    <w:rsid w:val="00C30A65"/>
    <w:rsid w:val="00C30E2F"/>
    <w:rsid w:val="00C31411"/>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17"/>
    <w:rsid w:val="00C50386"/>
    <w:rsid w:val="00C50928"/>
    <w:rsid w:val="00C50A7E"/>
    <w:rsid w:val="00C50BCA"/>
    <w:rsid w:val="00C50C4D"/>
    <w:rsid w:val="00C51F9B"/>
    <w:rsid w:val="00C52103"/>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47"/>
    <w:rsid w:val="00C748D5"/>
    <w:rsid w:val="00C76504"/>
    <w:rsid w:val="00C7677E"/>
    <w:rsid w:val="00C7681C"/>
    <w:rsid w:val="00C76B4B"/>
    <w:rsid w:val="00C76C94"/>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6F6"/>
    <w:rsid w:val="00CA2E98"/>
    <w:rsid w:val="00CA3441"/>
    <w:rsid w:val="00CA3FD4"/>
    <w:rsid w:val="00CA417D"/>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5CA"/>
    <w:rsid w:val="00CB2DB2"/>
    <w:rsid w:val="00CB3096"/>
    <w:rsid w:val="00CB325D"/>
    <w:rsid w:val="00CB32E9"/>
    <w:rsid w:val="00CB3585"/>
    <w:rsid w:val="00CB367A"/>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0BA"/>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00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4B3"/>
    <w:rsid w:val="00CD556B"/>
    <w:rsid w:val="00CD57D1"/>
    <w:rsid w:val="00CD58FD"/>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1A52"/>
    <w:rsid w:val="00CF2012"/>
    <w:rsid w:val="00CF260C"/>
    <w:rsid w:val="00CF2F00"/>
    <w:rsid w:val="00CF3671"/>
    <w:rsid w:val="00CF3CC5"/>
    <w:rsid w:val="00CF3D0C"/>
    <w:rsid w:val="00CF40A8"/>
    <w:rsid w:val="00CF43E0"/>
    <w:rsid w:val="00CF45D4"/>
    <w:rsid w:val="00CF48B2"/>
    <w:rsid w:val="00CF5378"/>
    <w:rsid w:val="00CF5FDE"/>
    <w:rsid w:val="00CF60F4"/>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C90"/>
    <w:rsid w:val="00D03E43"/>
    <w:rsid w:val="00D04B0B"/>
    <w:rsid w:val="00D04BF0"/>
    <w:rsid w:val="00D0525E"/>
    <w:rsid w:val="00D0527C"/>
    <w:rsid w:val="00D052A4"/>
    <w:rsid w:val="00D05755"/>
    <w:rsid w:val="00D06106"/>
    <w:rsid w:val="00D06F6D"/>
    <w:rsid w:val="00D07595"/>
    <w:rsid w:val="00D0773B"/>
    <w:rsid w:val="00D07F08"/>
    <w:rsid w:val="00D10C3A"/>
    <w:rsid w:val="00D10DA1"/>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90F"/>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0EC2"/>
    <w:rsid w:val="00D314F2"/>
    <w:rsid w:val="00D31BFE"/>
    <w:rsid w:val="00D31E04"/>
    <w:rsid w:val="00D32197"/>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05C"/>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6D6"/>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51F"/>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0F9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5C15"/>
    <w:rsid w:val="00DC637C"/>
    <w:rsid w:val="00DC685C"/>
    <w:rsid w:val="00DC7FEB"/>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48A"/>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0A6E"/>
    <w:rsid w:val="00E21212"/>
    <w:rsid w:val="00E21725"/>
    <w:rsid w:val="00E22300"/>
    <w:rsid w:val="00E224F3"/>
    <w:rsid w:val="00E2257A"/>
    <w:rsid w:val="00E225AC"/>
    <w:rsid w:val="00E22838"/>
    <w:rsid w:val="00E23008"/>
    <w:rsid w:val="00E23D1F"/>
    <w:rsid w:val="00E247A8"/>
    <w:rsid w:val="00E24ABF"/>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454"/>
    <w:rsid w:val="00E52BEF"/>
    <w:rsid w:val="00E533C0"/>
    <w:rsid w:val="00E5387D"/>
    <w:rsid w:val="00E538B7"/>
    <w:rsid w:val="00E538DB"/>
    <w:rsid w:val="00E538FD"/>
    <w:rsid w:val="00E53A79"/>
    <w:rsid w:val="00E5479C"/>
    <w:rsid w:val="00E548E4"/>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324"/>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643"/>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AB3"/>
    <w:rsid w:val="00E86BC2"/>
    <w:rsid w:val="00E86F95"/>
    <w:rsid w:val="00E87977"/>
    <w:rsid w:val="00E8799C"/>
    <w:rsid w:val="00E87B5F"/>
    <w:rsid w:val="00E87C51"/>
    <w:rsid w:val="00E9061A"/>
    <w:rsid w:val="00E90B47"/>
    <w:rsid w:val="00E91561"/>
    <w:rsid w:val="00E91562"/>
    <w:rsid w:val="00E917E8"/>
    <w:rsid w:val="00E919E4"/>
    <w:rsid w:val="00E91C29"/>
    <w:rsid w:val="00E92E39"/>
    <w:rsid w:val="00E9318C"/>
    <w:rsid w:val="00E93503"/>
    <w:rsid w:val="00E936E4"/>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05C3"/>
    <w:rsid w:val="00EB1B1E"/>
    <w:rsid w:val="00EB212F"/>
    <w:rsid w:val="00EB2187"/>
    <w:rsid w:val="00EB237F"/>
    <w:rsid w:val="00EB2C96"/>
    <w:rsid w:val="00EB2F26"/>
    <w:rsid w:val="00EB3234"/>
    <w:rsid w:val="00EB3A60"/>
    <w:rsid w:val="00EB3B69"/>
    <w:rsid w:val="00EB3C58"/>
    <w:rsid w:val="00EB3F23"/>
    <w:rsid w:val="00EB4674"/>
    <w:rsid w:val="00EB4C51"/>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5D14"/>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5D04"/>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6048"/>
    <w:rsid w:val="00F164C1"/>
    <w:rsid w:val="00F1661C"/>
    <w:rsid w:val="00F16D55"/>
    <w:rsid w:val="00F17FF2"/>
    <w:rsid w:val="00F20022"/>
    <w:rsid w:val="00F2029A"/>
    <w:rsid w:val="00F2048C"/>
    <w:rsid w:val="00F20AC0"/>
    <w:rsid w:val="00F20DD4"/>
    <w:rsid w:val="00F21153"/>
    <w:rsid w:val="00F21234"/>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279B5"/>
    <w:rsid w:val="00F30147"/>
    <w:rsid w:val="00F308E7"/>
    <w:rsid w:val="00F30C8E"/>
    <w:rsid w:val="00F30F6D"/>
    <w:rsid w:val="00F31087"/>
    <w:rsid w:val="00F319FF"/>
    <w:rsid w:val="00F31D9B"/>
    <w:rsid w:val="00F32913"/>
    <w:rsid w:val="00F32A3C"/>
    <w:rsid w:val="00F332AE"/>
    <w:rsid w:val="00F33886"/>
    <w:rsid w:val="00F3397F"/>
    <w:rsid w:val="00F33F31"/>
    <w:rsid w:val="00F3450E"/>
    <w:rsid w:val="00F35CD8"/>
    <w:rsid w:val="00F36F2B"/>
    <w:rsid w:val="00F37104"/>
    <w:rsid w:val="00F37495"/>
    <w:rsid w:val="00F3796C"/>
    <w:rsid w:val="00F37B0F"/>
    <w:rsid w:val="00F40180"/>
    <w:rsid w:val="00F404CF"/>
    <w:rsid w:val="00F40C5A"/>
    <w:rsid w:val="00F41051"/>
    <w:rsid w:val="00F417DD"/>
    <w:rsid w:val="00F419B8"/>
    <w:rsid w:val="00F41B13"/>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9BE"/>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38"/>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5FD7"/>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6D40"/>
    <w:rsid w:val="00F972A3"/>
    <w:rsid w:val="00F9751A"/>
    <w:rsid w:val="00F97594"/>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F6E"/>
    <w:rsid w:val="00FD601C"/>
    <w:rsid w:val="00FD632E"/>
    <w:rsid w:val="00FD663E"/>
    <w:rsid w:val="00FD674E"/>
    <w:rsid w:val="00FD72EE"/>
    <w:rsid w:val="00FD7D38"/>
    <w:rsid w:val="00FE0143"/>
    <w:rsid w:val="00FE1641"/>
    <w:rsid w:val="00FE2069"/>
    <w:rsid w:val="00FE20C1"/>
    <w:rsid w:val="00FE2207"/>
    <w:rsid w:val="00FE23D0"/>
    <w:rsid w:val="00FE2460"/>
    <w:rsid w:val="00FE2C16"/>
    <w:rsid w:val="00FE31B6"/>
    <w:rsid w:val="00FE366E"/>
    <w:rsid w:val="00FE3E8C"/>
    <w:rsid w:val="00FE3E8E"/>
    <w:rsid w:val="00FE3F7C"/>
    <w:rsid w:val="00FE4071"/>
    <w:rsid w:val="00FE467F"/>
    <w:rsid w:val="00FE4A83"/>
    <w:rsid w:val="00FE553E"/>
    <w:rsid w:val="00FE5B02"/>
    <w:rsid w:val="00FE5B0B"/>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 w:val="567F4E7C"/>
    <w:rsid w:val="613707DC"/>
    <w:rsid w:val="62582A5C"/>
    <w:rsid w:val="78027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nhideWhenUsed="0" w:uiPriority="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jc w:val="both"/>
      <w:textAlignment w:val="baseline"/>
    </w:pPr>
    <w:rPr>
      <w:rFonts w:ascii="Arial" w:hAnsi="Arial" w:eastAsia="Times New Roman" w:cs="Times New Roman"/>
      <w:sz w:val="20"/>
      <w:szCs w:val="20"/>
      <w:lang w:val="en-GB" w:eastAsia="zh-CN" w:bidi="ar-SA"/>
    </w:rPr>
  </w:style>
  <w:style w:type="paragraph" w:styleId="2">
    <w:name w:val="heading 1"/>
    <w:next w:val="1"/>
    <w:link w:val="34"/>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35"/>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36"/>
    <w:qFormat/>
    <w:uiPriority w:val="0"/>
    <w:pPr>
      <w:numPr>
        <w:ilvl w:val="2"/>
      </w:numPr>
      <w:spacing w:before="120"/>
      <w:outlineLvl w:val="2"/>
    </w:pPr>
    <w:rPr>
      <w:sz w:val="28"/>
      <w:szCs w:val="28"/>
    </w:rPr>
  </w:style>
  <w:style w:type="paragraph" w:styleId="5">
    <w:name w:val="heading 4"/>
    <w:basedOn w:val="4"/>
    <w:next w:val="1"/>
    <w:link w:val="37"/>
    <w:qFormat/>
    <w:uiPriority w:val="0"/>
    <w:pPr>
      <w:numPr>
        <w:ilvl w:val="3"/>
      </w:numPr>
      <w:outlineLvl w:val="3"/>
    </w:pPr>
    <w:rPr>
      <w:sz w:val="24"/>
      <w:szCs w:val="24"/>
    </w:rPr>
  </w:style>
  <w:style w:type="paragraph" w:styleId="6">
    <w:name w:val="heading 5"/>
    <w:basedOn w:val="5"/>
    <w:next w:val="1"/>
    <w:link w:val="38"/>
    <w:qFormat/>
    <w:uiPriority w:val="0"/>
    <w:pPr>
      <w:numPr>
        <w:ilvl w:val="4"/>
      </w:numPr>
      <w:outlineLvl w:val="4"/>
    </w:pPr>
    <w:rPr>
      <w:sz w:val="22"/>
      <w:szCs w:val="22"/>
    </w:rPr>
  </w:style>
  <w:style w:type="paragraph" w:styleId="7">
    <w:name w:val="heading 6"/>
    <w:basedOn w:val="1"/>
    <w:next w:val="1"/>
    <w:link w:val="39"/>
    <w:qFormat/>
    <w:uiPriority w:val="0"/>
    <w:pPr>
      <w:keepNext/>
      <w:keepLines/>
      <w:numPr>
        <w:ilvl w:val="5"/>
        <w:numId w:val="1"/>
      </w:numPr>
      <w:spacing w:before="120"/>
      <w:outlineLvl w:val="5"/>
    </w:pPr>
    <w:rPr>
      <w:rFonts w:cs="Arial"/>
    </w:rPr>
  </w:style>
  <w:style w:type="paragraph" w:styleId="8">
    <w:name w:val="heading 7"/>
    <w:basedOn w:val="1"/>
    <w:next w:val="1"/>
    <w:link w:val="40"/>
    <w:qFormat/>
    <w:uiPriority w:val="0"/>
    <w:pPr>
      <w:keepNext/>
      <w:keepLines/>
      <w:numPr>
        <w:ilvl w:val="6"/>
        <w:numId w:val="1"/>
      </w:numPr>
      <w:spacing w:before="120"/>
      <w:outlineLvl w:val="6"/>
    </w:pPr>
    <w:rPr>
      <w:rFonts w:cs="Arial"/>
    </w:rPr>
  </w:style>
  <w:style w:type="paragraph" w:styleId="9">
    <w:name w:val="heading 8"/>
    <w:basedOn w:val="8"/>
    <w:next w:val="1"/>
    <w:link w:val="41"/>
    <w:qFormat/>
    <w:uiPriority w:val="0"/>
    <w:pPr>
      <w:numPr>
        <w:ilvl w:val="7"/>
      </w:numPr>
      <w:outlineLvl w:val="7"/>
    </w:pPr>
  </w:style>
  <w:style w:type="paragraph" w:styleId="10">
    <w:name w:val="heading 9"/>
    <w:basedOn w:val="9"/>
    <w:next w:val="1"/>
    <w:link w:val="42"/>
    <w:qFormat/>
    <w:uiPriority w:val="0"/>
    <w:pPr>
      <w:numPr>
        <w:ilvl w:val="8"/>
      </w:numPr>
      <w:outlineLvl w:val="8"/>
    </w:p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11">
    <w:name w:val="List 3"/>
    <w:basedOn w:val="1"/>
    <w:semiHidden/>
    <w:unhideWhenUsed/>
    <w:uiPriority w:val="99"/>
    <w:pPr>
      <w:ind w:left="1080" w:hanging="360"/>
      <w:contextualSpacing/>
    </w:pPr>
  </w:style>
  <w:style w:type="paragraph" w:styleId="12">
    <w:name w:val="List Bullet 4"/>
    <w:basedOn w:val="13"/>
    <w:uiPriority w:val="0"/>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13">
    <w:name w:val="List Bullet 3"/>
    <w:basedOn w:val="1"/>
    <w:semiHidden/>
    <w:unhideWhenUsed/>
    <w:uiPriority w:val="99"/>
    <w:pPr>
      <w:numPr>
        <w:ilvl w:val="0"/>
        <w:numId w:val="3"/>
      </w:numPr>
      <w:contextualSpacing/>
    </w:pPr>
  </w:style>
  <w:style w:type="paragraph" w:styleId="14">
    <w:name w:val="caption"/>
    <w:basedOn w:val="1"/>
    <w:next w:val="1"/>
    <w:link w:val="86"/>
    <w:qFormat/>
    <w:uiPriority w:val="0"/>
    <w:pPr>
      <w:overflowPunct/>
      <w:autoSpaceDE/>
      <w:autoSpaceDN/>
      <w:adjustRightInd/>
      <w:spacing w:after="180"/>
      <w:jc w:val="left"/>
      <w:textAlignment w:val="auto"/>
    </w:pPr>
    <w:rPr>
      <w:rFonts w:ascii="Times New Roman" w:hAnsi="Times New Roman" w:eastAsia="Malgun Gothic"/>
      <w:b/>
      <w:bCs/>
      <w:lang w:eastAsia="en-US"/>
    </w:rPr>
  </w:style>
  <w:style w:type="paragraph" w:styleId="15">
    <w:name w:val="annotation text"/>
    <w:basedOn w:val="1"/>
    <w:link w:val="69"/>
    <w:unhideWhenUsed/>
    <w:qFormat/>
    <w:uiPriority w:val="99"/>
  </w:style>
  <w:style w:type="paragraph" w:styleId="16">
    <w:name w:val="Body Text"/>
    <w:basedOn w:val="1"/>
    <w:link w:val="79"/>
    <w:qFormat/>
    <w:uiPriority w:val="0"/>
    <w:pPr>
      <w:overflowPunct/>
      <w:autoSpaceDE/>
      <w:autoSpaceDN/>
      <w:adjustRightInd/>
      <w:textAlignment w:val="auto"/>
    </w:pPr>
    <w:rPr>
      <w:rFonts w:ascii="Times New Roman" w:hAnsi="Times New Roman" w:eastAsia="MS Mincho"/>
      <w:szCs w:val="24"/>
      <w:lang w:val="en-US" w:eastAsia="en-US"/>
    </w:rPr>
  </w:style>
  <w:style w:type="paragraph" w:styleId="17">
    <w:name w:val="List 2"/>
    <w:basedOn w:val="1"/>
    <w:semiHidden/>
    <w:unhideWhenUsed/>
    <w:uiPriority w:val="99"/>
    <w:pPr>
      <w:ind w:left="720" w:hanging="360"/>
      <w:contextualSpacing/>
    </w:pPr>
  </w:style>
  <w:style w:type="paragraph" w:styleId="18">
    <w:name w:val="Balloon Text"/>
    <w:basedOn w:val="1"/>
    <w:link w:val="71"/>
    <w:semiHidden/>
    <w:unhideWhenUsed/>
    <w:uiPriority w:val="99"/>
    <w:pPr>
      <w:spacing w:after="0"/>
    </w:pPr>
    <w:rPr>
      <w:rFonts w:ascii="Segoe UI" w:hAnsi="Segoe UI" w:cs="Segoe UI"/>
      <w:sz w:val="18"/>
      <w:szCs w:val="18"/>
    </w:rPr>
  </w:style>
  <w:style w:type="paragraph" w:styleId="19">
    <w:name w:val="footer"/>
    <w:basedOn w:val="20"/>
    <w:link w:val="44"/>
    <w:semiHidden/>
    <w:uiPriority w:val="0"/>
    <w:pPr>
      <w:widowControl w:val="0"/>
      <w:jc w:val="center"/>
    </w:pPr>
    <w:rPr>
      <w:rFonts w:cs="Arial"/>
      <w:b/>
      <w:bCs/>
      <w:i/>
      <w:iCs/>
      <w:sz w:val="18"/>
      <w:szCs w:val="18"/>
      <w:lang w:val="en-US"/>
    </w:rPr>
  </w:style>
  <w:style w:type="paragraph" w:styleId="20">
    <w:name w:val="header"/>
    <w:basedOn w:val="1"/>
    <w:link w:val="49"/>
    <w:unhideWhenUsed/>
    <w:uiPriority w:val="99"/>
    <w:pPr>
      <w:tabs>
        <w:tab w:val="center" w:pos="4680"/>
        <w:tab w:val="right" w:pos="9360"/>
      </w:tabs>
      <w:spacing w:after="0"/>
    </w:pPr>
  </w:style>
  <w:style w:type="paragraph" w:styleId="21">
    <w:name w:val="List"/>
    <w:basedOn w:val="1"/>
    <w:semiHidden/>
    <w:unhideWhenUsed/>
    <w:uiPriority w:val="99"/>
    <w:pPr>
      <w:ind w:left="360" w:hanging="360"/>
      <w:contextualSpacing/>
    </w:pPr>
  </w:style>
  <w:style w:type="paragraph" w:styleId="22">
    <w:name w:val="Normal (Web)"/>
    <w:basedOn w:val="1"/>
    <w:semiHidden/>
    <w:unhideWhenUsed/>
    <w:uiPriority w:val="99"/>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23">
    <w:name w:val="Title"/>
    <w:basedOn w:val="1"/>
    <w:next w:val="1"/>
    <w:link w:val="77"/>
    <w:qFormat/>
    <w:uiPriority w:val="10"/>
    <w:pPr>
      <w:spacing w:after="0"/>
      <w:contextualSpacing/>
    </w:pPr>
    <w:rPr>
      <w:rFonts w:asciiTheme="majorHAnsi" w:hAnsiTheme="majorHAnsi" w:eastAsiaTheme="majorEastAsia" w:cstheme="majorBidi"/>
      <w:spacing w:val="-10"/>
      <w:kern w:val="28"/>
      <w:sz w:val="56"/>
      <w:szCs w:val="56"/>
    </w:rPr>
  </w:style>
  <w:style w:type="paragraph" w:styleId="24">
    <w:name w:val="annotation subject"/>
    <w:basedOn w:val="15"/>
    <w:next w:val="15"/>
    <w:link w:val="70"/>
    <w:semiHidden/>
    <w:unhideWhenUsed/>
    <w:uiPriority w:val="99"/>
    <w:rPr>
      <w:b/>
      <w:bCs/>
    </w:rPr>
  </w:style>
  <w:style w:type="table" w:styleId="26">
    <w:name w:val="Table Grid"/>
    <w:basedOn w:val="2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22"/>
    <w:rPr>
      <w:b/>
      <w:bCs/>
    </w:rPr>
  </w:style>
  <w:style w:type="character" w:styleId="29">
    <w:name w:val="page number"/>
    <w:semiHidden/>
    <w:uiPriority w:val="0"/>
  </w:style>
  <w:style w:type="character" w:styleId="30">
    <w:name w:val="FollowedHyperlink"/>
    <w:basedOn w:val="27"/>
    <w:semiHidden/>
    <w:unhideWhenUsed/>
    <w:uiPriority w:val="99"/>
    <w:rPr>
      <w:color w:val="954F72" w:themeColor="followedHyperlink"/>
      <w:u w:val="single"/>
      <w14:textFill>
        <w14:solidFill>
          <w14:schemeClr w14:val="folHlink"/>
        </w14:solidFill>
      </w14:textFill>
    </w:rPr>
  </w:style>
  <w:style w:type="character" w:styleId="31">
    <w:name w:val="Emphasis"/>
    <w:basedOn w:val="27"/>
    <w:qFormat/>
    <w:uiPriority w:val="20"/>
    <w:rPr>
      <w:i/>
      <w:iCs/>
    </w:rPr>
  </w:style>
  <w:style w:type="character" w:styleId="32">
    <w:name w:val="Hyperlink"/>
    <w:basedOn w:val="27"/>
    <w:unhideWhenUsed/>
    <w:uiPriority w:val="99"/>
    <w:rPr>
      <w:color w:val="0563C1" w:themeColor="hyperlink"/>
      <w:u w:val="single"/>
      <w14:textFill>
        <w14:solidFill>
          <w14:schemeClr w14:val="hlink"/>
        </w14:solidFill>
      </w14:textFill>
    </w:rPr>
  </w:style>
  <w:style w:type="character" w:styleId="33">
    <w:name w:val="annotation reference"/>
    <w:basedOn w:val="27"/>
    <w:semiHidden/>
    <w:unhideWhenUsed/>
    <w:uiPriority w:val="99"/>
    <w:rPr>
      <w:sz w:val="16"/>
      <w:szCs w:val="16"/>
    </w:rPr>
  </w:style>
  <w:style w:type="character" w:customStyle="1" w:styleId="34">
    <w:name w:val="标题 1 Char"/>
    <w:basedOn w:val="27"/>
    <w:link w:val="2"/>
    <w:uiPriority w:val="0"/>
    <w:rPr>
      <w:rFonts w:ascii="Arial" w:hAnsi="Arial" w:eastAsia="Times New Roman" w:cs="Arial"/>
      <w:sz w:val="36"/>
      <w:szCs w:val="36"/>
      <w:lang w:val="en-GB" w:eastAsia="zh-CN"/>
    </w:rPr>
  </w:style>
  <w:style w:type="character" w:customStyle="1" w:styleId="35">
    <w:name w:val="标题 2 Char"/>
    <w:basedOn w:val="27"/>
    <w:link w:val="3"/>
    <w:qFormat/>
    <w:uiPriority w:val="0"/>
    <w:rPr>
      <w:rFonts w:ascii="Arial" w:hAnsi="Arial" w:eastAsia="Times New Roman" w:cs="Arial"/>
      <w:sz w:val="32"/>
      <w:szCs w:val="32"/>
      <w:lang w:val="en-GB" w:eastAsia="zh-CN"/>
    </w:rPr>
  </w:style>
  <w:style w:type="character" w:customStyle="1" w:styleId="36">
    <w:name w:val="标题 3 Char"/>
    <w:basedOn w:val="27"/>
    <w:link w:val="4"/>
    <w:uiPriority w:val="0"/>
    <w:rPr>
      <w:rFonts w:ascii="Arial" w:hAnsi="Arial" w:eastAsia="Times New Roman" w:cs="Arial"/>
      <w:sz w:val="28"/>
      <w:szCs w:val="28"/>
      <w:lang w:val="en-GB" w:eastAsia="zh-CN"/>
    </w:rPr>
  </w:style>
  <w:style w:type="character" w:customStyle="1" w:styleId="37">
    <w:name w:val="标题 4 Char"/>
    <w:basedOn w:val="27"/>
    <w:link w:val="5"/>
    <w:uiPriority w:val="0"/>
    <w:rPr>
      <w:rFonts w:ascii="Arial" w:hAnsi="Arial" w:eastAsia="Times New Roman" w:cs="Arial"/>
      <w:sz w:val="24"/>
      <w:szCs w:val="24"/>
      <w:lang w:val="en-GB" w:eastAsia="zh-CN"/>
    </w:rPr>
  </w:style>
  <w:style w:type="character" w:customStyle="1" w:styleId="38">
    <w:name w:val="标题 5 Char"/>
    <w:basedOn w:val="27"/>
    <w:link w:val="6"/>
    <w:uiPriority w:val="0"/>
    <w:rPr>
      <w:rFonts w:ascii="Arial" w:hAnsi="Arial" w:eastAsia="Times New Roman" w:cs="Arial"/>
      <w:lang w:val="en-GB" w:eastAsia="zh-CN"/>
    </w:rPr>
  </w:style>
  <w:style w:type="character" w:customStyle="1" w:styleId="39">
    <w:name w:val="标题 6 Char"/>
    <w:basedOn w:val="27"/>
    <w:link w:val="7"/>
    <w:uiPriority w:val="0"/>
    <w:rPr>
      <w:rFonts w:ascii="Arial" w:hAnsi="Arial" w:eastAsia="Times New Roman" w:cs="Arial"/>
      <w:sz w:val="20"/>
      <w:szCs w:val="20"/>
      <w:lang w:val="en-GB" w:eastAsia="zh-CN"/>
    </w:rPr>
  </w:style>
  <w:style w:type="character" w:customStyle="1" w:styleId="40">
    <w:name w:val="标题 7 Char"/>
    <w:basedOn w:val="27"/>
    <w:link w:val="8"/>
    <w:uiPriority w:val="0"/>
    <w:rPr>
      <w:rFonts w:ascii="Arial" w:hAnsi="Arial" w:eastAsia="Times New Roman" w:cs="Arial"/>
      <w:sz w:val="20"/>
      <w:szCs w:val="20"/>
      <w:lang w:val="en-GB" w:eastAsia="zh-CN"/>
    </w:rPr>
  </w:style>
  <w:style w:type="character" w:customStyle="1" w:styleId="41">
    <w:name w:val="标题 8 Char"/>
    <w:basedOn w:val="27"/>
    <w:link w:val="9"/>
    <w:qFormat/>
    <w:uiPriority w:val="0"/>
    <w:rPr>
      <w:rFonts w:ascii="Arial" w:hAnsi="Arial" w:eastAsia="Times New Roman" w:cs="Arial"/>
      <w:sz w:val="20"/>
      <w:szCs w:val="20"/>
      <w:lang w:val="en-GB" w:eastAsia="zh-CN"/>
    </w:rPr>
  </w:style>
  <w:style w:type="character" w:customStyle="1" w:styleId="42">
    <w:name w:val="标题 9 Char"/>
    <w:basedOn w:val="27"/>
    <w:link w:val="10"/>
    <w:uiPriority w:val="0"/>
    <w:rPr>
      <w:rFonts w:ascii="Arial" w:hAnsi="Arial" w:eastAsia="Times New Roman" w:cs="Arial"/>
      <w:sz w:val="20"/>
      <w:szCs w:val="20"/>
      <w:lang w:val="en-GB" w:eastAsia="zh-CN"/>
    </w:rPr>
  </w:style>
  <w:style w:type="paragraph" w:customStyle="1" w:styleId="43">
    <w:name w:val="3GPP_Header"/>
    <w:basedOn w:val="1"/>
    <w:qFormat/>
    <w:uiPriority w:val="0"/>
    <w:pPr>
      <w:tabs>
        <w:tab w:val="left" w:pos="1701"/>
        <w:tab w:val="right" w:pos="9639"/>
      </w:tabs>
      <w:spacing w:after="240"/>
    </w:pPr>
    <w:rPr>
      <w:b/>
      <w:sz w:val="24"/>
    </w:rPr>
  </w:style>
  <w:style w:type="character" w:customStyle="1" w:styleId="44">
    <w:name w:val="页脚 Char"/>
    <w:basedOn w:val="27"/>
    <w:link w:val="19"/>
    <w:semiHidden/>
    <w:uiPriority w:val="0"/>
    <w:rPr>
      <w:rFonts w:ascii="Arial" w:hAnsi="Arial" w:eastAsia="Times New Roman" w:cs="Arial"/>
      <w:b/>
      <w:bCs/>
      <w:i/>
      <w:iCs/>
      <w:sz w:val="18"/>
      <w:szCs w:val="18"/>
      <w:lang w:eastAsia="zh-CN"/>
    </w:rPr>
  </w:style>
  <w:style w:type="paragraph" w:customStyle="1" w:styleId="45">
    <w:name w:val="Reference"/>
    <w:basedOn w:val="1"/>
    <w:qFormat/>
    <w:uiPriority w:val="0"/>
    <w:pPr>
      <w:numPr>
        <w:ilvl w:val="0"/>
        <w:numId w:val="4"/>
      </w:numPr>
    </w:pPr>
  </w:style>
  <w:style w:type="paragraph" w:customStyle="1" w:styleId="46">
    <w:name w:val="Doc-text2"/>
    <w:basedOn w:val="1"/>
    <w:link w:val="47"/>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47">
    <w:name w:val="Doc-text2 Char"/>
    <w:link w:val="46"/>
    <w:qFormat/>
    <w:uiPriority w:val="0"/>
    <w:rPr>
      <w:rFonts w:ascii="Arial" w:hAnsi="Arial" w:eastAsia="MS Mincho" w:cs="Times New Roman"/>
      <w:sz w:val="20"/>
      <w:szCs w:val="24"/>
      <w:lang w:val="en-GB" w:eastAsia="en-GB"/>
    </w:rPr>
  </w:style>
  <w:style w:type="paragraph" w:styleId="48">
    <w:name w:val="No Spacing"/>
    <w:link w:val="81"/>
    <w:qFormat/>
    <w:uiPriority w:val="1"/>
    <w:pPr>
      <w:overflowPunct w:val="0"/>
      <w:autoSpaceDE w:val="0"/>
      <w:autoSpaceDN w:val="0"/>
      <w:adjustRightInd w:val="0"/>
      <w:spacing w:after="0" w:line="240" w:lineRule="auto"/>
      <w:jc w:val="both"/>
      <w:textAlignment w:val="baseline"/>
    </w:pPr>
    <w:rPr>
      <w:rFonts w:ascii="Arial" w:hAnsi="Arial" w:eastAsia="Times New Roman" w:cs="Times New Roman"/>
      <w:sz w:val="20"/>
      <w:szCs w:val="20"/>
      <w:lang w:val="en-GB" w:eastAsia="zh-CN" w:bidi="ar-SA"/>
    </w:rPr>
  </w:style>
  <w:style w:type="character" w:customStyle="1" w:styleId="49">
    <w:name w:val="页眉 Char"/>
    <w:basedOn w:val="27"/>
    <w:link w:val="20"/>
    <w:uiPriority w:val="99"/>
    <w:rPr>
      <w:rFonts w:ascii="Arial" w:hAnsi="Arial" w:eastAsia="Times New Roman" w:cs="Times New Roman"/>
      <w:sz w:val="20"/>
      <w:szCs w:val="20"/>
      <w:lang w:val="en-GB" w:eastAsia="zh-CN"/>
    </w:rPr>
  </w:style>
  <w:style w:type="paragraph" w:styleId="50">
    <w:name w:val="List Paragraph"/>
    <w:basedOn w:val="1"/>
    <w:link w:val="51"/>
    <w:qFormat/>
    <w:uiPriority w:val="34"/>
    <w:pPr>
      <w:overflowPunct/>
      <w:autoSpaceDE/>
      <w:autoSpaceDN/>
      <w:adjustRightInd/>
      <w:spacing w:after="160" w:line="259" w:lineRule="auto"/>
      <w:ind w:left="720"/>
      <w:contextualSpacing/>
      <w:jc w:val="left"/>
      <w:textAlignment w:val="auto"/>
    </w:pPr>
    <w:rPr>
      <w:rFonts w:asciiTheme="minorHAnsi" w:hAnsiTheme="minorHAnsi" w:eastAsiaTheme="minorHAnsi" w:cstheme="minorBidi"/>
      <w:sz w:val="22"/>
      <w:szCs w:val="22"/>
      <w:lang w:val="en-US" w:eastAsia="en-US"/>
    </w:rPr>
  </w:style>
  <w:style w:type="character" w:customStyle="1" w:styleId="51">
    <w:name w:val="列出段落 Char"/>
    <w:link w:val="50"/>
    <w:qFormat/>
    <w:locked/>
    <w:uiPriority w:val="34"/>
  </w:style>
  <w:style w:type="paragraph" w:customStyle="1" w:styleId="52">
    <w:name w:val="B1"/>
    <w:basedOn w:val="21"/>
    <w:link w:val="53"/>
    <w:qFormat/>
    <w:uiPriority w:val="0"/>
    <w:pPr>
      <w:spacing w:after="180"/>
      <w:ind w:left="568" w:hanging="284"/>
      <w:contextualSpacing w:val="0"/>
      <w:jc w:val="left"/>
    </w:pPr>
    <w:rPr>
      <w:rFonts w:ascii="Times New Roman" w:hAnsi="Times New Roman"/>
      <w:lang w:eastAsia="ja-JP"/>
    </w:rPr>
  </w:style>
  <w:style w:type="character" w:customStyle="1" w:styleId="53">
    <w:name w:val="B1 Char1"/>
    <w:link w:val="52"/>
    <w:qFormat/>
    <w:uiPriority w:val="0"/>
    <w:rPr>
      <w:rFonts w:ascii="Times New Roman" w:hAnsi="Times New Roman" w:eastAsia="Times New Roman" w:cs="Times New Roman"/>
      <w:sz w:val="20"/>
      <w:szCs w:val="20"/>
      <w:lang w:val="en-GB" w:eastAsia="ja-JP"/>
    </w:rPr>
  </w:style>
  <w:style w:type="paragraph" w:customStyle="1" w:styleId="54">
    <w:name w:val="B2"/>
    <w:basedOn w:val="17"/>
    <w:link w:val="55"/>
    <w:qFormat/>
    <w:uiPriority w:val="0"/>
    <w:pPr>
      <w:spacing w:after="180"/>
      <w:ind w:left="851" w:hanging="284"/>
      <w:contextualSpacing w:val="0"/>
      <w:jc w:val="left"/>
    </w:pPr>
    <w:rPr>
      <w:rFonts w:ascii="Times New Roman" w:hAnsi="Times New Roman"/>
      <w:lang w:eastAsia="ja-JP"/>
    </w:rPr>
  </w:style>
  <w:style w:type="character" w:customStyle="1" w:styleId="55">
    <w:name w:val="B2 Char"/>
    <w:link w:val="54"/>
    <w:qFormat/>
    <w:uiPriority w:val="0"/>
    <w:rPr>
      <w:rFonts w:ascii="Times New Roman" w:hAnsi="Times New Roman" w:eastAsia="Times New Roman" w:cs="Times New Roman"/>
      <w:sz w:val="20"/>
      <w:szCs w:val="20"/>
      <w:lang w:val="en-GB" w:eastAsia="ja-JP"/>
    </w:rPr>
  </w:style>
  <w:style w:type="paragraph" w:customStyle="1" w:styleId="56">
    <w:name w:val="B3"/>
    <w:basedOn w:val="11"/>
    <w:link w:val="57"/>
    <w:qFormat/>
    <w:uiPriority w:val="0"/>
    <w:pPr>
      <w:spacing w:after="180"/>
      <w:ind w:left="1135" w:hanging="284"/>
      <w:contextualSpacing w:val="0"/>
      <w:jc w:val="left"/>
    </w:pPr>
    <w:rPr>
      <w:rFonts w:ascii="Times New Roman" w:hAnsi="Times New Roman"/>
      <w:lang w:eastAsia="ja-JP"/>
    </w:rPr>
  </w:style>
  <w:style w:type="character" w:customStyle="1" w:styleId="57">
    <w:name w:val="B3 Char2"/>
    <w:link w:val="56"/>
    <w:qFormat/>
    <w:uiPriority w:val="0"/>
    <w:rPr>
      <w:rFonts w:ascii="Times New Roman" w:hAnsi="Times New Roman" w:eastAsia="Times New Roman" w:cs="Times New Roman"/>
      <w:sz w:val="20"/>
      <w:szCs w:val="20"/>
      <w:lang w:val="en-GB" w:eastAsia="ja-JP"/>
    </w:rPr>
  </w:style>
  <w:style w:type="paragraph" w:customStyle="1" w:styleId="58">
    <w:name w:val="TAL"/>
    <w:basedOn w:val="1"/>
    <w:link w:val="59"/>
    <w:uiPriority w:val="0"/>
    <w:pPr>
      <w:keepNext/>
      <w:keepLines/>
      <w:spacing w:after="0"/>
      <w:jc w:val="left"/>
    </w:pPr>
    <w:rPr>
      <w:sz w:val="18"/>
      <w:lang w:eastAsia="ja-JP"/>
    </w:rPr>
  </w:style>
  <w:style w:type="character" w:customStyle="1" w:styleId="59">
    <w:name w:val="TAL Car"/>
    <w:link w:val="58"/>
    <w:qFormat/>
    <w:uiPriority w:val="0"/>
    <w:rPr>
      <w:rFonts w:ascii="Arial" w:hAnsi="Arial" w:eastAsia="Times New Roman" w:cs="Times New Roman"/>
      <w:sz w:val="18"/>
      <w:szCs w:val="20"/>
      <w:lang w:val="en-GB" w:eastAsia="ja-JP"/>
    </w:rPr>
  </w:style>
  <w:style w:type="paragraph" w:customStyle="1" w:styleId="60">
    <w:name w:val="PL"/>
    <w:link w:val="61"/>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61">
    <w:name w:val="PL Char"/>
    <w:link w:val="60"/>
    <w:qFormat/>
    <w:uiPriority w:val="0"/>
    <w:rPr>
      <w:rFonts w:ascii="Courier New" w:hAnsi="Courier New" w:eastAsia="Times New Roman" w:cs="Times New Roman"/>
      <w:sz w:val="16"/>
      <w:szCs w:val="20"/>
      <w:shd w:val="clear" w:color="auto" w:fill="E6E6E6"/>
      <w:lang w:val="en-GB" w:eastAsia="en-GB"/>
    </w:rPr>
  </w:style>
  <w:style w:type="paragraph" w:customStyle="1" w:styleId="62">
    <w:name w:val="TH"/>
    <w:basedOn w:val="1"/>
    <w:link w:val="63"/>
    <w:uiPriority w:val="0"/>
    <w:pPr>
      <w:keepNext/>
      <w:keepLines/>
      <w:spacing w:before="60" w:after="180"/>
      <w:jc w:val="center"/>
    </w:pPr>
    <w:rPr>
      <w:b/>
      <w:lang w:eastAsia="ja-JP"/>
    </w:rPr>
  </w:style>
  <w:style w:type="character" w:customStyle="1" w:styleId="63">
    <w:name w:val="TH Char"/>
    <w:link w:val="62"/>
    <w:qFormat/>
    <w:uiPriority w:val="0"/>
    <w:rPr>
      <w:rFonts w:ascii="Arial" w:hAnsi="Arial" w:eastAsia="Times New Roman" w:cs="Times New Roman"/>
      <w:b/>
      <w:sz w:val="20"/>
      <w:szCs w:val="20"/>
      <w:lang w:val="en-GB" w:eastAsia="ja-JP"/>
    </w:rPr>
  </w:style>
  <w:style w:type="paragraph" w:customStyle="1" w:styleId="64">
    <w:name w:val="TAH"/>
    <w:basedOn w:val="65"/>
    <w:link w:val="66"/>
    <w:uiPriority w:val="0"/>
    <w:pPr>
      <w:keepNext/>
      <w:keepLines/>
      <w:spacing w:after="0"/>
      <w:jc w:val="center"/>
    </w:pPr>
    <w:rPr>
      <w:b/>
      <w:sz w:val="18"/>
      <w:lang w:eastAsia="ja-JP"/>
    </w:rPr>
  </w:style>
  <w:style w:type="paragraph" w:customStyle="1" w:styleId="65">
    <w:name w:val="TAC"/>
    <w:basedOn w:val="58"/>
    <w:qFormat/>
    <w:uiPriority w:val="0"/>
    <w:pPr>
      <w:jc w:val="center"/>
    </w:pPr>
  </w:style>
  <w:style w:type="character" w:customStyle="1" w:styleId="66">
    <w:name w:val="TAH Car"/>
    <w:link w:val="64"/>
    <w:qFormat/>
    <w:locked/>
    <w:uiPriority w:val="0"/>
    <w:rPr>
      <w:rFonts w:ascii="Arial" w:hAnsi="Arial" w:eastAsia="Times New Roman" w:cs="Times New Roman"/>
      <w:b/>
      <w:sz w:val="18"/>
      <w:szCs w:val="20"/>
      <w:lang w:val="en-GB" w:eastAsia="ja-JP"/>
    </w:rPr>
  </w:style>
  <w:style w:type="character" w:customStyle="1" w:styleId="67">
    <w:name w:val="EmailDiscussion Char"/>
    <w:link w:val="68"/>
    <w:locked/>
    <w:uiPriority w:val="0"/>
    <w:rPr>
      <w:rFonts w:ascii="Arial" w:hAnsi="Arial" w:eastAsia="MS Mincho" w:cs="Arial"/>
      <w:b/>
      <w:szCs w:val="24"/>
    </w:rPr>
  </w:style>
  <w:style w:type="paragraph" w:customStyle="1" w:styleId="68">
    <w:name w:val="EmailDiscussion"/>
    <w:basedOn w:val="1"/>
    <w:next w:val="1"/>
    <w:link w:val="67"/>
    <w:qFormat/>
    <w:uiPriority w:val="0"/>
    <w:pPr>
      <w:numPr>
        <w:ilvl w:val="0"/>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69">
    <w:name w:val="批注文字 Char"/>
    <w:basedOn w:val="27"/>
    <w:link w:val="15"/>
    <w:qFormat/>
    <w:uiPriority w:val="99"/>
    <w:rPr>
      <w:rFonts w:ascii="Arial" w:hAnsi="Arial" w:eastAsia="Times New Roman" w:cs="Times New Roman"/>
      <w:sz w:val="20"/>
      <w:szCs w:val="20"/>
      <w:lang w:val="en-GB" w:eastAsia="zh-CN"/>
    </w:rPr>
  </w:style>
  <w:style w:type="character" w:customStyle="1" w:styleId="70">
    <w:name w:val="批注主题 Char"/>
    <w:basedOn w:val="69"/>
    <w:link w:val="24"/>
    <w:semiHidden/>
    <w:uiPriority w:val="99"/>
    <w:rPr>
      <w:rFonts w:ascii="Arial" w:hAnsi="Arial" w:eastAsia="Times New Roman" w:cs="Times New Roman"/>
      <w:b/>
      <w:bCs/>
      <w:sz w:val="20"/>
      <w:szCs w:val="20"/>
      <w:lang w:val="en-GB" w:eastAsia="zh-CN"/>
    </w:rPr>
  </w:style>
  <w:style w:type="character" w:customStyle="1" w:styleId="71">
    <w:name w:val="批注框文本 Char"/>
    <w:basedOn w:val="27"/>
    <w:link w:val="18"/>
    <w:semiHidden/>
    <w:uiPriority w:val="99"/>
    <w:rPr>
      <w:rFonts w:ascii="Segoe UI" w:hAnsi="Segoe UI" w:eastAsia="Times New Roman" w:cs="Segoe UI"/>
      <w:sz w:val="18"/>
      <w:szCs w:val="18"/>
      <w:lang w:val="en-GB" w:eastAsia="zh-CN"/>
    </w:rPr>
  </w:style>
  <w:style w:type="paragraph" w:customStyle="1" w:styleId="72">
    <w:name w:val="x_msonospacing"/>
    <w:basedOn w:val="1"/>
    <w:uiPriority w:val="0"/>
    <w:pPr>
      <w:overflowPunct/>
      <w:autoSpaceDE/>
      <w:autoSpaceDN/>
      <w:adjustRightInd/>
      <w:spacing w:after="0"/>
      <w:jc w:val="left"/>
      <w:textAlignment w:val="auto"/>
    </w:pPr>
    <w:rPr>
      <w:rFonts w:ascii="Calibri" w:hAnsi="Calibri" w:cs="Calibri" w:eastAsiaTheme="minorHAnsi"/>
      <w:sz w:val="22"/>
      <w:szCs w:val="22"/>
      <w:lang w:val="en-US" w:eastAsia="en-US"/>
    </w:rPr>
  </w:style>
  <w:style w:type="character" w:customStyle="1" w:styleId="73">
    <w:name w:val="B1 Char"/>
    <w:qFormat/>
    <w:uiPriority w:val="0"/>
    <w:rPr>
      <w:rFonts w:eastAsia="Times New Roman"/>
    </w:rPr>
  </w:style>
  <w:style w:type="paragraph" w:customStyle="1" w:styleId="74">
    <w:name w:val="Doc-comment"/>
    <w:basedOn w:val="1"/>
    <w:next w:val="46"/>
    <w:qFormat/>
    <w:uiPriority w:val="0"/>
    <w:pPr>
      <w:tabs>
        <w:tab w:val="left" w:pos="1622"/>
      </w:tabs>
      <w:spacing w:after="0"/>
      <w:ind w:left="1622" w:hanging="363"/>
      <w:jc w:val="left"/>
    </w:pPr>
    <w:rPr>
      <w:i/>
      <w:lang w:eastAsia="ja-JP"/>
    </w:rPr>
  </w:style>
  <w:style w:type="paragraph" w:customStyle="1" w:styleId="75">
    <w:name w:val="Doc-title"/>
    <w:basedOn w:val="1"/>
    <w:next w:val="46"/>
    <w:link w:val="76"/>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76">
    <w:name w:val="Doc-title Char"/>
    <w:link w:val="75"/>
    <w:qFormat/>
    <w:uiPriority w:val="0"/>
    <w:rPr>
      <w:rFonts w:ascii="Arial" w:hAnsi="Arial" w:eastAsia="MS Mincho" w:cs="Times New Roman"/>
      <w:sz w:val="20"/>
      <w:szCs w:val="24"/>
      <w:lang w:val="en-GB" w:eastAsia="en-GB"/>
    </w:rPr>
  </w:style>
  <w:style w:type="character" w:customStyle="1" w:styleId="77">
    <w:name w:val="标题 Char"/>
    <w:basedOn w:val="27"/>
    <w:link w:val="23"/>
    <w:uiPriority w:val="10"/>
    <w:rPr>
      <w:rFonts w:asciiTheme="majorHAnsi" w:hAnsiTheme="majorHAnsi" w:eastAsiaTheme="majorEastAsia" w:cstheme="majorBidi"/>
      <w:spacing w:val="-10"/>
      <w:kern w:val="28"/>
      <w:sz w:val="56"/>
      <w:szCs w:val="56"/>
      <w:lang w:val="en-GB" w:eastAsia="zh-CN"/>
    </w:rPr>
  </w:style>
  <w:style w:type="character" w:customStyle="1" w:styleId="78">
    <w:name w:val="未处理的提及1"/>
    <w:basedOn w:val="27"/>
    <w:semiHidden/>
    <w:unhideWhenUsed/>
    <w:uiPriority w:val="99"/>
    <w:rPr>
      <w:color w:val="605E5C"/>
      <w:shd w:val="clear" w:color="auto" w:fill="E1DFDD"/>
    </w:rPr>
  </w:style>
  <w:style w:type="character" w:customStyle="1" w:styleId="79">
    <w:name w:val="正文文本 Char"/>
    <w:basedOn w:val="27"/>
    <w:link w:val="16"/>
    <w:qFormat/>
    <w:uiPriority w:val="0"/>
    <w:rPr>
      <w:rFonts w:ascii="Times New Roman" w:hAnsi="Times New Roman" w:eastAsia="MS Mincho" w:cs="Times New Roman"/>
      <w:sz w:val="20"/>
      <w:szCs w:val="24"/>
    </w:rPr>
  </w:style>
  <w:style w:type="paragraph" w:customStyle="1" w:styleId="80">
    <w:name w:val="Observation"/>
    <w:basedOn w:val="1"/>
    <w:qFormat/>
    <w:uiPriority w:val="0"/>
    <w:pPr>
      <w:numPr>
        <w:ilvl w:val="0"/>
        <w:numId w:val="6"/>
      </w:numPr>
      <w:tabs>
        <w:tab w:val="left" w:pos="1701"/>
      </w:tabs>
    </w:pPr>
    <w:rPr>
      <w:b/>
      <w:bCs/>
    </w:rPr>
  </w:style>
  <w:style w:type="character" w:customStyle="1" w:styleId="81">
    <w:name w:val="无间隔 Char"/>
    <w:basedOn w:val="27"/>
    <w:link w:val="48"/>
    <w:uiPriority w:val="1"/>
    <w:rPr>
      <w:rFonts w:ascii="Arial" w:hAnsi="Arial" w:eastAsia="Times New Roman" w:cs="Times New Roman"/>
      <w:sz w:val="20"/>
      <w:szCs w:val="20"/>
      <w:lang w:val="en-GB" w:eastAsia="zh-CN"/>
    </w:rPr>
  </w:style>
  <w:style w:type="paragraph" w:customStyle="1" w:styleId="82">
    <w:name w:val="Proposal"/>
    <w:basedOn w:val="16"/>
    <w:qFormat/>
    <w:uiPriority w:val="0"/>
    <w:pPr>
      <w:tabs>
        <w:tab w:val="left" w:pos="1701"/>
      </w:tabs>
      <w:overflowPunct w:val="0"/>
      <w:autoSpaceDE w:val="0"/>
      <w:autoSpaceDN w:val="0"/>
      <w:adjustRightInd w:val="0"/>
      <w:textAlignment w:val="baseline"/>
    </w:pPr>
    <w:rPr>
      <w:rFonts w:ascii="Arial" w:hAnsi="Arial" w:eastAsia="等线"/>
      <w:b/>
      <w:bCs/>
      <w:szCs w:val="20"/>
      <w:lang w:val="en-GB" w:eastAsia="zh-CN"/>
    </w:rPr>
  </w:style>
  <w:style w:type="character" w:customStyle="1" w:styleId="83">
    <w:name w:val="NO Char"/>
    <w:link w:val="84"/>
    <w:qFormat/>
    <w:uiPriority w:val="0"/>
    <w:rPr>
      <w:rFonts w:ascii="Times New Roman" w:hAnsi="Times New Roman" w:eastAsia="Times New Roman"/>
    </w:rPr>
  </w:style>
  <w:style w:type="paragraph" w:customStyle="1" w:styleId="84">
    <w:name w:val="NO"/>
    <w:basedOn w:val="1"/>
    <w:link w:val="83"/>
    <w:qFormat/>
    <w:uiPriority w:val="0"/>
    <w:pPr>
      <w:keepLines/>
      <w:spacing w:after="180"/>
      <w:ind w:left="1135" w:hanging="851"/>
      <w:jc w:val="left"/>
    </w:pPr>
    <w:rPr>
      <w:rFonts w:ascii="Times New Roman" w:hAnsi="Times New Roman" w:cstheme="minorBidi"/>
      <w:sz w:val="22"/>
      <w:szCs w:val="22"/>
      <w:lang w:val="en-US" w:eastAsia="en-US"/>
    </w:rPr>
  </w:style>
  <w:style w:type="paragraph" w:customStyle="1" w:styleId="85">
    <w:name w:val="ComeBack"/>
    <w:basedOn w:val="1"/>
    <w:next w:val="1"/>
    <w:uiPriority w:val="0"/>
    <w:pPr>
      <w:numPr>
        <w:ilvl w:val="0"/>
        <w:numId w:val="7"/>
      </w:numPr>
      <w:overflowPunct/>
      <w:autoSpaceDE/>
      <w:autoSpaceDN/>
      <w:adjustRightInd/>
      <w:spacing w:after="0"/>
      <w:jc w:val="left"/>
      <w:textAlignment w:val="auto"/>
    </w:pPr>
    <w:rPr>
      <w:rFonts w:eastAsia="MS Mincho"/>
      <w:szCs w:val="24"/>
      <w:lang w:eastAsia="en-GB"/>
    </w:rPr>
  </w:style>
  <w:style w:type="character" w:customStyle="1" w:styleId="86">
    <w:name w:val="题注 Char"/>
    <w:link w:val="14"/>
    <w:uiPriority w:val="0"/>
    <w:rPr>
      <w:rFonts w:ascii="Times New Roman" w:hAnsi="Times New Roman" w:eastAsia="Malgun Gothic" w:cs="Times New Roman"/>
      <w:b/>
      <w:bCs/>
      <w:sz w:val="20"/>
      <w:szCs w:val="20"/>
      <w:lang w:val="en-GB"/>
    </w:rPr>
  </w:style>
  <w:style w:type="paragraph" w:customStyle="1" w:styleId="87">
    <w:name w:val="comments"/>
    <w:basedOn w:val="1"/>
    <w:uiPriority w:val="0"/>
    <w:pPr>
      <w:overflowPunct/>
      <w:autoSpaceDE/>
      <w:autoSpaceDN/>
      <w:adjustRightInd/>
      <w:spacing w:before="100" w:beforeAutospacing="1" w:after="100" w:afterAutospacing="1"/>
      <w:jc w:val="left"/>
      <w:textAlignment w:val="auto"/>
    </w:pPr>
    <w:rPr>
      <w:rFonts w:ascii="Calibri" w:hAnsi="Calibri" w:cs="Calibri" w:eastAsiaTheme="minorHAnsi"/>
      <w:sz w:val="22"/>
      <w:szCs w:val="22"/>
      <w:lang w:val="en-US" w:eastAsia="en-US"/>
    </w:rPr>
  </w:style>
  <w:style w:type="paragraph" w:customStyle="1" w:styleId="88">
    <w:name w:val="Comments"/>
    <w:basedOn w:val="1"/>
    <w:link w:val="89"/>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89">
    <w:name w:val="Comments Char"/>
    <w:link w:val="88"/>
    <w:qFormat/>
    <w:uiPriority w:val="0"/>
    <w:rPr>
      <w:rFonts w:ascii="Arial" w:hAnsi="Arial" w:eastAsia="MS Mincho" w:cs="Times New Roman"/>
      <w:i/>
      <w:sz w:val="18"/>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23300-D672-4A91-9120-D80558C49871}">
  <ds:schemaRefs/>
</ds:datastoreItem>
</file>

<file path=customXml/itemProps3.xml><?xml version="1.0" encoding="utf-8"?>
<ds:datastoreItem xmlns:ds="http://schemas.openxmlformats.org/officeDocument/2006/customXml" ds:itemID="{1B423765-B270-44FE-B282-5319F430ABC9}">
  <ds:schemaRefs/>
</ds:datastoreItem>
</file>

<file path=customXml/itemProps4.xml><?xml version="1.0" encoding="utf-8"?>
<ds:datastoreItem xmlns:ds="http://schemas.openxmlformats.org/officeDocument/2006/customXml" ds:itemID="{4C3EA02E-1F63-4490-95BC-AFCFF53D6945}">
  <ds:schemaRefs/>
</ds:datastoreItem>
</file>

<file path=customXml/itemProps5.xml><?xml version="1.0" encoding="utf-8"?>
<ds:datastoreItem xmlns:ds="http://schemas.openxmlformats.org/officeDocument/2006/customXml" ds:itemID="{D1926E2D-CEFB-452D-BA0D-51C09AE4F5FA}">
  <ds:schemaRefs/>
</ds:datastoreItem>
</file>

<file path=docProps/app.xml><?xml version="1.0" encoding="utf-8"?>
<Properties xmlns="http://schemas.openxmlformats.org/officeDocument/2006/extended-properties" xmlns:vt="http://schemas.openxmlformats.org/officeDocument/2006/docPropsVTypes">
  <Template>Normal</Template>
  <Company>InterDigital</Company>
  <Pages>9</Pages>
  <Words>3367</Words>
  <Characters>19194</Characters>
  <Lines>159</Lines>
  <Paragraphs>45</Paragraphs>
  <TotalTime>0</TotalTime>
  <ScaleCrop>false</ScaleCrop>
  <LinksUpToDate>false</LinksUpToDate>
  <CharactersWithSpaces>22516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2022-01-24T14:10:00Z</dcterms:created>
  <dc:creator>InterDigital</dc:creator>
  <cp:lastModifiedBy>ZTE-QZH</cp:lastModifiedBy>
  <dcterms:modified xsi:type="dcterms:W3CDTF">2022-01-24T16:14:22Z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a9edf49dd4345f296c0180963a4b94f">
    <vt:lpwstr>CWM7ae1GXNkkxKs8IrKsxLjuMdK4LO6et5pFwQ50tmNm09hRUzW6khHQe1fZJXqmzWgmA73XEZQW4zXsLVGlw8P5Q==</vt:lpwstr>
  </property>
  <property fmtid="{D5CDD505-2E9C-101B-9397-08002B2CF9AE}" pid="4" name="KSOProductBuildVer">
    <vt:lpwstr>2052-11.8.2.9022</vt:lpwstr>
  </property>
</Properties>
</file>