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[AT116bis-e][058][ePowSav]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[AT116bis-e][058][ePowSav]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 Bergström</w:t>
            </w:r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r>
              <w:rPr>
                <w:szCs w:val="20"/>
                <w:lang w:val="en-US" w:eastAsia="ja-JP"/>
              </w:rPr>
              <w:t>Sequans</w:t>
            </w:r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 Cayron</w:t>
            </w:r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2B9D2071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Futurewei</w:t>
            </w:r>
          </w:p>
        </w:tc>
        <w:tc>
          <w:tcPr>
            <w:tcW w:w="2687" w:type="dxa"/>
          </w:tcPr>
          <w:p w14:paraId="49C85F3A" w14:textId="297614F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Yunsong Yang</w:t>
            </w:r>
          </w:p>
        </w:tc>
        <w:tc>
          <w:tcPr>
            <w:tcW w:w="4903" w:type="dxa"/>
          </w:tcPr>
          <w:p w14:paraId="26FA0345" w14:textId="275CD21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yyang1@futurewei.com</w:t>
            </w:r>
          </w:p>
        </w:tc>
      </w:tr>
      <w:tr w:rsidR="006D2F6E" w14:paraId="09B6D501" w14:textId="77777777" w:rsidTr="008479C5">
        <w:tc>
          <w:tcPr>
            <w:tcW w:w="1760" w:type="dxa"/>
          </w:tcPr>
          <w:p w14:paraId="4F36C157" w14:textId="58632358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2687" w:type="dxa"/>
          </w:tcPr>
          <w:p w14:paraId="02A40C5D" w14:textId="6E4FCC7E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宋体" w:hAnsi="Times New Roman"/>
                <w:szCs w:val="20"/>
                <w:lang w:eastAsia="zh-CN"/>
              </w:rPr>
              <w:t>Jagdeep Singh</w:t>
            </w:r>
          </w:p>
        </w:tc>
        <w:tc>
          <w:tcPr>
            <w:tcW w:w="4903" w:type="dxa"/>
          </w:tcPr>
          <w:p w14:paraId="6A7AF285" w14:textId="066502B3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宋体" w:hAnsi="Times New Roman"/>
                <w:szCs w:val="20"/>
                <w:lang w:eastAsia="zh-CN"/>
              </w:rPr>
              <w:t>jagdeep.singh6@huawei.com</w:t>
            </w: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5B22C2C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M</w:t>
            </w:r>
            <w:r>
              <w:rPr>
                <w:rFonts w:eastAsia="PMingLiU"/>
                <w:szCs w:val="20"/>
                <w:lang w:eastAsia="zh-TW"/>
              </w:rPr>
              <w:t>ediaTek</w:t>
            </w:r>
          </w:p>
        </w:tc>
        <w:tc>
          <w:tcPr>
            <w:tcW w:w="2687" w:type="dxa"/>
          </w:tcPr>
          <w:p w14:paraId="5CFEC5BC" w14:textId="755C53CC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i-Chuan TSENG</w:t>
            </w:r>
          </w:p>
        </w:tc>
        <w:tc>
          <w:tcPr>
            <w:tcW w:w="4903" w:type="dxa"/>
          </w:tcPr>
          <w:p w14:paraId="34F4A11A" w14:textId="2A8F9616" w:rsidR="0027364F" w:rsidRPr="00F852F0" w:rsidRDefault="00F852F0" w:rsidP="008479C5">
            <w:pPr>
              <w:spacing w:after="0"/>
              <w:rPr>
                <w:rFonts w:eastAsia="PMingLiU"/>
                <w:szCs w:val="20"/>
                <w:lang w:eastAsia="zh-TW"/>
              </w:rPr>
            </w:pPr>
            <w:r>
              <w:rPr>
                <w:rFonts w:eastAsia="PMingLiU" w:hint="eastAsia"/>
                <w:szCs w:val="20"/>
                <w:lang w:eastAsia="zh-TW"/>
              </w:rPr>
              <w:t>l</w:t>
            </w:r>
            <w:r>
              <w:rPr>
                <w:rFonts w:eastAsia="PMingLiU"/>
                <w:szCs w:val="20"/>
                <w:lang w:eastAsia="zh-TW"/>
              </w:rPr>
              <w:t>i-chuan.tseng@mediatek.com</w:t>
            </w: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AAB3234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2687" w:type="dxa"/>
          </w:tcPr>
          <w:p w14:paraId="61863240" w14:textId="692EB91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C</w:t>
            </w:r>
            <w:r>
              <w:rPr>
                <w:szCs w:val="20"/>
                <w:lang w:eastAsia="zh-CN"/>
              </w:rPr>
              <w:t>henli</w:t>
            </w:r>
          </w:p>
        </w:tc>
        <w:tc>
          <w:tcPr>
            <w:tcW w:w="4903" w:type="dxa"/>
          </w:tcPr>
          <w:p w14:paraId="7442AB58" w14:textId="2C260ED5" w:rsidR="0027364F" w:rsidRDefault="009D0A79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Chenli5g@vivo.com</w:t>
            </w: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4E4A4C82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Nokia</w:t>
            </w:r>
          </w:p>
        </w:tc>
        <w:tc>
          <w:tcPr>
            <w:tcW w:w="2687" w:type="dxa"/>
          </w:tcPr>
          <w:p w14:paraId="584C16EB" w14:textId="21E00B00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Chunli Wu</w:t>
            </w:r>
          </w:p>
        </w:tc>
        <w:tc>
          <w:tcPr>
            <w:tcW w:w="4903" w:type="dxa"/>
          </w:tcPr>
          <w:p w14:paraId="7A182696" w14:textId="7E4FEAA1" w:rsidR="0027364F" w:rsidRDefault="00B706A1" w:rsidP="008479C5">
            <w:pPr>
              <w:spacing w:after="0"/>
              <w:rPr>
                <w:szCs w:val="20"/>
                <w:lang w:eastAsia="ja-JP"/>
              </w:rPr>
            </w:pPr>
            <w:hyperlink r:id="rId11" w:history="1">
              <w:r w:rsidRPr="003933FF">
                <w:rPr>
                  <w:rStyle w:val="Hyperlink"/>
                  <w:szCs w:val="20"/>
                  <w:lang w:eastAsia="ja-JP"/>
                </w:rPr>
                <w:t>Chunli.wu@nokia-sbell.com</w:t>
              </w:r>
            </w:hyperlink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B1136A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6AC2B0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宋体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宋体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宋体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宋体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宋体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宋体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宋体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宋体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Leave RAN2 to decide whether Need for the gNB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>Whether Need for the gNB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(i.e.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when the UE and gNB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>Whether Need for the gNB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>‘optional with capability signalling’ (as gNB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>. The PEI and subgrouping capabilities need to be both known by the gNB so that the gNB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gNB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UERadioPagingInfo IE (new) in the </w:t>
      </w:r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r w:rsidRPr="00CB5090">
        <w:rPr>
          <w:rStyle w:val="normaltextrun"/>
          <w:rFonts w:eastAsia="Malgun Gothic"/>
          <w:szCs w:val="20"/>
          <w:lang w:val="en-US"/>
        </w:rPr>
        <w:t xml:space="preserve">gNB interprets UE’s reported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>informing the PEI/subgroup capability over the Xn</w:t>
      </w:r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>UE Radio Capability for Paging is not present on the F1 interface, but as PEI transmission is typically handled by lower layers in gNB-DU, the information about whether PEI shall be transmitted before a PO needs to be provided to the gNB-DU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gNB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(-ies)</w:t>
      </w:r>
      <w:r w:rsidR="00ED6196">
        <w:rPr>
          <w:rStyle w:val="normaltextrun"/>
          <w:rFonts w:eastAsia="Malgun Gothic"/>
          <w:szCs w:val="20"/>
        </w:rPr>
        <w:t xml:space="preserve"> (e.g.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capability(-ies)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r w:rsidR="00F76A58" w:rsidRPr="00F76A58">
        <w:rPr>
          <w:rStyle w:val="normaltextrun"/>
          <w:rFonts w:eastAsia="Malgun Gothic"/>
          <w:szCs w:val="20"/>
        </w:rPr>
        <w:t xml:space="preserve">gNB interprets UE’s reported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UE-RadioPagingInfo</w:t>
      </w:r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>that there maybe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capability(-ies)</w:t>
      </w:r>
      <w:r w:rsidRPr="0A7332AD">
        <w:rPr>
          <w:rStyle w:val="normaltextrun"/>
          <w:rFonts w:eastAsia="Malgun Gothic"/>
        </w:rPr>
        <w:t xml:space="preserve"> (e.g. PEI capability, UEID based subgrouping capability or the combined capability of PEI and UEID based subgrouping) are ‘optional with capability signalling’ as gNB needs to know the paging enhancement capability(-ies)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89FB9E3" w:rsidR="009B3FDE" w:rsidRDefault="005A3A96" w:rsidP="008479C5">
            <w:r>
              <w:t>Futurewei</w:t>
            </w:r>
          </w:p>
        </w:tc>
        <w:tc>
          <w:tcPr>
            <w:tcW w:w="1134" w:type="dxa"/>
          </w:tcPr>
          <w:p w14:paraId="1AE012F7" w14:textId="631AA6E7" w:rsidR="009B3FDE" w:rsidRDefault="005A3A96" w:rsidP="008479C5">
            <w:r>
              <w:t>Yes</w:t>
            </w:r>
          </w:p>
        </w:tc>
        <w:tc>
          <w:tcPr>
            <w:tcW w:w="7089" w:type="dxa"/>
          </w:tcPr>
          <w:p w14:paraId="21445211" w14:textId="77777777" w:rsidR="009B3FDE" w:rsidRDefault="009B3FDE" w:rsidP="008479C5"/>
        </w:tc>
      </w:tr>
      <w:tr w:rsidR="006D2F6E" w14:paraId="112C3652" w14:textId="77777777" w:rsidTr="008479C5">
        <w:tc>
          <w:tcPr>
            <w:tcW w:w="1696" w:type="dxa"/>
          </w:tcPr>
          <w:p w14:paraId="4F6A9E44" w14:textId="61B5C281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484686F2" w14:textId="14F3C27B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54B3CF80" w14:textId="77777777" w:rsidR="006D2F6E" w:rsidRDefault="006D2F6E" w:rsidP="006D2F6E"/>
        </w:tc>
      </w:tr>
      <w:tr w:rsidR="00F852F0" w14:paraId="0C1594A7" w14:textId="77777777" w:rsidTr="008479C5">
        <w:tc>
          <w:tcPr>
            <w:tcW w:w="1696" w:type="dxa"/>
          </w:tcPr>
          <w:p w14:paraId="219FF24D" w14:textId="5222C20E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bookmarkStart w:id="3" w:name="_Hlk93667410"/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01F407A" w14:textId="7869D9E1" w:rsidR="00F852F0" w:rsidRPr="00F852F0" w:rsidRDefault="00F852F0" w:rsidP="006D2F6E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19F94D42" w14:textId="77777777" w:rsidR="00F852F0" w:rsidRDefault="00F852F0" w:rsidP="006D2F6E"/>
        </w:tc>
      </w:tr>
      <w:tr w:rsidR="00255620" w14:paraId="7BF2E8D6" w14:textId="77777777" w:rsidTr="008479C5">
        <w:tc>
          <w:tcPr>
            <w:tcW w:w="1696" w:type="dxa"/>
          </w:tcPr>
          <w:p w14:paraId="48FBCDA7" w14:textId="452BAE08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7F0D487F" w14:textId="0F1A85DD" w:rsidR="00255620" w:rsidRDefault="00255620" w:rsidP="006D2F6E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BA31F42" w14:textId="77777777" w:rsidR="00255620" w:rsidRDefault="00255620" w:rsidP="006D2F6E"/>
        </w:tc>
      </w:tr>
      <w:tr w:rsidR="00B706A1" w14:paraId="601488BA" w14:textId="77777777" w:rsidTr="008479C5">
        <w:tc>
          <w:tcPr>
            <w:tcW w:w="1696" w:type="dxa"/>
          </w:tcPr>
          <w:p w14:paraId="7003B8CE" w14:textId="643FA7CC" w:rsidR="00B706A1" w:rsidRDefault="00B706A1" w:rsidP="006D2F6E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59D59AF0" w14:textId="7A1DE4C8" w:rsidR="00B706A1" w:rsidRDefault="00B706A1" w:rsidP="006D2F6E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A5DCCD" w14:textId="77777777" w:rsidR="00B706A1" w:rsidRDefault="00B706A1" w:rsidP="006D2F6E"/>
        </w:tc>
      </w:tr>
      <w:bookmarkEnd w:id="3"/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 xml:space="preserve">capability(-ies) can be included into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(i.e.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5A3A96" w14:paraId="442BD283" w14:textId="77777777" w:rsidTr="008479C5">
        <w:tc>
          <w:tcPr>
            <w:tcW w:w="1696" w:type="dxa"/>
          </w:tcPr>
          <w:p w14:paraId="6EFF9B2E" w14:textId="31CFC309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5EF131BD" w14:textId="0A79F9B4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660E0D94" w14:textId="77777777" w:rsidR="005A3A96" w:rsidRDefault="005A3A96" w:rsidP="005A3A96"/>
        </w:tc>
      </w:tr>
      <w:tr w:rsidR="006D2F6E" w14:paraId="4E12AD76" w14:textId="77777777" w:rsidTr="008479C5">
        <w:tc>
          <w:tcPr>
            <w:tcW w:w="1696" w:type="dxa"/>
          </w:tcPr>
          <w:p w14:paraId="7CC2DC95" w14:textId="05B747B1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5A953B76" w14:textId="6345F2DE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2A16F71C" w14:textId="77777777" w:rsidR="006D2F6E" w:rsidRDefault="006D2F6E" w:rsidP="006D2F6E"/>
        </w:tc>
      </w:tr>
      <w:tr w:rsidR="00AC0A44" w14:paraId="16AE1A3E" w14:textId="77777777" w:rsidTr="00AC0A44">
        <w:tc>
          <w:tcPr>
            <w:tcW w:w="1696" w:type="dxa"/>
          </w:tcPr>
          <w:p w14:paraId="23862C5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6D5F12B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735ECB67" w14:textId="77777777" w:rsidR="00AC0A44" w:rsidRDefault="00AC0A44" w:rsidP="00C40DAB"/>
        </w:tc>
      </w:tr>
      <w:tr w:rsidR="00255620" w14:paraId="2CBD3ADE" w14:textId="77777777" w:rsidTr="00AC0A44">
        <w:tc>
          <w:tcPr>
            <w:tcW w:w="1696" w:type="dxa"/>
          </w:tcPr>
          <w:p w14:paraId="47C51823" w14:textId="2FA9C53B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6F3BD45F" w14:textId="7AAE32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54F42A9" w14:textId="77777777" w:rsidR="00255620" w:rsidRDefault="00255620" w:rsidP="00C40DAB"/>
        </w:tc>
      </w:tr>
      <w:tr w:rsidR="00B706A1" w14:paraId="046EF362" w14:textId="77777777" w:rsidTr="00AC0A44">
        <w:tc>
          <w:tcPr>
            <w:tcW w:w="1696" w:type="dxa"/>
          </w:tcPr>
          <w:p w14:paraId="684A2488" w14:textId="29B58708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F6869FE" w14:textId="7B049DAA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63B72763" w14:textId="77777777" w:rsidR="00B706A1" w:rsidRDefault="00B706A1" w:rsidP="00C40DAB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r w:rsidRPr="120625C8">
        <w:rPr>
          <w:rStyle w:val="normaltextrun"/>
          <w:rFonts w:eastAsia="Malgun Gothic"/>
        </w:rPr>
        <w:t xml:space="preserve">gNB interprets UE’s reported </w:t>
      </w:r>
      <w:r w:rsidRPr="120625C8">
        <w:rPr>
          <w:rStyle w:val="normaltextrun"/>
          <w:rFonts w:eastAsia="Malgun Gothic"/>
          <w:i/>
        </w:rPr>
        <w:t>UECapabilityInformation</w:t>
      </w:r>
      <w:r w:rsidRPr="120625C8">
        <w:rPr>
          <w:rStyle w:val="normaltextrun"/>
          <w:rFonts w:eastAsia="Malgun Gothic"/>
        </w:rPr>
        <w:t xml:space="preserve">, copies the </w:t>
      </w:r>
      <w:r w:rsidRPr="120625C8">
        <w:rPr>
          <w:rStyle w:val="normaltextrun"/>
          <w:rFonts w:eastAsia="Malgun Gothic"/>
          <w:i/>
        </w:rPr>
        <w:t>UERadioPagingInfo</w:t>
      </w:r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UE-RadioPagingInfo</w:t>
      </w:r>
      <w:r w:rsidRPr="120625C8">
        <w:rPr>
          <w:rStyle w:val="normaltextrun"/>
          <w:rFonts w:eastAsia="Malgun Gothic"/>
        </w:rPr>
        <w:t xml:space="preserve"> IE in the </w:t>
      </w:r>
      <w:r w:rsidRPr="120625C8">
        <w:rPr>
          <w:rStyle w:val="normaltextrun"/>
          <w:rFonts w:eastAsia="Malgun Gothic"/>
          <w:i/>
        </w:rPr>
        <w:t>UERadioPagingInformation</w:t>
      </w:r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lastRenderedPageBreak/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r>
              <w:t>Sequans</w:t>
            </w:r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5A3A96" w14:paraId="754729C2" w14:textId="77777777" w:rsidTr="008479C5">
        <w:tc>
          <w:tcPr>
            <w:tcW w:w="1696" w:type="dxa"/>
          </w:tcPr>
          <w:p w14:paraId="4E88794C" w14:textId="5363A746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64A23418" w14:textId="31151D8B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DB5749B" w14:textId="77777777" w:rsidR="005A3A96" w:rsidRDefault="005A3A96" w:rsidP="005A3A96"/>
        </w:tc>
      </w:tr>
      <w:tr w:rsidR="006D2F6E" w14:paraId="5F3ADB35" w14:textId="77777777" w:rsidTr="008479C5">
        <w:tc>
          <w:tcPr>
            <w:tcW w:w="1696" w:type="dxa"/>
          </w:tcPr>
          <w:p w14:paraId="7B30FB43" w14:textId="06A7E680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21242F21" w14:textId="724276F1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0430CD26" w14:textId="77777777" w:rsidR="006D2F6E" w:rsidRDefault="006D2F6E" w:rsidP="006D2F6E"/>
        </w:tc>
      </w:tr>
      <w:tr w:rsidR="00AC0A44" w14:paraId="2F728FE9" w14:textId="77777777" w:rsidTr="00AC0A44">
        <w:tc>
          <w:tcPr>
            <w:tcW w:w="1696" w:type="dxa"/>
          </w:tcPr>
          <w:p w14:paraId="03CB7C20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30658482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41994180" w14:textId="77777777" w:rsidR="00AC0A44" w:rsidRDefault="00AC0A44" w:rsidP="00C40DAB"/>
        </w:tc>
      </w:tr>
      <w:tr w:rsidR="00255620" w14:paraId="61C3D11A" w14:textId="77777777" w:rsidTr="00AC0A44">
        <w:tc>
          <w:tcPr>
            <w:tcW w:w="1696" w:type="dxa"/>
          </w:tcPr>
          <w:p w14:paraId="4207781D" w14:textId="3C62FF1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3397C44E" w14:textId="00F9730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052C105" w14:textId="77777777" w:rsidR="00255620" w:rsidRDefault="00255620" w:rsidP="00C40DAB"/>
        </w:tc>
      </w:tr>
      <w:tr w:rsidR="00B706A1" w14:paraId="4CB0B473" w14:textId="77777777" w:rsidTr="00AC0A44">
        <w:tc>
          <w:tcPr>
            <w:tcW w:w="1696" w:type="dxa"/>
          </w:tcPr>
          <w:p w14:paraId="50AF6489" w14:textId="76F23AE4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3B0B010" w14:textId="104C013E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5C5F3CEA" w14:textId="77777777" w:rsidR="00B706A1" w:rsidRDefault="00B706A1" w:rsidP="00C40DAB"/>
        </w:tc>
      </w:tr>
    </w:tbl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>n RAN2#116e meeting, RAN2 discussed whether to introduce common or separate UE capabilities for UE-ID based subgrouping and CN-assigned subgrouping, and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r>
              <w:t>Sequans</w:t>
            </w:r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5A3A96" w14:paraId="443FC44E" w14:textId="77777777" w:rsidTr="008479C5">
        <w:tc>
          <w:tcPr>
            <w:tcW w:w="1696" w:type="dxa"/>
          </w:tcPr>
          <w:p w14:paraId="02C9FB24" w14:textId="3CC6DCD4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19B444DC" w14:textId="341294BF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3C268EB" w14:textId="77777777" w:rsidR="005A3A96" w:rsidRDefault="005A3A96" w:rsidP="005A3A96"/>
        </w:tc>
      </w:tr>
      <w:tr w:rsidR="006D2F6E" w14:paraId="54AA6F09" w14:textId="77777777" w:rsidTr="008479C5">
        <w:tc>
          <w:tcPr>
            <w:tcW w:w="1696" w:type="dxa"/>
          </w:tcPr>
          <w:p w14:paraId="6696D6E0" w14:textId="14E05E11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43BE3FD8" w14:textId="7E8571DD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74A40D98" w14:textId="77777777" w:rsidR="006D2F6E" w:rsidRDefault="006D2F6E" w:rsidP="006D2F6E"/>
        </w:tc>
      </w:tr>
      <w:tr w:rsidR="00AC0A44" w14:paraId="1422B032" w14:textId="77777777" w:rsidTr="00AC0A44">
        <w:tc>
          <w:tcPr>
            <w:tcW w:w="1696" w:type="dxa"/>
          </w:tcPr>
          <w:p w14:paraId="5907B143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7284C75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0009D450" w14:textId="77777777" w:rsidR="00AC0A44" w:rsidRDefault="00AC0A44" w:rsidP="00C40DAB"/>
        </w:tc>
      </w:tr>
      <w:tr w:rsidR="00255620" w14:paraId="2B2CD0B7" w14:textId="77777777" w:rsidTr="00AC0A44">
        <w:tc>
          <w:tcPr>
            <w:tcW w:w="1696" w:type="dxa"/>
          </w:tcPr>
          <w:p w14:paraId="6BFB1E94" w14:textId="3D01C0D8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1BD1152B" w14:textId="4AD2022C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3F25E0C6" w14:textId="77777777" w:rsidR="00255620" w:rsidRDefault="00255620" w:rsidP="00C40DAB"/>
        </w:tc>
      </w:tr>
      <w:tr w:rsidR="00B706A1" w14:paraId="6F3ED326" w14:textId="77777777" w:rsidTr="00AC0A44">
        <w:tc>
          <w:tcPr>
            <w:tcW w:w="1696" w:type="dxa"/>
          </w:tcPr>
          <w:p w14:paraId="65FE22F7" w14:textId="26B9946E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1905C22" w14:textId="223FC3CC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A2B6E99" w14:textId="77777777" w:rsidR="00B706A1" w:rsidRDefault="00B706A1" w:rsidP="00C40DAB"/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>known to the gNB</w:t>
      </w:r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SIBx,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3D166738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lastRenderedPageBreak/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U</w:t>
      </w:r>
      <w:r w:rsidR="00B706A1" w:rsidRPr="00CD683A">
        <w:rPr>
          <w:color w:val="808080" w:themeColor="background1" w:themeShade="80"/>
        </w:rPr>
        <w:t>e</w:t>
      </w:r>
      <w:r w:rsidR="00A93C7B" w:rsidRPr="00CD683A">
        <w:rPr>
          <w:color w:val="808080" w:themeColor="background1" w:themeShade="80"/>
        </w:rPr>
        <w:t>s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>e and inactive U</w:t>
      </w:r>
      <w:r w:rsidR="00B706A1" w:rsidRPr="00CD683A">
        <w:rPr>
          <w:color w:val="808080" w:themeColor="background1" w:themeShade="80"/>
        </w:rPr>
        <w:t>e</w:t>
      </w:r>
      <w:r w:rsidR="00744192" w:rsidRPr="00CD683A">
        <w:rPr>
          <w:color w:val="808080" w:themeColor="background1" w:themeShade="80"/>
        </w:rPr>
        <w:t>s.</w:t>
      </w:r>
      <w:r w:rsidR="009163F7" w:rsidRPr="00CD683A">
        <w:rPr>
          <w:color w:val="808080" w:themeColor="background1" w:themeShade="80"/>
        </w:rPr>
        <w:t xml:space="preserve"> Likewise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gNB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gNB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gNB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>ial for the gNB to know</w:t>
      </w:r>
    </w:p>
    <w:p w14:paraId="748C2591" w14:textId="2CB2D1B9" w:rsidR="00CF2667" w:rsidRDefault="00CF2667" w:rsidP="00840375">
      <w:pPr>
        <w:pStyle w:val="Heading1"/>
      </w:pPr>
      <w:r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r>
              <w:t>Sequans</w:t>
            </w:r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5A3A96" w14:paraId="08FC2FB9" w14:textId="77777777" w:rsidTr="008479C5">
        <w:tc>
          <w:tcPr>
            <w:tcW w:w="1696" w:type="dxa"/>
          </w:tcPr>
          <w:p w14:paraId="3019C1D9" w14:textId="0113D568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672E7C7E" w14:textId="70EE9C05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D6AE5BB" w14:textId="77777777" w:rsidR="005A3A96" w:rsidRDefault="005A3A96" w:rsidP="005A3A96"/>
        </w:tc>
      </w:tr>
      <w:tr w:rsidR="006D2F6E" w14:paraId="0B272A39" w14:textId="77777777" w:rsidTr="008479C5">
        <w:tc>
          <w:tcPr>
            <w:tcW w:w="1696" w:type="dxa"/>
          </w:tcPr>
          <w:p w14:paraId="6E320812" w14:textId="6DE27460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106C9E91" w14:textId="23978774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20BD640" w14:textId="77777777" w:rsidR="006D2F6E" w:rsidRDefault="006D2F6E" w:rsidP="006D2F6E"/>
        </w:tc>
      </w:tr>
      <w:tr w:rsidR="00AC0A44" w14:paraId="4EBD5084" w14:textId="77777777" w:rsidTr="00AC0A44">
        <w:tc>
          <w:tcPr>
            <w:tcW w:w="1696" w:type="dxa"/>
          </w:tcPr>
          <w:p w14:paraId="11CE2B4F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2D603F39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606646F7" w14:textId="77777777" w:rsidR="00AC0A44" w:rsidRDefault="00AC0A44" w:rsidP="00C40DAB"/>
        </w:tc>
      </w:tr>
      <w:tr w:rsidR="00255620" w14:paraId="27440114" w14:textId="77777777" w:rsidTr="00AC0A44">
        <w:tc>
          <w:tcPr>
            <w:tcW w:w="1696" w:type="dxa"/>
          </w:tcPr>
          <w:p w14:paraId="1571B58B" w14:textId="190B8BB7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lastRenderedPageBreak/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464E61D9" w14:textId="71357FD3" w:rsidR="00255620" w:rsidRDefault="00255620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-</w:t>
            </w:r>
          </w:p>
        </w:tc>
        <w:tc>
          <w:tcPr>
            <w:tcW w:w="7089" w:type="dxa"/>
          </w:tcPr>
          <w:p w14:paraId="480C9F31" w14:textId="5A476449" w:rsidR="00255620" w:rsidRDefault="00255620" w:rsidP="00C40DA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fine to postpone the discussion. But do we need to request RAN4 to provide inputs or RAN2 will discuss it in the next meeting?</w:t>
            </w:r>
          </w:p>
        </w:tc>
      </w:tr>
      <w:tr w:rsidR="00B706A1" w14:paraId="6FB5369C" w14:textId="77777777" w:rsidTr="00AC0A44">
        <w:tc>
          <w:tcPr>
            <w:tcW w:w="1696" w:type="dxa"/>
          </w:tcPr>
          <w:p w14:paraId="56F79DB7" w14:textId="1CB1D279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746A67BE" w14:textId="56A50A1F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311AE44D" w14:textId="77777777" w:rsidR="00B706A1" w:rsidRDefault="00B706A1" w:rsidP="00C40DAB">
            <w:pPr>
              <w:rPr>
                <w:rFonts w:hint="eastAsia"/>
                <w:lang w:eastAsia="zh-CN"/>
              </w:rPr>
            </w:pPr>
          </w:p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r>
              <w:t>Sequans</w:t>
            </w:r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5A3A96" w14:paraId="1C0C5104" w14:textId="77777777" w:rsidTr="008479C5">
        <w:tc>
          <w:tcPr>
            <w:tcW w:w="1696" w:type="dxa"/>
          </w:tcPr>
          <w:p w14:paraId="6B9606C5" w14:textId="6A36A32E" w:rsidR="005A3A96" w:rsidRDefault="005A3A96" w:rsidP="005A3A96">
            <w:r>
              <w:t>Futurewei</w:t>
            </w:r>
          </w:p>
        </w:tc>
        <w:tc>
          <w:tcPr>
            <w:tcW w:w="1134" w:type="dxa"/>
          </w:tcPr>
          <w:p w14:paraId="758EB171" w14:textId="4D1F1A0A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E3A423E" w14:textId="59F735FB" w:rsidR="005A3A96" w:rsidRDefault="005A3A96" w:rsidP="005A3A96">
            <w:r>
              <w:t>The question is intended for P9.</w:t>
            </w:r>
          </w:p>
        </w:tc>
      </w:tr>
      <w:tr w:rsidR="006D2F6E" w14:paraId="40A81EDD" w14:textId="77777777" w:rsidTr="008479C5">
        <w:tc>
          <w:tcPr>
            <w:tcW w:w="1696" w:type="dxa"/>
          </w:tcPr>
          <w:p w14:paraId="1406D6F3" w14:textId="04BC5EF0" w:rsidR="006D2F6E" w:rsidRDefault="006D2F6E" w:rsidP="006D2F6E">
            <w:r w:rsidRPr="0028353E">
              <w:t>Huawei, HiSilicon</w:t>
            </w:r>
          </w:p>
        </w:tc>
        <w:tc>
          <w:tcPr>
            <w:tcW w:w="1134" w:type="dxa"/>
          </w:tcPr>
          <w:p w14:paraId="6570E0EC" w14:textId="4992C0DA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671A3DD" w14:textId="77777777" w:rsidR="006D2F6E" w:rsidRDefault="006D2F6E" w:rsidP="006D2F6E"/>
        </w:tc>
      </w:tr>
      <w:tr w:rsidR="00AC0A44" w14:paraId="32FE453F" w14:textId="77777777" w:rsidTr="00AC0A44">
        <w:tc>
          <w:tcPr>
            <w:tcW w:w="1696" w:type="dxa"/>
          </w:tcPr>
          <w:p w14:paraId="4FC6A92D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ediaTek</w:t>
            </w:r>
          </w:p>
        </w:tc>
        <w:tc>
          <w:tcPr>
            <w:tcW w:w="1134" w:type="dxa"/>
          </w:tcPr>
          <w:p w14:paraId="1354F94B" w14:textId="77777777" w:rsidR="00AC0A44" w:rsidRPr="00F852F0" w:rsidRDefault="00AC0A44" w:rsidP="00C40DAB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089" w:type="dxa"/>
          </w:tcPr>
          <w:p w14:paraId="3DEC72D6" w14:textId="77777777" w:rsidR="00AC0A44" w:rsidRDefault="00AC0A44" w:rsidP="00C40DAB"/>
        </w:tc>
      </w:tr>
      <w:tr w:rsidR="00590AB6" w14:paraId="233B2C49" w14:textId="77777777" w:rsidTr="00AC0A44">
        <w:tc>
          <w:tcPr>
            <w:tcW w:w="1696" w:type="dxa"/>
          </w:tcPr>
          <w:p w14:paraId="60C51008" w14:textId="6074084C" w:rsidR="00590AB6" w:rsidRDefault="00590AB6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v</w:t>
            </w:r>
            <w:r>
              <w:rPr>
                <w:rFonts w:eastAsia="PMingLiU"/>
                <w:lang w:eastAsia="zh-CN"/>
              </w:rPr>
              <w:t>ivo</w:t>
            </w:r>
          </w:p>
        </w:tc>
        <w:tc>
          <w:tcPr>
            <w:tcW w:w="1134" w:type="dxa"/>
          </w:tcPr>
          <w:p w14:paraId="0304E60A" w14:textId="155E004F" w:rsidR="00590AB6" w:rsidRDefault="00590AB6" w:rsidP="00C40DAB">
            <w:pPr>
              <w:rPr>
                <w:rFonts w:eastAsia="PMingLiU"/>
                <w:lang w:eastAsia="zh-CN"/>
              </w:rPr>
            </w:pPr>
            <w:r>
              <w:rPr>
                <w:rFonts w:eastAsia="PMingLiU" w:hint="eastAsia"/>
                <w:lang w:eastAsia="zh-CN"/>
              </w:rPr>
              <w:t>Y</w:t>
            </w:r>
            <w:r>
              <w:rPr>
                <w:rFonts w:eastAsia="PMingLiU"/>
                <w:lang w:eastAsia="zh-CN"/>
              </w:rPr>
              <w:t>es</w:t>
            </w:r>
          </w:p>
        </w:tc>
        <w:tc>
          <w:tcPr>
            <w:tcW w:w="7089" w:type="dxa"/>
          </w:tcPr>
          <w:p w14:paraId="6DF9CD05" w14:textId="77777777" w:rsidR="00590AB6" w:rsidRDefault="00590AB6" w:rsidP="00C40DAB"/>
        </w:tc>
      </w:tr>
      <w:tr w:rsidR="00B706A1" w14:paraId="0DD56202" w14:textId="77777777" w:rsidTr="00AC0A44">
        <w:tc>
          <w:tcPr>
            <w:tcW w:w="1696" w:type="dxa"/>
          </w:tcPr>
          <w:p w14:paraId="6D6F98D9" w14:textId="220C5579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Nokia</w:t>
            </w:r>
          </w:p>
        </w:tc>
        <w:tc>
          <w:tcPr>
            <w:tcW w:w="1134" w:type="dxa"/>
          </w:tcPr>
          <w:p w14:paraId="6D47AF3F" w14:textId="130FEA5D" w:rsidR="00B706A1" w:rsidRDefault="00B706A1" w:rsidP="00C40DAB">
            <w:pPr>
              <w:rPr>
                <w:rFonts w:eastAsia="PMingLiU" w:hint="eastAsia"/>
                <w:lang w:eastAsia="zh-CN"/>
              </w:rPr>
            </w:pPr>
            <w:r>
              <w:rPr>
                <w:rFonts w:eastAsia="PMingLiU"/>
                <w:lang w:eastAsia="zh-CN"/>
              </w:rPr>
              <w:t>Yes</w:t>
            </w:r>
          </w:p>
        </w:tc>
        <w:tc>
          <w:tcPr>
            <w:tcW w:w="7089" w:type="dxa"/>
          </w:tcPr>
          <w:p w14:paraId="721AEBCF" w14:textId="77777777" w:rsidR="00B706A1" w:rsidRDefault="00B706A1" w:rsidP="00C40DAB"/>
        </w:tc>
      </w:tr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lastRenderedPageBreak/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0B8E4" w14:textId="77777777" w:rsidR="00E07B2D" w:rsidRDefault="00E07B2D"/>
  </w:endnote>
  <w:endnote w:type="continuationSeparator" w:id="0">
    <w:p w14:paraId="58AA3373" w14:textId="77777777" w:rsidR="00E07B2D" w:rsidRDefault="00E07B2D"/>
  </w:endnote>
  <w:endnote w:type="continuationNotice" w:id="1">
    <w:p w14:paraId="3E1A4F57" w14:textId="77777777" w:rsidR="00E07B2D" w:rsidRDefault="00E07B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F46BA" w14:textId="77777777" w:rsidR="00E07B2D" w:rsidRDefault="00E07B2D"/>
  </w:footnote>
  <w:footnote w:type="continuationSeparator" w:id="0">
    <w:p w14:paraId="1770A73B" w14:textId="77777777" w:rsidR="00E07B2D" w:rsidRDefault="00E07B2D"/>
  </w:footnote>
  <w:footnote w:type="continuationNotice" w:id="1">
    <w:p w14:paraId="527063F8" w14:textId="77777777" w:rsidR="00E07B2D" w:rsidRDefault="00E07B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D7FED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20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B6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A96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2F6E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0A79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4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6A1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42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2B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2EB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B7C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07B2D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AAF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2F0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宋体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宋体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宋体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宋体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宋体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11">
    <w:name w:val="未解析的提及1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12">
    <w:name w:val="提及1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nli.wu@nokia-sbel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58AF0-DFCE-46FB-B462-4482272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3</TotalTime>
  <Pages>8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Chunli2</cp:lastModifiedBy>
  <cp:revision>3</cp:revision>
  <cp:lastPrinted>2017-10-24T05:18:00Z</cp:lastPrinted>
  <dcterms:created xsi:type="dcterms:W3CDTF">2022-01-21T07:30:00Z</dcterms:created>
  <dcterms:modified xsi:type="dcterms:W3CDTF">2022-01-21T07:31:00Z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