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yellow"/>
          <w:lang w:val="en-US" w:eastAsia="zh-CN" w:bidi="ar-SA"/>
        </w:rPr>
      </w:pPr>
      <w:bookmarkStart w:id="0" w:name="_Toc18403966"/>
      <w:bookmarkStart w:id="1" w:name="_Toc18404533"/>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6</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default" w:ascii="Arial" w:hAnsi="Arial" w:cs="Times New Roman" w:eastAsiaTheme="minorEastAsia"/>
          <w:b/>
          <w:strike w:val="0"/>
          <w:dstrike w:val="0"/>
          <w:kern w:val="2"/>
          <w:sz w:val="24"/>
          <w:szCs w:val="21"/>
          <w:highlight w:val="none"/>
          <w:lang w:val="en-US" w:eastAsia="zh-CN" w:bidi="ar-SA"/>
        </w:rPr>
        <w:t xml:space="preserve"> </w:t>
      </w:r>
      <w:r>
        <w:rPr>
          <w:rFonts w:hint="eastAsia" w:ascii="Arial" w:hAnsi="Arial" w:cs="Times New Roman" w:eastAsiaTheme="minorEastAsia"/>
          <w:b/>
          <w:strike w:val="0"/>
          <w:dstrike w:val="0"/>
          <w:kern w:val="2"/>
          <w:sz w:val="24"/>
          <w:szCs w:val="21"/>
          <w:highlight w:val="none"/>
          <w:lang w:val="en-US" w:eastAsia="zh-CN" w:bidi="ar-SA"/>
        </w:rPr>
        <w:t xml:space="preserve"> </w:t>
      </w:r>
      <w:r>
        <w:rPr>
          <w:rFonts w:hint="eastAsia" w:ascii="Arial" w:hAnsi="Arial" w:cs="Times New Roman" w:eastAsiaTheme="minorEastAsia"/>
          <w:b/>
          <w:strike w:val="0"/>
          <w:dstrike w:val="0"/>
          <w:kern w:val="2"/>
          <w:sz w:val="24"/>
          <w:szCs w:val="21"/>
          <w:highlight w:val="none"/>
          <w:lang w:val="zh-CN" w:eastAsia="zh-CN" w:bidi="ar-SA"/>
        </w:rPr>
        <w:t>R2-</w:t>
      </w:r>
      <w:r>
        <w:rPr>
          <w:rFonts w:hint="default" w:ascii="Arial" w:hAnsi="Arial" w:cs="Times New Roman" w:eastAsiaTheme="minorEastAsia"/>
          <w:b/>
          <w:strike w:val="0"/>
          <w:dstrike w:val="0"/>
          <w:kern w:val="2"/>
          <w:sz w:val="24"/>
          <w:szCs w:val="21"/>
          <w:highlight w:val="none"/>
          <w:lang w:val="en-US" w:eastAsia="zh-CN" w:bidi="ar-SA"/>
        </w:rPr>
        <w:t>2110991</w:t>
      </w:r>
    </w:p>
    <w:p>
      <w:pPr>
        <w:pStyle w:val="286"/>
        <w:rPr>
          <w:rFonts w:cs="Arial"/>
          <w:bCs/>
          <w:strike w:val="0"/>
          <w:kern w:val="0"/>
          <w:sz w:val="28"/>
          <w:szCs w:val="28"/>
          <w:highlight w:val="none"/>
        </w:rPr>
      </w:pPr>
      <w:r>
        <w:rPr>
          <w:strike w:val="0"/>
          <w:dstrike w:val="0"/>
          <w:highlight w:val="none"/>
        </w:rPr>
        <w:t xml:space="preserve">Electronic meeting, </w:t>
      </w:r>
      <w:r>
        <w:rPr>
          <w:rFonts w:hint="default"/>
          <w:strike w:val="0"/>
          <w:dstrike w:val="0"/>
          <w:highlight w:val="none"/>
          <w:lang w:val="en-US" w:eastAsia="zh-CN"/>
        </w:rPr>
        <w:t>1</w:t>
      </w:r>
      <w:r>
        <w:rPr>
          <w:rFonts w:hint="eastAsia"/>
          <w:strike w:val="0"/>
          <w:dstrike w:val="0"/>
          <w:highlight w:val="none"/>
          <w:lang w:val="en-US" w:eastAsia="zh-CN"/>
        </w:rPr>
        <w:t xml:space="preserve"> </w:t>
      </w:r>
      <w:r>
        <w:rPr>
          <w:rFonts w:hint="default"/>
          <w:strike w:val="0"/>
          <w:dstrike w:val="0"/>
          <w:highlight w:val="none"/>
          <w:lang w:val="en-US" w:eastAsia="zh-CN"/>
        </w:rPr>
        <w:t>Nov</w:t>
      </w:r>
      <w:r>
        <w:rPr>
          <w:strike w:val="0"/>
          <w:dstrike w:val="0"/>
          <w:highlight w:val="none"/>
        </w:rPr>
        <w:t xml:space="preserve"> – </w:t>
      </w:r>
      <w:r>
        <w:rPr>
          <w:rFonts w:hint="default"/>
          <w:strike w:val="0"/>
          <w:dstrike w:val="0"/>
          <w:highlight w:val="none"/>
          <w:lang w:val="en-US"/>
        </w:rPr>
        <w:t>12</w:t>
      </w:r>
      <w:r>
        <w:rPr>
          <w:strike w:val="0"/>
          <w:dstrike w:val="0"/>
          <w:highlight w:val="none"/>
        </w:rPr>
        <w:t xml:space="preserve"> </w:t>
      </w:r>
      <w:r>
        <w:rPr>
          <w:rFonts w:hint="default"/>
          <w:strike w:val="0"/>
          <w:dstrike w:val="0"/>
          <w:highlight w:val="none"/>
          <w:lang w:val="en-US" w:eastAsia="zh-CN"/>
        </w:rPr>
        <w:t>Nov</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bookmarkStart w:id="13" w:name="_GoBack"/>
      <w:bookmarkEnd w:id="13"/>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u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u w:val="none"/>
          <w:lang w:val="en-US" w:eastAsia="zh-CN"/>
        </w:rPr>
        <w:t>Discussion on</w:t>
      </w:r>
      <w:bookmarkEnd w:id="4"/>
      <w:bookmarkEnd w:id="5"/>
      <w:r>
        <w:rPr>
          <w:rFonts w:hint="eastAsia"/>
          <w:b/>
          <w:sz w:val="24"/>
          <w:highlight w:val="none"/>
          <w:u w:val="none"/>
          <w:lang w:val="en-US" w:eastAsia="zh-CN"/>
        </w:rPr>
        <w:t xml:space="preserve"> </w:t>
      </w:r>
      <w:r>
        <w:rPr>
          <w:rFonts w:hint="default"/>
          <w:b/>
          <w:sz w:val="24"/>
          <w:highlight w:val="none"/>
          <w:u w:val="none"/>
          <w:lang w:val="en-US" w:eastAsia="zh-CN"/>
        </w:rPr>
        <w:t>NR QoE Configuration</w:t>
      </w:r>
      <w:r>
        <w:rPr>
          <w:rFonts w:hint="eastAsia"/>
          <w:b/>
          <w:sz w:val="24"/>
          <w:highlight w:val="none"/>
          <w:u w:val="none"/>
          <w:lang w:val="en-US" w:eastAsia="zh-CN"/>
        </w:rPr>
        <w:t xml:space="preserve"> and Reporting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8.14.2.1</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eastAsia" w:eastAsia="宋体" w:cs="Arial"/>
          <w:sz w:val="21"/>
          <w:szCs w:val="21"/>
          <w:lang w:val="en-US" w:eastAsia="zh-CN"/>
        </w:rPr>
      </w:pPr>
      <w:r>
        <w:rPr>
          <w:rFonts w:hint="eastAsia" w:eastAsia="宋体" w:cs="Arial"/>
          <w:sz w:val="21"/>
          <w:szCs w:val="21"/>
          <w:lang w:val="en-US" w:eastAsia="zh-CN"/>
        </w:rPr>
        <w:t>Below agreements about NR QoE configuration</w:t>
      </w:r>
      <w:r>
        <w:rPr>
          <w:rFonts w:hint="default" w:eastAsia="宋体" w:cs="Arial"/>
          <w:sz w:val="21"/>
          <w:szCs w:val="21"/>
          <w:lang w:val="en-US" w:eastAsia="zh-CN"/>
        </w:rPr>
        <w:t xml:space="preserve"> and reporting </w:t>
      </w:r>
      <w:r>
        <w:rPr>
          <w:rFonts w:hint="eastAsia" w:eastAsia="宋体" w:cs="Arial"/>
          <w:sz w:val="21"/>
          <w:szCs w:val="21"/>
          <w:lang w:val="en-US" w:eastAsia="zh-CN"/>
        </w:rPr>
        <w:t>have been made by companies in RAN2#11</w:t>
      </w:r>
      <w:r>
        <w:rPr>
          <w:rFonts w:hint="default" w:eastAsia="宋体" w:cs="Arial"/>
          <w:sz w:val="21"/>
          <w:szCs w:val="21"/>
          <w:lang w:val="en-US" w:eastAsia="zh-CN"/>
        </w:rPr>
        <w:t>5</w:t>
      </w:r>
      <w:r>
        <w:rPr>
          <w:rFonts w:hint="eastAsia" w:eastAsia="宋体" w:cs="Arial"/>
          <w:sz w:val="21"/>
          <w:szCs w:val="21"/>
          <w:lang w:val="en-US" w:eastAsia="zh-CN"/>
        </w:rPr>
        <w:t>e:</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xml:space="preserve">It is the RAN2 understanding that the QoE Reference does not need to be sent to or from the UE in RRC signaling for QoE measurements in RRC_CONNECTED. The RRC ID, MeasConfigAppLayerId, is sufficient to identify the QoE configuration between UE and gNB.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 xml:space="preserve">RAN2 assumes that gNB keeps the mapping between MeasConfigAppLayerId and QoE Reference. The mapping is sent to the target gNB as part of QoE configuration and information at handover. </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Send an LS to SA5 (cc R3) to confirm proposals (agreements) 1 and 2.</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FFS if the RRC layer forwards the MeasConfigAppLayerId together with the QoE configuration to the application layer.</w:t>
      </w:r>
    </w:p>
    <w:p>
      <w:pPr>
        <w:pBdr>
          <w:top w:val="single" w:color="auto" w:sz="4" w:space="0"/>
          <w:left w:val="single" w:color="auto" w:sz="4" w:space="0"/>
          <w:bottom w:val="single" w:color="auto" w:sz="4" w:space="0"/>
          <w:right w:val="single" w:color="auto" w:sz="4" w:space="0"/>
        </w:pBdr>
        <w:bidi w:val="0"/>
        <w:rPr>
          <w:rFonts w:hint="eastAsia"/>
          <w:lang w:val="en-US" w:eastAsia="zh-CN"/>
        </w:rPr>
      </w:pPr>
      <w:r>
        <w:rPr>
          <w:rFonts w:hint="eastAsia"/>
          <w:lang w:val="en-US" w:eastAsia="zh-CN"/>
        </w:rPr>
        <w:t>Confirm that RAN2 deprioritizes QoE measurement in RRC_IDLE/RRC_INACTIVE in Rel-17.</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R2 has not concluded the max no of QoE configs per UE, numbers in the range 8 - 64 are discussed.</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RAN2 assumes that all QoE mobility related agreements made by RAN2 are applicable at least to signalling based QoE. Whether the same applies to management-based QoE is pending further input from SA5 and RAN3.</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Area scope parameter is not introduced in RRC procedures supporting QoE.</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FFS how the indication looks like, e.g. granularity per QoE configuration or common for all QoE configurations.</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UE discards the reports received from application layer in case it has no associated QoE configuration configured.</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FFS whether the gNB needs to know the QoE configurations for which there are ongoing QoE sessions, e.g. to enable QoE configuration handling upon mobility (pending SA4 reply on the ongoing QoE measurement session continuity requirement).</w:t>
      </w:r>
    </w:p>
    <w:p>
      <w:pPr>
        <w:pStyle w:val="53"/>
        <w:pBdr>
          <w:top w:val="single" w:color="auto" w:sz="4" w:space="0"/>
          <w:left w:val="single" w:color="auto" w:sz="4" w:space="0"/>
          <w:bottom w:val="single" w:color="auto" w:sz="4" w:space="0"/>
          <w:right w:val="single" w:color="auto" w:sz="4" w:space="0"/>
        </w:pBdr>
        <w:bidi w:val="0"/>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In case the UE resumes the connection in a gNB not supporting QoE, the UE should release all QoE measurement configurations.</w:t>
      </w:r>
    </w:p>
    <w:p>
      <w:pPr>
        <w:pStyle w:val="53"/>
        <w:spacing w:before="75" w:beforeAutospacing="0" w:after="75" w:afterAutospacing="0" w:line="315" w:lineRule="atLeast"/>
        <w:rPr>
          <w:rFonts w:hint="default" w:eastAsia="宋体" w:cs="Arial"/>
          <w:color w:val="000000"/>
          <w:sz w:val="21"/>
          <w:lang w:val="en-US" w:eastAsia="zh-CN"/>
        </w:rPr>
      </w:pPr>
      <w:r>
        <w:rPr>
          <w:rFonts w:hint="default" w:eastAsia="宋体" w:cs="Arial"/>
          <w:color w:val="000000"/>
          <w:sz w:val="21"/>
          <w:lang w:val="en-US" w:eastAsia="zh-CN"/>
        </w:rPr>
        <w:t xml:space="preserve">In addition, SA5, SA4, and RAN3 have sent LS to RAN2 before RAN2#116e. </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The intention of this contribution is to share our views on the QoE configuration</w:t>
      </w:r>
      <w:r>
        <w:rPr>
          <w:rFonts w:hint="default" w:eastAsia="宋体" w:cs="Arial"/>
          <w:color w:val="000000"/>
          <w:sz w:val="21"/>
          <w:lang w:val="en-US" w:eastAsia="zh-CN"/>
        </w:rPr>
        <w:t xml:space="preserve"> and reporting</w:t>
      </w:r>
      <w:r>
        <w:rPr>
          <w:rFonts w:hint="eastAsia" w:eastAsia="宋体" w:cs="Arial"/>
          <w:color w:val="000000"/>
          <w:sz w:val="21"/>
          <w:lang w:val="en-US" w:eastAsia="zh-CN"/>
        </w:rPr>
        <w:t xml:space="preserve"> based on the agreements</w:t>
      </w:r>
      <w:r>
        <w:rPr>
          <w:rFonts w:hint="default" w:eastAsia="宋体" w:cs="Arial"/>
          <w:color w:val="000000"/>
          <w:sz w:val="21"/>
          <w:lang w:val="en-US" w:eastAsia="zh-CN"/>
        </w:rPr>
        <w:t xml:space="preserve"> and received LS.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the reply LS from SA5/4 and RAN3</w:t>
      </w:r>
    </w:p>
    <w:p>
      <w:pPr>
        <w:widowControl w:val="0"/>
        <w:numPr>
          <w:ilvl w:val="0"/>
          <w:numId w:val="0"/>
        </w:numPr>
        <w:spacing w:after="160" w:line="259" w:lineRule="auto"/>
        <w:jc w:val="both"/>
        <w:rPr>
          <w:rFonts w:hint="default" w:eastAsia="宋体"/>
          <w:lang w:val="en-US" w:eastAsia="zh-CN"/>
        </w:rPr>
      </w:pPr>
      <w:r>
        <w:rPr>
          <w:rFonts w:hint="default" w:eastAsia="宋体"/>
          <w:lang w:val="en-US" w:eastAsia="zh-CN"/>
        </w:rPr>
        <w:t>RAN2 has sent LS which contains several issues about QoE configuration and reporting to other WGs. Before this RAN2 meeting, reply LS have received from SA5,4 and RAN3. All issues mentioned in the reply LS will be discussed separately in this report.</w:t>
      </w:r>
    </w:p>
    <w:p>
      <w:pPr>
        <w:bidi w:val="0"/>
        <w:rPr>
          <w:u w:val="single"/>
        </w:rPr>
      </w:pPr>
      <w:r>
        <w:rPr>
          <w:u w:val="single"/>
        </w:rPr>
        <w:t>Issue 1: Modify the QoE measurement configuration to UE</w:t>
      </w:r>
    </w:p>
    <w:p>
      <w:pPr>
        <w:widowControl w:val="0"/>
        <w:numPr>
          <w:ilvl w:val="0"/>
          <w:numId w:val="0"/>
        </w:numPr>
        <w:spacing w:after="160" w:line="259" w:lineRule="auto"/>
        <w:jc w:val="both"/>
        <w:rPr>
          <w:rFonts w:hint="default" w:eastAsia="宋体"/>
          <w:lang w:val="en-US" w:eastAsia="zh-CN"/>
        </w:rPr>
      </w:pPr>
      <w:r>
        <w:rPr>
          <w:rFonts w:hint="default" w:eastAsia="宋体"/>
          <w:lang w:val="en-US" w:eastAsia="zh-CN"/>
        </w:rPr>
        <w:t>SA5 explained its preference in the LS(S5-214520). Based on our understanding, SA5 has never specified the modification procedure for QMC in either UTRAN or LTE. If RAN2 believes that this is necessary, the availability of QoE modification procedure may be further studied by SA5 in the further.</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Observation 1: Currently, SA5 does not consider modification of the QoE measurement configuration.</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It is clear that a QoE configuration can be either configured or released to a UE. If a UE has already been configured a QoE configuration, in some cases, the new QoE configuration may override the old one. Detail mechanism on the overriding is discussing in RAN3. From our understanding, we do not prefer to introduce modification of the QoE configuration in NR QoE. For simplicity perspective, if the existing QoE configuration is not appropriate and need to be updated, NW side can configure a new QoE configuration and override the existing one. In some ways, the modification function can be achieved by the QoE configuration(or QoE overriding procedure). We do not think there is enough benefits and time budget for RAN2 to introduce a new function which is used to modify the QoE measurement configuration.</w:t>
      </w:r>
    </w:p>
    <w:p>
      <w:pPr>
        <w:ind w:left="210" w:hanging="211" w:hangingChars="100"/>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xml:space="preserve">: </w:t>
      </w:r>
      <w:r>
        <w:rPr>
          <w:rFonts w:hint="default"/>
          <w:b/>
          <w:bCs/>
          <w:lang w:val="en-US" w:eastAsia="zh-CN"/>
        </w:rPr>
        <w:t>Modification of NR QoE configuration is not supported.</w:t>
      </w:r>
    </w:p>
    <w:p>
      <w:pPr>
        <w:rPr>
          <w:rFonts w:hint="default"/>
          <w:u w:val="single"/>
          <w:lang w:val="en-US" w:eastAsia="zh-CN"/>
        </w:rPr>
      </w:pPr>
      <w:r>
        <w:rPr>
          <w:rFonts w:hint="default"/>
          <w:u w:val="single"/>
          <w:lang w:val="en-US" w:eastAsia="zh-CN"/>
        </w:rPr>
        <w:t>Issue 2: Provide multiple QoE measurement configurations for one certain service type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Both SA5(</w:t>
      </w:r>
      <w:r>
        <w:rPr>
          <w:rFonts w:hint="default" w:eastAsia="宋体"/>
          <w:lang w:val="en-US" w:eastAsia="zh-CN"/>
        </w:rPr>
        <w:t>S5-214520</w:t>
      </w:r>
      <w:r>
        <w:rPr>
          <w:rFonts w:hint="default" w:eastAsia="宋体"/>
          <w:b w:val="0"/>
          <w:bCs w:val="0"/>
          <w:lang w:val="en-US" w:eastAsia="zh-CN"/>
        </w:rPr>
        <w:t xml:space="preserve">) and RAN3(R3-214471) believe that it is possible to provide multiple QoE measurement configurations for one certain service type. But none of them has discussed how to support multiple QoE configuration for one service type. From our point of view, because of the network slicing in NR, it is valuable to support this function. </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 xml:space="preserve">Proposal 2: RAN2 shall support to provide multiple QoE measurement configurations for one certain service type in NR QoE. </w:t>
      </w:r>
    </w:p>
    <w:p>
      <w:pPr>
        <w:rPr>
          <w:rFonts w:hint="default"/>
          <w:u w:val="single"/>
          <w:lang w:val="en-US" w:eastAsia="zh-CN"/>
        </w:rPr>
      </w:pPr>
      <w:r>
        <w:rPr>
          <w:rFonts w:hint="default"/>
          <w:u w:val="single"/>
          <w:lang w:val="en-US" w:eastAsia="zh-CN"/>
        </w:rPr>
        <w:t>Issue 3: The maximum container size for one QoE measurement configuration</w:t>
      </w:r>
    </w:p>
    <w:p>
      <w:pPr>
        <w:rPr>
          <w:rFonts w:hint="default"/>
          <w:u w:val="single"/>
          <w:lang w:val="en-US" w:eastAsia="zh-CN"/>
        </w:rPr>
      </w:pPr>
      <w:r>
        <w:rPr>
          <w:rFonts w:hint="default"/>
          <w:u w:val="single"/>
          <w:lang w:val="en-US" w:eastAsia="zh-CN"/>
        </w:rPr>
        <w:t xml:space="preserve">Issue 4: The maximum container size for one QoE report </w:t>
      </w:r>
    </w:p>
    <w:p>
      <w:pPr>
        <w:widowControl w:val="0"/>
        <w:numPr>
          <w:ilvl w:val="0"/>
          <w:numId w:val="0"/>
        </w:numPr>
        <w:spacing w:after="160" w:line="259" w:lineRule="auto"/>
        <w:jc w:val="both"/>
        <w:rPr>
          <w:rFonts w:hint="default"/>
          <w:color w:val="auto"/>
          <w:highlight w:val="none"/>
          <w:shd w:val="clear" w:color="auto" w:fill="auto"/>
          <w:lang w:val="en-US"/>
        </w:rPr>
      </w:pPr>
      <w:r>
        <w:rPr>
          <w:rFonts w:hint="default" w:eastAsia="宋体"/>
          <w:b w:val="0"/>
          <w:bCs w:val="0"/>
          <w:lang w:val="en-US" w:eastAsia="zh-CN"/>
        </w:rPr>
        <w:t xml:space="preserve">SA4 provided one answer to both issue 3 and issue 4 in its LS(S4-211059). </w:t>
      </w:r>
      <w:r>
        <w:rPr>
          <w:rFonts w:hint="default"/>
          <w:lang w:val="en-US"/>
        </w:rPr>
        <w:t>Based on SA4 understanding, new added service types(e.g. VR) in NR may have more complex metrics and there is higher risk that both the QoE configuration and the reporting size might be exceeded.</w:t>
      </w:r>
      <w:r>
        <w:rPr>
          <w:rFonts w:hint="default"/>
          <w:color w:val="auto"/>
          <w:highlight w:val="none"/>
          <w:shd w:val="clear" w:color="auto" w:fill="auto"/>
          <w:lang w:val="en-US"/>
        </w:rPr>
        <w:t xml:space="preserve"> SA4 understands that</w:t>
      </w:r>
      <w:r>
        <w:rPr>
          <w:rFonts w:hint="default"/>
          <w:b w:val="0"/>
          <w:bCs w:val="0"/>
          <w:color w:val="auto"/>
          <w:highlight w:val="none"/>
          <w:shd w:val="clear" w:color="auto" w:fill="auto"/>
          <w:lang w:val="en-US"/>
        </w:rPr>
        <w:t xml:space="preserve"> RRC segmentation </w:t>
      </w:r>
      <w:r>
        <w:rPr>
          <w:rFonts w:hint="default"/>
          <w:color w:val="auto"/>
          <w:highlight w:val="none"/>
          <w:shd w:val="clear" w:color="auto" w:fill="auto"/>
          <w:lang w:val="en-US"/>
        </w:rPr>
        <w:t>is already available in NR, which can be used in the(</w:t>
      </w:r>
      <w:r>
        <w:rPr>
          <w:rFonts w:hint="default"/>
          <w:b w:val="0"/>
          <w:bCs w:val="0"/>
          <w:color w:val="auto"/>
          <w:highlight w:val="none"/>
          <w:shd w:val="clear" w:color="auto" w:fill="auto"/>
          <w:lang w:val="en-US"/>
        </w:rPr>
        <w:t>still rare</w:t>
      </w:r>
      <w:r>
        <w:rPr>
          <w:rFonts w:hint="default"/>
          <w:color w:val="auto"/>
          <w:highlight w:val="none"/>
          <w:shd w:val="clear" w:color="auto" w:fill="auto"/>
          <w:lang w:val="en-US"/>
        </w:rPr>
        <w:t>) cases where a QoE config or report exceeds the PDCP size limit. In conclusion, SA4 asks RAN2 if the limits of the QoE container can be removed in NR QoE. As SA4 explained that removing the container size limitation does not mean QoE data will be expanded in general. We think it is fine to support SA4’s suggestion and remove the limitation of the QoE container size. From simplicity perspective, how to perform the segmentation can be based on lower layers implementation.</w:t>
      </w:r>
    </w:p>
    <w:p>
      <w:pPr>
        <w:widowControl w:val="0"/>
        <w:numPr>
          <w:ilvl w:val="0"/>
          <w:numId w:val="0"/>
        </w:numPr>
        <w:spacing w:after="160" w:line="259" w:lineRule="auto"/>
        <w:jc w:val="both"/>
        <w:rPr>
          <w:rFonts w:hint="default"/>
          <w:color w:val="auto"/>
          <w:highlight w:val="none"/>
          <w:shd w:val="clear" w:color="auto" w:fill="auto"/>
          <w:lang w:val="en-US" w:eastAsia="zh-CN"/>
        </w:rPr>
      </w:pPr>
      <w:r>
        <w:rPr>
          <w:rFonts w:hint="default"/>
          <w:b/>
          <w:bCs/>
          <w:color w:val="auto"/>
          <w:highlight w:val="none"/>
          <w:shd w:val="clear" w:color="auto" w:fill="auto"/>
          <w:lang w:val="en-US"/>
        </w:rPr>
        <w:t>Proposal 3: It is proposed for RAN2 to support for removing the limitation of NR QoE container size. How to perform the NR QoE data segmentation can base on lower layers implementation.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LS from RAN3</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 xml:space="preserve">Besides the reply LS, RAN3 also sends another LS(R3-214477) which contains the RAN3 agreements and questions on NR QoE to RAN2. </w:t>
      </w:r>
    </w:p>
    <w:p>
      <w:pPr>
        <w:widowControl w:val="0"/>
        <w:numPr>
          <w:ilvl w:val="0"/>
          <w:numId w:val="6"/>
        </w:numPr>
        <w:spacing w:after="160" w:line="259" w:lineRule="auto"/>
        <w:jc w:val="both"/>
        <w:rPr>
          <w:rFonts w:hint="default" w:eastAsia="宋体"/>
          <w:b w:val="0"/>
          <w:bCs w:val="0"/>
          <w:u w:val="single"/>
          <w:lang w:val="en-US" w:eastAsia="zh-CN"/>
        </w:rPr>
      </w:pPr>
      <w:r>
        <w:rPr>
          <w:rFonts w:hint="default" w:eastAsia="宋体"/>
          <w:b w:val="0"/>
          <w:bCs w:val="0"/>
          <w:u w:val="single"/>
          <w:lang w:val="en-US" w:eastAsia="zh-CN"/>
        </w:rPr>
        <w:t>RAN visible QoE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RAN3 asks that whether RAN visible QoE data should be reported via either high-priority SRB(e.g. SRB1, SRB3) or low-priority SRB4. From our understanding, QoE reporting does not share as same priority as the other CP data. What’s more, from the Uu interface point of view, there is no difference between RV QoE data and other CP data. Therefore, RV QoE data can be transported via SRB4 combined with other NR QoE reporting data.</w:t>
      </w:r>
    </w:p>
    <w:p>
      <w:pPr>
        <w:widowControl w:val="0"/>
        <w:numPr>
          <w:ilvl w:val="0"/>
          <w:numId w:val="6"/>
        </w:numPr>
        <w:spacing w:after="160" w:line="259" w:lineRule="auto"/>
        <w:ind w:left="0" w:leftChars="0" w:firstLine="0" w:firstLineChars="0"/>
        <w:jc w:val="both"/>
        <w:rPr>
          <w:rFonts w:hint="default" w:eastAsia="宋体"/>
          <w:b w:val="0"/>
          <w:bCs w:val="0"/>
          <w:u w:val="single"/>
          <w:lang w:val="en-US" w:eastAsia="zh-CN"/>
        </w:rPr>
      </w:pPr>
      <w:r>
        <w:rPr>
          <w:rFonts w:hint="default" w:eastAsia="宋体"/>
          <w:b w:val="0"/>
          <w:bCs w:val="0"/>
          <w:u w:val="single"/>
          <w:lang w:val="en-US" w:eastAsia="zh-CN"/>
        </w:rPr>
        <w:t>Pause status information</w:t>
      </w:r>
    </w:p>
    <w:p>
      <w:pPr>
        <w:widowControl w:val="0"/>
        <w:numPr>
          <w:ilvl w:val="0"/>
          <w:numId w:val="0"/>
        </w:numPr>
        <w:spacing w:after="160" w:line="259" w:lineRule="auto"/>
        <w:ind w:leftChars="0"/>
        <w:jc w:val="both"/>
        <w:rPr>
          <w:rFonts w:hint="default" w:eastAsia="宋体"/>
          <w:b w:val="0"/>
          <w:bCs w:val="0"/>
          <w:highlight w:val="none"/>
          <w:lang w:val="en-US" w:eastAsia="zh-CN"/>
        </w:rPr>
      </w:pPr>
      <w:r>
        <w:rPr>
          <w:rFonts w:hint="default" w:eastAsia="宋体"/>
          <w:b w:val="0"/>
          <w:bCs w:val="0"/>
          <w:lang w:val="en-US" w:eastAsia="zh-CN"/>
        </w:rPr>
        <w:t>For QoE mobility perspective, RAN3 asks RAN2 to add the pause status information into an appropriate inter-node RRC message. There is no reason for RAN2 to reject the RAN3’s requirement if RAN2 finally agrees to introduce the pause/resume QoE function in Rel-17. Detail description about the pause/resume function can be fo</w:t>
      </w:r>
      <w:r>
        <w:rPr>
          <w:rFonts w:hint="default" w:eastAsia="宋体"/>
          <w:b w:val="0"/>
          <w:bCs w:val="0"/>
          <w:highlight w:val="none"/>
          <w:lang w:val="en-US" w:eastAsia="zh-CN"/>
        </w:rPr>
        <w:t>und in our contribution(R2-2110989).</w:t>
      </w:r>
    </w:p>
    <w:p>
      <w:pPr>
        <w:widowControl w:val="0"/>
        <w:numPr>
          <w:ilvl w:val="0"/>
          <w:numId w:val="6"/>
        </w:numPr>
        <w:spacing w:after="160" w:line="259" w:lineRule="auto"/>
        <w:ind w:left="0" w:leftChars="0" w:firstLine="0" w:firstLineChars="0"/>
        <w:jc w:val="both"/>
        <w:rPr>
          <w:rFonts w:hint="default" w:eastAsia="宋体"/>
          <w:b w:val="0"/>
          <w:bCs w:val="0"/>
          <w:u w:val="single"/>
          <w:lang w:val="en-US" w:eastAsia="zh-CN"/>
        </w:rPr>
      </w:pPr>
      <w:r>
        <w:rPr>
          <w:rFonts w:hint="default" w:eastAsia="宋体"/>
          <w:b w:val="0"/>
          <w:bCs w:val="0"/>
          <w:u w:val="single"/>
          <w:lang w:val="en-US" w:eastAsia="zh-CN"/>
        </w:rPr>
        <w:t xml:space="preserve">UE capability </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Besides the above two questions, RAN3 also asks RAN2 to define UE capability to support RAN visible QoE measurement. We think this can also be done at RAN2 side in Rel-17.</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Proposal 4: RV QoE data shall be transported via SRB4.</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Proposal 5: RAN2 shall define UE capability for RAN visible QoE measurement in Rel-17.</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RAN2 remaining issues</w:t>
      </w:r>
    </w:p>
    <w:p>
      <w:pPr>
        <w:rPr>
          <w:rFonts w:hint="default"/>
          <w:u w:val="single"/>
          <w:lang w:val="en-US" w:eastAsia="zh-CN"/>
        </w:rPr>
      </w:pPr>
      <w:r>
        <w:rPr>
          <w:rFonts w:hint="default"/>
          <w:u w:val="single"/>
          <w:lang w:val="en-US" w:eastAsia="zh-CN"/>
        </w:rPr>
        <w:t>RRC level ID</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 xml:space="preserve">In RAN2#115e, RAN2 has made agreement that a RRC level ID will be used for NR QoE. Whether forward the new ID together with the QoE configuration to the app layer should be FFS. During the previous meeting, companies believed that QoE reference ID may point to more than one QoE configuration. From our point of view, the mapping relationship between QoE reference ID and QoE configuration is fully determined by SA5. </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 xml:space="preserve">Observation 2: The mapping relationship between QoE reference ID and QoE configuration is fully determined by SA WGs. </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Moreover, the following content can be found in LS(S5-214186) which is sent from SA5 to RAN3 (no CC RAN2):</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SA5: For UMTS and LTE, one QMC job identified by QoE Reference is per service type. SA5 hasn’t discussed whether one QMC job identified by QoE Reference is per service type or per slice for NR QoE.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 xml:space="preserve">It is obvious that SA5 has never discussed the QoE reference ID mapping relationship in NR. The reason why many companies in RAN2 believed that the QoE reference ID may map multiple QoE configuration(or QMC jobs) is that in both UMTS and LTE, the QoE reference ID is configured per service type. Considering one QoE measurement can be configured for one certain service type in either UMTS or LTE, we can also believe that the QoE reference ID is configured per QoE configuration(or QMC job). </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bCs/>
          <w:lang w:val="en-US" w:eastAsia="zh-CN"/>
        </w:rPr>
        <w:t>Observation 3: The mapping relationship between QoE reference ID, service type, and QoE measurement configuration is clear in either UMTS or LTE.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 xml:space="preserve">Because of network slicing, one certain service type is possible to be configured multiple QoE configurations in NR. Meanwhile, SA5 has never discussed the relationship between QoE reference ID, service type, and QoE measurement configuration. Though the QoE reference ID’s mapping relationship should be determined by SA5, from simplicity perspective, we believe that the QoE reference ID should be configured per QoE measurement configuration(or per QMC job). Hence, when NW needs to perform the override or release procedure to a QoE measurement configuration(or a QMC job), the QoE reference ID can be used by the MCE to address the specific QoE configuration if it is configured per QoE measurement configuration or per QMC job. </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If the QoE reference ID is configured per service type, it is hard for MCE to release one QoE measurement configuration or perform override procedure without influence other QoE measurement configurations in the same service type.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In short, considering the relationship between QoE reference ID, service type, QMC job, and QoE measurement configuration is high related to the topic about whether forward the RRC level QoE ID to the app layer, RAN2 shall postpone this discussion until SA5 further clarifies the mapping relationship of QoE reference ID .</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Proposal 6: RAN2 shall postpone discussion on whether forward the QoE RRC level ID to app layer until SA5 further clarifies the mapping relationship of QoE reference ID .</w:t>
      </w:r>
    </w:p>
    <w:p>
      <w:pPr>
        <w:widowControl w:val="0"/>
        <w:numPr>
          <w:ilvl w:val="0"/>
          <w:numId w:val="0"/>
        </w:numPr>
        <w:spacing w:after="160" w:line="259" w:lineRule="auto"/>
        <w:jc w:val="both"/>
        <w:rPr>
          <w:rFonts w:hint="default" w:eastAsia="宋体"/>
          <w:b w:val="0"/>
          <w:bCs w:val="0"/>
          <w:u w:val="single"/>
          <w:lang w:val="en-US" w:eastAsia="zh-CN"/>
        </w:rPr>
      </w:pPr>
      <w:r>
        <w:rPr>
          <w:rFonts w:hint="default" w:eastAsia="宋体"/>
          <w:b w:val="0"/>
          <w:bCs w:val="0"/>
          <w:u w:val="single"/>
          <w:lang w:val="en-US" w:eastAsia="zh-CN"/>
        </w:rPr>
        <w:t>Granularity of the QoE configuration in RRCResume</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In previous RAN2 meeting, companies have agreed that the QoE measurement can not perform when UE in RRC_INACTIVE. Hence, it is clear that no QoE data can be generated during the RRC_INACTIVE period. The aim of this procedure is used to notice UE which QoE configuration should be kept after RRC resume. For a kept QoE configuration when UE re-enters RRC_CONNECTED, it may be activated and generate QoE reporting data some time. Namely, the QoE configuration can either be kept or released during the RRC Resume procedure. Currently, two alternatives can be discussed in RAN2:</w:t>
      </w:r>
    </w:p>
    <w:p>
      <w:pPr>
        <w:widowControl w:val="0"/>
        <w:numPr>
          <w:ilvl w:val="0"/>
          <w:numId w:val="7"/>
        </w:numPr>
        <w:spacing w:after="160" w:line="259" w:lineRule="auto"/>
        <w:jc w:val="both"/>
        <w:rPr>
          <w:rFonts w:hint="default" w:eastAsia="宋体"/>
          <w:b w:val="0"/>
          <w:bCs w:val="0"/>
          <w:lang w:val="en-US" w:eastAsia="zh-CN"/>
        </w:rPr>
      </w:pPr>
      <w:r>
        <w:rPr>
          <w:rFonts w:hint="default" w:eastAsia="宋体"/>
          <w:b w:val="0"/>
          <w:bCs w:val="0"/>
          <w:lang w:val="en-US" w:eastAsia="zh-CN"/>
        </w:rPr>
        <w:t>One common indicator can be used to keep all QoE configuration during the RRC Resume procedure. For the QoE configuration which should be released, the existing QoE confiiguration release procedure can be performed after UE switches to RRC_CONNECTED.</w:t>
      </w:r>
    </w:p>
    <w:p>
      <w:pPr>
        <w:widowControl w:val="0"/>
        <w:numPr>
          <w:ilvl w:val="0"/>
          <w:numId w:val="7"/>
        </w:numPr>
        <w:spacing w:after="160" w:line="259" w:lineRule="auto"/>
        <w:jc w:val="both"/>
        <w:rPr>
          <w:rFonts w:hint="default" w:eastAsia="宋体"/>
          <w:b w:val="0"/>
          <w:bCs w:val="0"/>
          <w:lang w:val="en-US" w:eastAsia="zh-CN"/>
        </w:rPr>
      </w:pPr>
      <w:r>
        <w:rPr>
          <w:rFonts w:hint="default" w:eastAsia="宋体"/>
          <w:b w:val="0"/>
          <w:bCs w:val="0"/>
          <w:lang w:val="en-US" w:eastAsia="zh-CN"/>
        </w:rPr>
        <w:t>A QoE configuration list can be used to indicate UE which QoE configuration should be released or kept.</w:t>
      </w:r>
    </w:p>
    <w:p>
      <w:pPr>
        <w:widowControl w:val="0"/>
        <w:numPr>
          <w:ilvl w:val="0"/>
          <w:numId w:val="0"/>
        </w:numPr>
        <w:spacing w:after="160" w:line="259" w:lineRule="auto"/>
        <w:jc w:val="both"/>
        <w:rPr>
          <w:rFonts w:hint="default" w:eastAsia="宋体"/>
          <w:b w:val="0"/>
          <w:bCs w:val="0"/>
          <w:lang w:val="en-US" w:eastAsia="zh-CN"/>
        </w:rPr>
      </w:pPr>
      <w:r>
        <w:rPr>
          <w:rFonts w:hint="default" w:eastAsia="宋体"/>
          <w:b w:val="0"/>
          <w:bCs w:val="0"/>
          <w:lang w:val="en-US" w:eastAsia="zh-CN"/>
        </w:rPr>
        <w:t>Considering RAN2 has already define a QoE release procedure when UE in RRC_CONNECTED, we prefer the first alternative.</w:t>
      </w:r>
    </w:p>
    <w:p>
      <w:pPr>
        <w:widowControl w:val="0"/>
        <w:numPr>
          <w:ilvl w:val="0"/>
          <w:numId w:val="0"/>
        </w:numPr>
        <w:spacing w:after="160" w:line="259" w:lineRule="auto"/>
        <w:jc w:val="both"/>
        <w:rPr>
          <w:rFonts w:hint="default" w:eastAsia="宋体"/>
          <w:b/>
          <w:bCs/>
          <w:lang w:val="en-US" w:eastAsia="zh-CN"/>
        </w:rPr>
      </w:pPr>
      <w:r>
        <w:rPr>
          <w:rFonts w:hint="default" w:eastAsia="宋体"/>
          <w:b/>
          <w:bCs/>
          <w:lang w:val="en-US" w:eastAsia="zh-CN"/>
        </w:rPr>
        <w:t>Proposal 7: One common indicator can be used to keep all QoE configurations during the RRC Resume procedure.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Based on the discussions above, we have the following proposal.</w:t>
      </w:r>
    </w:p>
    <w:p>
      <w:pPr>
        <w:bidi w:val="0"/>
        <w:rPr>
          <w:rFonts w:hint="eastAsia"/>
          <w:b/>
          <w:bCs/>
          <w:lang w:val="en-US" w:eastAsia="zh-CN"/>
        </w:rPr>
      </w:pPr>
      <w:r>
        <w:rPr>
          <w:rFonts w:hint="eastAsia"/>
          <w:b/>
          <w:bCs/>
          <w:lang w:val="en-US" w:eastAsia="zh-CN"/>
        </w:rPr>
        <w:t>Observation 1: Currently, SA5 does not consider modification of the QoE measurement configuration.</w:t>
      </w:r>
    </w:p>
    <w:p>
      <w:pPr>
        <w:bidi w:val="0"/>
        <w:rPr>
          <w:rFonts w:hint="eastAsia"/>
          <w:b/>
          <w:bCs/>
          <w:lang w:val="en-US" w:eastAsia="zh-CN"/>
        </w:rPr>
      </w:pPr>
      <w:r>
        <w:rPr>
          <w:rFonts w:hint="eastAsia"/>
          <w:b/>
          <w:bCs/>
          <w:lang w:val="en-US" w:eastAsia="zh-CN"/>
        </w:rPr>
        <w:t>Proposal 1: Modification of NR QoE configuration is not supported.</w:t>
      </w:r>
    </w:p>
    <w:p>
      <w:pPr>
        <w:bidi w:val="0"/>
        <w:rPr>
          <w:rFonts w:hint="eastAsia"/>
          <w:b/>
          <w:bCs/>
          <w:lang w:val="en-US" w:eastAsia="zh-CN"/>
        </w:rPr>
      </w:pPr>
      <w:r>
        <w:rPr>
          <w:rFonts w:hint="eastAsia"/>
          <w:b/>
          <w:bCs/>
          <w:lang w:val="en-US" w:eastAsia="zh-CN"/>
        </w:rPr>
        <w:t xml:space="preserve">Proposal 2: RAN2 shall support to provide multiple QoE measurement configurations for one certain service type in NR QoE. </w:t>
      </w:r>
    </w:p>
    <w:p>
      <w:pPr>
        <w:bidi w:val="0"/>
        <w:rPr>
          <w:rFonts w:hint="eastAsia"/>
          <w:b/>
          <w:bCs/>
          <w:lang w:val="en-US" w:eastAsia="zh-CN"/>
        </w:rPr>
      </w:pPr>
      <w:r>
        <w:rPr>
          <w:rFonts w:hint="eastAsia"/>
          <w:b/>
          <w:bCs/>
          <w:lang w:val="en-US" w:eastAsia="zh-CN"/>
        </w:rPr>
        <w:t>Proposal 3: It is proposed for RAN2 to support for removing the limitation of NR QoE container size. How to perform the NR QoE data segmentation can base on lower layers implementation.</w:t>
      </w:r>
    </w:p>
    <w:p>
      <w:pPr>
        <w:bidi w:val="0"/>
        <w:rPr>
          <w:rFonts w:hint="eastAsia"/>
          <w:b/>
          <w:bCs/>
          <w:lang w:val="en-US" w:eastAsia="zh-CN"/>
        </w:rPr>
      </w:pPr>
      <w:r>
        <w:rPr>
          <w:rFonts w:hint="eastAsia"/>
          <w:b/>
          <w:bCs/>
          <w:lang w:val="en-US" w:eastAsia="zh-CN"/>
        </w:rPr>
        <w:t>Proposal 4: RV QoE data shall be transported via SRB4.</w:t>
      </w:r>
    </w:p>
    <w:p>
      <w:pPr>
        <w:bidi w:val="0"/>
        <w:rPr>
          <w:rFonts w:hint="eastAsia"/>
          <w:b/>
          <w:bCs/>
          <w:lang w:val="en-US" w:eastAsia="zh-CN"/>
        </w:rPr>
      </w:pPr>
      <w:r>
        <w:rPr>
          <w:rFonts w:hint="eastAsia"/>
          <w:b/>
          <w:bCs/>
          <w:lang w:val="en-US" w:eastAsia="zh-CN"/>
        </w:rPr>
        <w:t>Proposal 5: RAN2 shall define UE capability for RAN visible QoE measurement in Rel-17.</w:t>
      </w:r>
    </w:p>
    <w:p>
      <w:pPr>
        <w:bidi w:val="0"/>
        <w:rPr>
          <w:rFonts w:hint="eastAsia"/>
          <w:b/>
          <w:bCs/>
          <w:lang w:val="en-US" w:eastAsia="zh-CN"/>
        </w:rPr>
      </w:pPr>
      <w:r>
        <w:rPr>
          <w:rFonts w:hint="eastAsia"/>
          <w:b/>
          <w:bCs/>
          <w:lang w:val="en-US" w:eastAsia="zh-CN"/>
        </w:rPr>
        <w:t xml:space="preserve">Observation 2: The mapping relationship between QoE reference ID and QoE configuration is fully determined by SA WGs. </w:t>
      </w:r>
    </w:p>
    <w:p>
      <w:pPr>
        <w:bidi w:val="0"/>
        <w:rPr>
          <w:rFonts w:hint="eastAsia"/>
          <w:b/>
          <w:bCs/>
          <w:lang w:val="en-US" w:eastAsia="zh-CN"/>
        </w:rPr>
      </w:pPr>
      <w:r>
        <w:rPr>
          <w:rFonts w:hint="eastAsia"/>
          <w:b/>
          <w:bCs/>
          <w:lang w:val="en-US" w:eastAsia="zh-CN"/>
        </w:rPr>
        <w:t>Observation 3: The mapping relationship between QoE reference ID, service type, and QoE measurement configuration is clear in either UMTS or LTE.</w:t>
      </w:r>
    </w:p>
    <w:p>
      <w:pPr>
        <w:bidi w:val="0"/>
        <w:rPr>
          <w:rFonts w:hint="eastAsia"/>
          <w:b/>
          <w:bCs/>
          <w:lang w:val="en-US" w:eastAsia="zh-CN"/>
        </w:rPr>
      </w:pPr>
      <w:r>
        <w:rPr>
          <w:rFonts w:hint="eastAsia"/>
          <w:b/>
          <w:bCs/>
          <w:lang w:val="en-US" w:eastAsia="zh-CN"/>
        </w:rPr>
        <w:t>Proposal 6: RAN2 shall postpone discussion on whether forward the QoE RRC level ID to app layer until SA5 further clarifies the mapping relationship of QoE reference ID .</w:t>
      </w:r>
    </w:p>
    <w:p>
      <w:pPr>
        <w:bidi w:val="0"/>
        <w:rPr>
          <w:rFonts w:hint="eastAsia"/>
          <w:b/>
          <w:bCs/>
          <w:lang w:val="en-US" w:eastAsia="zh-CN"/>
        </w:rPr>
      </w:pPr>
      <w:r>
        <w:rPr>
          <w:rFonts w:hint="eastAsia"/>
          <w:b/>
          <w:bCs/>
          <w:lang w:val="en-US" w:eastAsia="zh-CN"/>
        </w:rPr>
        <w:t>Proposal 7: One common indicator can be used to keep all QoE configurations during the RRC Resume procedure.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8403976"/>
      <w:bookmarkStart w:id="9" w:name="_Toc18413612"/>
      <w:bookmarkStart w:id="10" w:name="_Toc18404543"/>
      <w:bookmarkStart w:id="11" w:name="OLE_LINK4"/>
      <w:r>
        <w:rPr>
          <w:rFonts w:cs="Arial"/>
          <w:b w:val="0"/>
          <w:bCs w:val="0"/>
          <w:kern w:val="0"/>
          <w:sz w:val="32"/>
          <w:szCs w:val="36"/>
        </w:rPr>
        <w:t>References</w:t>
      </w:r>
      <w:bookmarkEnd w:id="8"/>
      <w:bookmarkEnd w:id="9"/>
      <w:bookmarkEnd w:id="10"/>
    </w:p>
    <w:p>
      <w:pPr>
        <w:numPr>
          <w:ilvl w:val="0"/>
          <w:numId w:val="8"/>
        </w:numPr>
        <w:spacing w:line="240" w:lineRule="auto"/>
        <w:rPr>
          <w:rFonts w:eastAsia="宋体" w:cs="Arial"/>
          <w:lang w:val="en-US" w:eastAsia="zh-CN"/>
        </w:rPr>
      </w:pPr>
      <w:bookmarkStart w:id="12" w:name="OLE_LINK3"/>
      <w:r>
        <w:rPr>
          <w:rFonts w:hint="eastAsia" w:eastAsia="宋体" w:cs="Arial"/>
          <w:sz w:val="21"/>
          <w:szCs w:val="21"/>
          <w:highlight w:val="none"/>
          <w:lang w:val="en-US" w:eastAsia="zh-CN"/>
        </w:rPr>
        <w:t>Chairman note for RAN2-115-e.</w:t>
      </w:r>
    </w:p>
    <w:p>
      <w:pPr>
        <w:numPr>
          <w:ilvl w:val="0"/>
          <w:numId w:val="8"/>
        </w:numPr>
        <w:spacing w:line="240" w:lineRule="auto"/>
        <w:rPr>
          <w:rFonts w:eastAsia="宋体" w:cs="Arial"/>
          <w:lang w:val="en-US" w:eastAsia="zh-CN"/>
        </w:rPr>
      </w:pPr>
      <w:r>
        <w:rPr>
          <w:rFonts w:hint="default" w:eastAsia="宋体"/>
          <w:lang w:val="en-US" w:eastAsia="zh-CN"/>
        </w:rPr>
        <w:t>S5-214520</w:t>
      </w:r>
      <w:r>
        <w:rPr>
          <w:rFonts w:hint="eastAsia" w:eastAsia="宋体"/>
          <w:lang w:val="en-US" w:eastAsia="zh-CN"/>
        </w:rPr>
        <w:t xml:space="preserve">, </w:t>
      </w:r>
      <w:r>
        <w:rPr>
          <w:rFonts w:hint="eastAsia" w:eastAsia="宋体" w:cs="Arial"/>
          <w:lang w:val="en-US" w:eastAsia="zh-CN"/>
        </w:rPr>
        <w:t>Reply LS on QoE configuration and reporting related issues</w:t>
      </w:r>
      <w:r>
        <w:rPr>
          <w:rFonts w:hint="default" w:eastAsia="宋体" w:cs="Arial"/>
          <w:lang w:val="en-US" w:eastAsia="zh-CN"/>
        </w:rPr>
        <w:t>.</w:t>
      </w:r>
    </w:p>
    <w:p>
      <w:pPr>
        <w:numPr>
          <w:ilvl w:val="0"/>
          <w:numId w:val="8"/>
        </w:numPr>
        <w:spacing w:line="240" w:lineRule="auto"/>
        <w:rPr>
          <w:rFonts w:eastAsia="宋体" w:cs="Arial"/>
          <w:lang w:val="en-US" w:eastAsia="zh-CN"/>
        </w:rPr>
      </w:pPr>
      <w:r>
        <w:rPr>
          <w:rFonts w:hint="eastAsia" w:eastAsia="宋体" w:cs="Arial"/>
          <w:lang w:val="en-US" w:eastAsia="zh-CN"/>
        </w:rPr>
        <w:t>R3-214471</w:t>
      </w:r>
      <w:r>
        <w:rPr>
          <w:rFonts w:hint="default" w:eastAsia="宋体" w:cs="Arial"/>
          <w:lang w:val="en-US" w:eastAsia="zh-CN"/>
        </w:rPr>
        <w:t>, Reply LS on QoE configuration and reporting related issues.</w:t>
      </w:r>
    </w:p>
    <w:p>
      <w:pPr>
        <w:numPr>
          <w:ilvl w:val="0"/>
          <w:numId w:val="8"/>
        </w:numPr>
        <w:spacing w:line="240" w:lineRule="auto"/>
        <w:rPr>
          <w:rFonts w:eastAsia="宋体" w:cs="Arial"/>
          <w:lang w:val="en-US" w:eastAsia="zh-CN"/>
        </w:rPr>
      </w:pPr>
      <w:r>
        <w:rPr>
          <w:rFonts w:hint="eastAsia" w:eastAsia="宋体" w:cs="Arial"/>
          <w:lang w:val="en-US" w:eastAsia="zh-CN"/>
        </w:rPr>
        <w:t>S4-211059</w:t>
      </w:r>
      <w:r>
        <w:rPr>
          <w:rFonts w:hint="default" w:eastAsia="宋体" w:cs="Arial"/>
          <w:lang w:val="en-US" w:eastAsia="zh-CN"/>
        </w:rPr>
        <w:t>, Reply LS on QoE configuration and reporting related issues.</w:t>
      </w:r>
    </w:p>
    <w:p>
      <w:pPr>
        <w:numPr>
          <w:ilvl w:val="0"/>
          <w:numId w:val="8"/>
        </w:numPr>
        <w:spacing w:line="240" w:lineRule="auto"/>
        <w:rPr>
          <w:rFonts w:eastAsia="宋体" w:cs="Arial"/>
          <w:lang w:val="en-US" w:eastAsia="zh-CN"/>
        </w:rPr>
      </w:pPr>
      <w:r>
        <w:rPr>
          <w:rFonts w:hint="eastAsia" w:eastAsia="宋体" w:cs="Arial"/>
          <w:lang w:val="en-US" w:eastAsia="zh-CN"/>
        </w:rPr>
        <w:t>S5-214186</w:t>
      </w:r>
      <w:r>
        <w:rPr>
          <w:rFonts w:hint="default" w:eastAsia="宋体" w:cs="Arial"/>
          <w:lang w:val="en-US" w:eastAsia="zh-CN"/>
        </w:rPr>
        <w:t>, Reply LS on (de)activation and failure handling of NR QMC.</w:t>
      </w:r>
    </w:p>
    <w:p>
      <w:pPr>
        <w:numPr>
          <w:ilvl w:val="0"/>
          <w:numId w:val="8"/>
        </w:numPr>
        <w:spacing w:line="240" w:lineRule="auto"/>
        <w:rPr>
          <w:rFonts w:eastAsia="宋体" w:cs="Arial"/>
          <w:lang w:val="en-US" w:eastAsia="zh-CN"/>
        </w:rPr>
      </w:pPr>
      <w:r>
        <w:rPr>
          <w:rFonts w:hint="eastAsia" w:eastAsia="宋体" w:cs="Arial"/>
          <w:lang w:val="en-US" w:eastAsia="zh-CN"/>
        </w:rPr>
        <w:t>R3-214477</w:t>
      </w:r>
      <w:r>
        <w:rPr>
          <w:rFonts w:hint="default" w:eastAsia="宋体" w:cs="Arial"/>
          <w:lang w:val="en-US" w:eastAsia="zh-CN"/>
        </w:rPr>
        <w:t xml:space="preserve">, </w:t>
      </w:r>
      <w:r>
        <w:rPr>
          <w:rFonts w:hint="eastAsia" w:ascii="Arial" w:hAnsi="Arial" w:eastAsia="宋体" w:cs="Arial"/>
          <w:bCs/>
          <w:lang w:eastAsia="zh-CN"/>
        </w:rPr>
        <w:t xml:space="preserve">LS on </w:t>
      </w:r>
      <w:r>
        <w:rPr>
          <w:rFonts w:ascii="Arial" w:hAnsi="Arial" w:eastAsia="宋体" w:cs="Arial"/>
          <w:bCs/>
          <w:lang w:eastAsia="zh-CN"/>
        </w:rPr>
        <w:t>RAN3 agreements for NR QoE</w:t>
      </w:r>
      <w:r>
        <w:rPr>
          <w:rFonts w:hint="default" w:eastAsia="宋体" w:cs="Arial"/>
          <w:bCs/>
          <w:lang w:val="en-US" w:eastAsia="zh-CN"/>
        </w:rPr>
        <w:t>.</w:t>
      </w:r>
    </w:p>
    <w:bookmarkEnd w:id="11"/>
    <w:bookmarkEnd w:id="12"/>
    <w:p>
      <w:pPr>
        <w:numPr>
          <w:ilvl w:val="0"/>
          <w:numId w:val="0"/>
        </w:numPr>
        <w:spacing w:line="240" w:lineRule="auto"/>
        <w:rPr>
          <w:rFonts w:cs="Arial"/>
          <w:color w:val="000000"/>
          <w:sz w:val="21"/>
          <w:szCs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2A31CC7"/>
    <w:multiLevelType w:val="singleLevel"/>
    <w:tmpl w:val="C2A31CC7"/>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7431EB7"/>
    <w:multiLevelType w:val="singleLevel"/>
    <w:tmpl w:val="47431EB7"/>
    <w:lvl w:ilvl="0" w:tentative="0">
      <w:start w:val="1"/>
      <w:numFmt w:val="decimal"/>
      <w:suff w:val="space"/>
      <w:lvlText w:val="%1."/>
      <w:lvlJc w:val="left"/>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7"/>
  </w:num>
  <w:num w:numId="3">
    <w:abstractNumId w:val="4"/>
  </w:num>
  <w:num w:numId="4">
    <w:abstractNumId w:val="5"/>
  </w:num>
  <w:num w:numId="5">
    <w:abstractNumId w:val="3"/>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9D"/>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2DB57DD"/>
    <w:rsid w:val="02E07757"/>
    <w:rsid w:val="03414DFF"/>
    <w:rsid w:val="03695ACD"/>
    <w:rsid w:val="037439E2"/>
    <w:rsid w:val="03BC3684"/>
    <w:rsid w:val="0427122D"/>
    <w:rsid w:val="04405CD4"/>
    <w:rsid w:val="044F0676"/>
    <w:rsid w:val="0473134F"/>
    <w:rsid w:val="04E51F0A"/>
    <w:rsid w:val="052848EA"/>
    <w:rsid w:val="05AE40A8"/>
    <w:rsid w:val="05D1293B"/>
    <w:rsid w:val="05FC29C6"/>
    <w:rsid w:val="06270E5D"/>
    <w:rsid w:val="06301129"/>
    <w:rsid w:val="065A1065"/>
    <w:rsid w:val="07332E45"/>
    <w:rsid w:val="07393CB3"/>
    <w:rsid w:val="073A0439"/>
    <w:rsid w:val="07645E7E"/>
    <w:rsid w:val="07815AA2"/>
    <w:rsid w:val="07DB31F6"/>
    <w:rsid w:val="08036844"/>
    <w:rsid w:val="083828A5"/>
    <w:rsid w:val="08634AA9"/>
    <w:rsid w:val="086A0D8F"/>
    <w:rsid w:val="08870B03"/>
    <w:rsid w:val="09253E9C"/>
    <w:rsid w:val="0929781C"/>
    <w:rsid w:val="095438C6"/>
    <w:rsid w:val="09661E2C"/>
    <w:rsid w:val="098B1EF5"/>
    <w:rsid w:val="09911B95"/>
    <w:rsid w:val="09945F3A"/>
    <w:rsid w:val="09A3638E"/>
    <w:rsid w:val="09AC5B6F"/>
    <w:rsid w:val="09CB5A6C"/>
    <w:rsid w:val="09F00BD8"/>
    <w:rsid w:val="09F318B6"/>
    <w:rsid w:val="09FD6E02"/>
    <w:rsid w:val="0A1A74F5"/>
    <w:rsid w:val="0A1D73FF"/>
    <w:rsid w:val="0A697E61"/>
    <w:rsid w:val="0A6C20A2"/>
    <w:rsid w:val="0A750F68"/>
    <w:rsid w:val="0AE2118C"/>
    <w:rsid w:val="0AE61C59"/>
    <w:rsid w:val="0AEC356E"/>
    <w:rsid w:val="0B545B44"/>
    <w:rsid w:val="0BC81D14"/>
    <w:rsid w:val="0C34609D"/>
    <w:rsid w:val="0C4A196E"/>
    <w:rsid w:val="0CBA1583"/>
    <w:rsid w:val="0CBC415D"/>
    <w:rsid w:val="0CD249CC"/>
    <w:rsid w:val="0CE47597"/>
    <w:rsid w:val="0D2B0BDD"/>
    <w:rsid w:val="0D9222C1"/>
    <w:rsid w:val="0DC045AB"/>
    <w:rsid w:val="0DFF7D07"/>
    <w:rsid w:val="0E374CA0"/>
    <w:rsid w:val="0E6F0740"/>
    <w:rsid w:val="0EC0431F"/>
    <w:rsid w:val="0F321E2D"/>
    <w:rsid w:val="0F4E2E70"/>
    <w:rsid w:val="0F6715A1"/>
    <w:rsid w:val="0F8070F6"/>
    <w:rsid w:val="0FA731D6"/>
    <w:rsid w:val="10232DBB"/>
    <w:rsid w:val="103246BB"/>
    <w:rsid w:val="103F55E5"/>
    <w:rsid w:val="105A35D2"/>
    <w:rsid w:val="108C2AA3"/>
    <w:rsid w:val="10A749EB"/>
    <w:rsid w:val="10DE14BF"/>
    <w:rsid w:val="10DF3115"/>
    <w:rsid w:val="11247E98"/>
    <w:rsid w:val="113B16FE"/>
    <w:rsid w:val="113E3C41"/>
    <w:rsid w:val="11AB1608"/>
    <w:rsid w:val="11B5797D"/>
    <w:rsid w:val="11DD4AE3"/>
    <w:rsid w:val="11E15AE5"/>
    <w:rsid w:val="11E53E9B"/>
    <w:rsid w:val="11FC5F30"/>
    <w:rsid w:val="120048B1"/>
    <w:rsid w:val="12015140"/>
    <w:rsid w:val="12394E59"/>
    <w:rsid w:val="1299671F"/>
    <w:rsid w:val="12A742B1"/>
    <w:rsid w:val="13003DDF"/>
    <w:rsid w:val="131813A1"/>
    <w:rsid w:val="131F5CE6"/>
    <w:rsid w:val="13DC640D"/>
    <w:rsid w:val="13F01C1F"/>
    <w:rsid w:val="141842FE"/>
    <w:rsid w:val="14352831"/>
    <w:rsid w:val="14402985"/>
    <w:rsid w:val="146B64E1"/>
    <w:rsid w:val="148B5A94"/>
    <w:rsid w:val="14993B21"/>
    <w:rsid w:val="14B77E4B"/>
    <w:rsid w:val="14D73601"/>
    <w:rsid w:val="15014A40"/>
    <w:rsid w:val="15326235"/>
    <w:rsid w:val="156B4B8B"/>
    <w:rsid w:val="15890495"/>
    <w:rsid w:val="15E03D6F"/>
    <w:rsid w:val="15EF5060"/>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A008D8"/>
    <w:rsid w:val="18BC6F6C"/>
    <w:rsid w:val="18F32BCE"/>
    <w:rsid w:val="18FF4ABB"/>
    <w:rsid w:val="19343406"/>
    <w:rsid w:val="195B2085"/>
    <w:rsid w:val="19BF0200"/>
    <w:rsid w:val="1A45032B"/>
    <w:rsid w:val="1A640E62"/>
    <w:rsid w:val="1A713779"/>
    <w:rsid w:val="1A84217D"/>
    <w:rsid w:val="1A9B1F53"/>
    <w:rsid w:val="1AB641D7"/>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9418FB"/>
    <w:rsid w:val="1CBD093F"/>
    <w:rsid w:val="1CC83450"/>
    <w:rsid w:val="1CE21C50"/>
    <w:rsid w:val="1CE9601A"/>
    <w:rsid w:val="1D235F66"/>
    <w:rsid w:val="1D665A9E"/>
    <w:rsid w:val="1D667D51"/>
    <w:rsid w:val="1D8D3AB3"/>
    <w:rsid w:val="1DC566C0"/>
    <w:rsid w:val="1DE501D0"/>
    <w:rsid w:val="1DFC74E5"/>
    <w:rsid w:val="1E1A42CC"/>
    <w:rsid w:val="1E21472F"/>
    <w:rsid w:val="1E2804C4"/>
    <w:rsid w:val="1E2C49A1"/>
    <w:rsid w:val="1E3722FA"/>
    <w:rsid w:val="1E6D2126"/>
    <w:rsid w:val="1E8146DA"/>
    <w:rsid w:val="1EA46EA2"/>
    <w:rsid w:val="1EAA39F6"/>
    <w:rsid w:val="1EB2633F"/>
    <w:rsid w:val="1EB847E9"/>
    <w:rsid w:val="1F7330BE"/>
    <w:rsid w:val="1F8E0455"/>
    <w:rsid w:val="1FA76059"/>
    <w:rsid w:val="1FAF272D"/>
    <w:rsid w:val="1FB54401"/>
    <w:rsid w:val="1FBF6671"/>
    <w:rsid w:val="1FD0672A"/>
    <w:rsid w:val="1FE374E8"/>
    <w:rsid w:val="1FFC5344"/>
    <w:rsid w:val="204934AB"/>
    <w:rsid w:val="20573F56"/>
    <w:rsid w:val="20582C07"/>
    <w:rsid w:val="20705710"/>
    <w:rsid w:val="20840318"/>
    <w:rsid w:val="20930DFA"/>
    <w:rsid w:val="20B37ED4"/>
    <w:rsid w:val="20CE5836"/>
    <w:rsid w:val="20D02BC7"/>
    <w:rsid w:val="20F0405B"/>
    <w:rsid w:val="210637EE"/>
    <w:rsid w:val="210948AE"/>
    <w:rsid w:val="211E529B"/>
    <w:rsid w:val="213A5E32"/>
    <w:rsid w:val="214425B4"/>
    <w:rsid w:val="214E6154"/>
    <w:rsid w:val="215B24B5"/>
    <w:rsid w:val="216650DC"/>
    <w:rsid w:val="21D36B48"/>
    <w:rsid w:val="21D93ECC"/>
    <w:rsid w:val="221B7641"/>
    <w:rsid w:val="222E4F94"/>
    <w:rsid w:val="224F5646"/>
    <w:rsid w:val="22666B0B"/>
    <w:rsid w:val="229A0A46"/>
    <w:rsid w:val="22D5441E"/>
    <w:rsid w:val="22D61F71"/>
    <w:rsid w:val="232660FF"/>
    <w:rsid w:val="23BE01FF"/>
    <w:rsid w:val="23DF27A5"/>
    <w:rsid w:val="24013676"/>
    <w:rsid w:val="2410019C"/>
    <w:rsid w:val="2418652F"/>
    <w:rsid w:val="242C4F52"/>
    <w:rsid w:val="245A1846"/>
    <w:rsid w:val="248512BD"/>
    <w:rsid w:val="24E51B39"/>
    <w:rsid w:val="25173A41"/>
    <w:rsid w:val="252D5DCC"/>
    <w:rsid w:val="255B75CB"/>
    <w:rsid w:val="25841D88"/>
    <w:rsid w:val="25A45302"/>
    <w:rsid w:val="25A94E88"/>
    <w:rsid w:val="25E135DF"/>
    <w:rsid w:val="25EC33A1"/>
    <w:rsid w:val="261E413F"/>
    <w:rsid w:val="263E633F"/>
    <w:rsid w:val="267E599C"/>
    <w:rsid w:val="26C17FC8"/>
    <w:rsid w:val="27B132D6"/>
    <w:rsid w:val="27FF1FDA"/>
    <w:rsid w:val="28915210"/>
    <w:rsid w:val="28937E74"/>
    <w:rsid w:val="28953BF1"/>
    <w:rsid w:val="29095102"/>
    <w:rsid w:val="293E1B9C"/>
    <w:rsid w:val="294B7887"/>
    <w:rsid w:val="29A81AA0"/>
    <w:rsid w:val="29B32846"/>
    <w:rsid w:val="29ED63D5"/>
    <w:rsid w:val="2A275682"/>
    <w:rsid w:val="2A275D46"/>
    <w:rsid w:val="2A56622D"/>
    <w:rsid w:val="2A9376BC"/>
    <w:rsid w:val="2AA14025"/>
    <w:rsid w:val="2B2348E2"/>
    <w:rsid w:val="2B5D0645"/>
    <w:rsid w:val="2B907720"/>
    <w:rsid w:val="2BCD0751"/>
    <w:rsid w:val="2C153782"/>
    <w:rsid w:val="2C7F2EA6"/>
    <w:rsid w:val="2C8C2358"/>
    <w:rsid w:val="2C8E4E6A"/>
    <w:rsid w:val="2C9927E7"/>
    <w:rsid w:val="2CA56F60"/>
    <w:rsid w:val="2CAF2767"/>
    <w:rsid w:val="2CBF636A"/>
    <w:rsid w:val="2CFB59F1"/>
    <w:rsid w:val="2D125EB2"/>
    <w:rsid w:val="2D1E05D5"/>
    <w:rsid w:val="2D2140C5"/>
    <w:rsid w:val="2D5627A8"/>
    <w:rsid w:val="2D8D29A8"/>
    <w:rsid w:val="2D9A6090"/>
    <w:rsid w:val="2D9D4CC1"/>
    <w:rsid w:val="2DBD4FAF"/>
    <w:rsid w:val="2E09336F"/>
    <w:rsid w:val="2E2E46F8"/>
    <w:rsid w:val="2E615D6D"/>
    <w:rsid w:val="2EC27772"/>
    <w:rsid w:val="2ED0428B"/>
    <w:rsid w:val="2EFF20DE"/>
    <w:rsid w:val="2F263E1B"/>
    <w:rsid w:val="2F337D9E"/>
    <w:rsid w:val="2FD446C8"/>
    <w:rsid w:val="300160A4"/>
    <w:rsid w:val="3003631E"/>
    <w:rsid w:val="30430137"/>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072C4E"/>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2859DE"/>
    <w:rsid w:val="36336C04"/>
    <w:rsid w:val="366043F8"/>
    <w:rsid w:val="366626F2"/>
    <w:rsid w:val="366F5A51"/>
    <w:rsid w:val="36C26824"/>
    <w:rsid w:val="374F6194"/>
    <w:rsid w:val="377F6041"/>
    <w:rsid w:val="37BC7D72"/>
    <w:rsid w:val="37E15A1B"/>
    <w:rsid w:val="382E42A6"/>
    <w:rsid w:val="38626E95"/>
    <w:rsid w:val="38A75F14"/>
    <w:rsid w:val="38BD2C6C"/>
    <w:rsid w:val="38FA0996"/>
    <w:rsid w:val="39467E4B"/>
    <w:rsid w:val="39623B2A"/>
    <w:rsid w:val="396E02FE"/>
    <w:rsid w:val="3982272C"/>
    <w:rsid w:val="399133F9"/>
    <w:rsid w:val="399648C1"/>
    <w:rsid w:val="39BB3B43"/>
    <w:rsid w:val="3A156CE0"/>
    <w:rsid w:val="3A277789"/>
    <w:rsid w:val="3A2D66D3"/>
    <w:rsid w:val="3A891A0E"/>
    <w:rsid w:val="3A9620D1"/>
    <w:rsid w:val="3AA26C9B"/>
    <w:rsid w:val="3ADC5E36"/>
    <w:rsid w:val="3AEC5D83"/>
    <w:rsid w:val="3AFC2B33"/>
    <w:rsid w:val="3AFC41BB"/>
    <w:rsid w:val="3B7F2802"/>
    <w:rsid w:val="3B8B43E4"/>
    <w:rsid w:val="3BC33F8E"/>
    <w:rsid w:val="3BCE7F95"/>
    <w:rsid w:val="3BF13639"/>
    <w:rsid w:val="3C087392"/>
    <w:rsid w:val="3C3F7E0E"/>
    <w:rsid w:val="3C851465"/>
    <w:rsid w:val="3C893061"/>
    <w:rsid w:val="3C8C09A7"/>
    <w:rsid w:val="3C9A05C1"/>
    <w:rsid w:val="3CB674D9"/>
    <w:rsid w:val="3CC937E3"/>
    <w:rsid w:val="3D0F30FA"/>
    <w:rsid w:val="3D634A82"/>
    <w:rsid w:val="3D9210CE"/>
    <w:rsid w:val="3DAC0E95"/>
    <w:rsid w:val="3DD33101"/>
    <w:rsid w:val="3E08361A"/>
    <w:rsid w:val="3E7A082F"/>
    <w:rsid w:val="3E926EC3"/>
    <w:rsid w:val="3E93478A"/>
    <w:rsid w:val="3E9F10BF"/>
    <w:rsid w:val="3EC40624"/>
    <w:rsid w:val="3EC74949"/>
    <w:rsid w:val="3F0875E3"/>
    <w:rsid w:val="3F09726C"/>
    <w:rsid w:val="3F0F2BD0"/>
    <w:rsid w:val="3F1F25CF"/>
    <w:rsid w:val="3F3E15E4"/>
    <w:rsid w:val="3F495E7B"/>
    <w:rsid w:val="3F5B21D1"/>
    <w:rsid w:val="3F5F6433"/>
    <w:rsid w:val="3FB60A94"/>
    <w:rsid w:val="3FBD74AC"/>
    <w:rsid w:val="3FCE33FA"/>
    <w:rsid w:val="400D6879"/>
    <w:rsid w:val="402D7D95"/>
    <w:rsid w:val="402F67F2"/>
    <w:rsid w:val="402F7D1A"/>
    <w:rsid w:val="405E7B10"/>
    <w:rsid w:val="411531A3"/>
    <w:rsid w:val="411A34F8"/>
    <w:rsid w:val="414B0A93"/>
    <w:rsid w:val="415723A1"/>
    <w:rsid w:val="41643432"/>
    <w:rsid w:val="41CE480C"/>
    <w:rsid w:val="421B0E01"/>
    <w:rsid w:val="42481B2A"/>
    <w:rsid w:val="424C2737"/>
    <w:rsid w:val="42A56305"/>
    <w:rsid w:val="437906BF"/>
    <w:rsid w:val="43945CC5"/>
    <w:rsid w:val="43CE3BC6"/>
    <w:rsid w:val="43FB5AF0"/>
    <w:rsid w:val="440B4BBE"/>
    <w:rsid w:val="441C1A7E"/>
    <w:rsid w:val="44211E9A"/>
    <w:rsid w:val="442E7AEC"/>
    <w:rsid w:val="4454633F"/>
    <w:rsid w:val="44555A83"/>
    <w:rsid w:val="446A1C8A"/>
    <w:rsid w:val="44B04CDA"/>
    <w:rsid w:val="44C70D28"/>
    <w:rsid w:val="44EB2E62"/>
    <w:rsid w:val="44EE2D37"/>
    <w:rsid w:val="452946FD"/>
    <w:rsid w:val="45465A74"/>
    <w:rsid w:val="45583395"/>
    <w:rsid w:val="457210D8"/>
    <w:rsid w:val="459C31A4"/>
    <w:rsid w:val="45E30915"/>
    <w:rsid w:val="45E40321"/>
    <w:rsid w:val="4625557D"/>
    <w:rsid w:val="464F0E9C"/>
    <w:rsid w:val="465173C0"/>
    <w:rsid w:val="46540242"/>
    <w:rsid w:val="467E3F9B"/>
    <w:rsid w:val="46825B05"/>
    <w:rsid w:val="4684656F"/>
    <w:rsid w:val="46867C6B"/>
    <w:rsid w:val="46C357D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C18E9"/>
    <w:rsid w:val="48E03D9C"/>
    <w:rsid w:val="48F75F7E"/>
    <w:rsid w:val="49374149"/>
    <w:rsid w:val="49613924"/>
    <w:rsid w:val="496D0F3E"/>
    <w:rsid w:val="49E12571"/>
    <w:rsid w:val="49E378C6"/>
    <w:rsid w:val="49E75C8F"/>
    <w:rsid w:val="4A834EBE"/>
    <w:rsid w:val="4A84625B"/>
    <w:rsid w:val="4AC742EB"/>
    <w:rsid w:val="4B222F19"/>
    <w:rsid w:val="4B3040AF"/>
    <w:rsid w:val="4B4C5E18"/>
    <w:rsid w:val="4B55574A"/>
    <w:rsid w:val="4B8B3072"/>
    <w:rsid w:val="4BA90131"/>
    <w:rsid w:val="4BB36285"/>
    <w:rsid w:val="4BD35EC5"/>
    <w:rsid w:val="4BF55CE7"/>
    <w:rsid w:val="4C1B3C0A"/>
    <w:rsid w:val="4C4846F9"/>
    <w:rsid w:val="4CA517A6"/>
    <w:rsid w:val="4CBC728A"/>
    <w:rsid w:val="4CC36FF7"/>
    <w:rsid w:val="4CC550D0"/>
    <w:rsid w:val="4CFB69A6"/>
    <w:rsid w:val="4D2316EA"/>
    <w:rsid w:val="4D267491"/>
    <w:rsid w:val="4D325232"/>
    <w:rsid w:val="4D331FE6"/>
    <w:rsid w:val="4D747624"/>
    <w:rsid w:val="4D7D1D33"/>
    <w:rsid w:val="4D830955"/>
    <w:rsid w:val="4DD76DA8"/>
    <w:rsid w:val="4DF641D3"/>
    <w:rsid w:val="4E3E017D"/>
    <w:rsid w:val="4E43407C"/>
    <w:rsid w:val="4E5F59DA"/>
    <w:rsid w:val="4EA44C2A"/>
    <w:rsid w:val="4EF23E87"/>
    <w:rsid w:val="4F2941D5"/>
    <w:rsid w:val="4FF955FD"/>
    <w:rsid w:val="4FFC0A94"/>
    <w:rsid w:val="50081059"/>
    <w:rsid w:val="504F4E51"/>
    <w:rsid w:val="509E2AE6"/>
    <w:rsid w:val="50F36CD9"/>
    <w:rsid w:val="512E641B"/>
    <w:rsid w:val="517D059D"/>
    <w:rsid w:val="51FA56D9"/>
    <w:rsid w:val="521723B7"/>
    <w:rsid w:val="523F7F97"/>
    <w:rsid w:val="53047529"/>
    <w:rsid w:val="53133561"/>
    <w:rsid w:val="535D658C"/>
    <w:rsid w:val="53B9060B"/>
    <w:rsid w:val="53EE4386"/>
    <w:rsid w:val="540F02F6"/>
    <w:rsid w:val="54107975"/>
    <w:rsid w:val="5451551D"/>
    <w:rsid w:val="548C2C0D"/>
    <w:rsid w:val="54A243B8"/>
    <w:rsid w:val="54D6790A"/>
    <w:rsid w:val="55205953"/>
    <w:rsid w:val="553A4CBA"/>
    <w:rsid w:val="55777600"/>
    <w:rsid w:val="557E6857"/>
    <w:rsid w:val="55B15C23"/>
    <w:rsid w:val="55E15918"/>
    <w:rsid w:val="55E65C45"/>
    <w:rsid w:val="55EA2DA9"/>
    <w:rsid w:val="55F9753C"/>
    <w:rsid w:val="55FA344A"/>
    <w:rsid w:val="5616542D"/>
    <w:rsid w:val="563A460F"/>
    <w:rsid w:val="565A7710"/>
    <w:rsid w:val="566B6C45"/>
    <w:rsid w:val="56975E59"/>
    <w:rsid w:val="569C350B"/>
    <w:rsid w:val="56BF0EA2"/>
    <w:rsid w:val="56DB7066"/>
    <w:rsid w:val="56EA3918"/>
    <w:rsid w:val="57293168"/>
    <w:rsid w:val="573D2A31"/>
    <w:rsid w:val="57460503"/>
    <w:rsid w:val="575272DC"/>
    <w:rsid w:val="575370FA"/>
    <w:rsid w:val="575372A8"/>
    <w:rsid w:val="577742DC"/>
    <w:rsid w:val="57B642BC"/>
    <w:rsid w:val="57BD0A78"/>
    <w:rsid w:val="57DC6FDD"/>
    <w:rsid w:val="57FB5F50"/>
    <w:rsid w:val="581105D4"/>
    <w:rsid w:val="58984B29"/>
    <w:rsid w:val="589E7340"/>
    <w:rsid w:val="58B03A4A"/>
    <w:rsid w:val="590D5DDF"/>
    <w:rsid w:val="596F34AA"/>
    <w:rsid w:val="59913E6B"/>
    <w:rsid w:val="59C407FC"/>
    <w:rsid w:val="59C754AB"/>
    <w:rsid w:val="59E079AB"/>
    <w:rsid w:val="5A375749"/>
    <w:rsid w:val="5A394ED8"/>
    <w:rsid w:val="5A563D22"/>
    <w:rsid w:val="5A726BA0"/>
    <w:rsid w:val="5A8778AF"/>
    <w:rsid w:val="5AD3204F"/>
    <w:rsid w:val="5B071BBA"/>
    <w:rsid w:val="5B3C55BF"/>
    <w:rsid w:val="5B63756F"/>
    <w:rsid w:val="5B725B6B"/>
    <w:rsid w:val="5BBE026D"/>
    <w:rsid w:val="5BD439A7"/>
    <w:rsid w:val="5BDF3319"/>
    <w:rsid w:val="5BEF3BBE"/>
    <w:rsid w:val="5C991133"/>
    <w:rsid w:val="5C995E25"/>
    <w:rsid w:val="5CB41D4D"/>
    <w:rsid w:val="5D5144C0"/>
    <w:rsid w:val="5D767F86"/>
    <w:rsid w:val="5DFB2BCA"/>
    <w:rsid w:val="5E2A7858"/>
    <w:rsid w:val="5E790BE8"/>
    <w:rsid w:val="5E7B2678"/>
    <w:rsid w:val="5E973039"/>
    <w:rsid w:val="5EA87B0A"/>
    <w:rsid w:val="5EB119EE"/>
    <w:rsid w:val="5EE53BA8"/>
    <w:rsid w:val="5EEF7AA9"/>
    <w:rsid w:val="5F3E2940"/>
    <w:rsid w:val="5F4945D9"/>
    <w:rsid w:val="5F4E4F30"/>
    <w:rsid w:val="5F5D71F8"/>
    <w:rsid w:val="5F825446"/>
    <w:rsid w:val="5F895337"/>
    <w:rsid w:val="5FAE4FA2"/>
    <w:rsid w:val="5FBA658C"/>
    <w:rsid w:val="5FBE69BB"/>
    <w:rsid w:val="5FCB4192"/>
    <w:rsid w:val="601A7A49"/>
    <w:rsid w:val="602F4794"/>
    <w:rsid w:val="604D1869"/>
    <w:rsid w:val="607F4912"/>
    <w:rsid w:val="60881A7C"/>
    <w:rsid w:val="609751E5"/>
    <w:rsid w:val="60B0231A"/>
    <w:rsid w:val="60C10976"/>
    <w:rsid w:val="60D87212"/>
    <w:rsid w:val="61150D45"/>
    <w:rsid w:val="61563C9D"/>
    <w:rsid w:val="61C16E82"/>
    <w:rsid w:val="61D81A5C"/>
    <w:rsid w:val="620D1678"/>
    <w:rsid w:val="62B8321C"/>
    <w:rsid w:val="62D625D5"/>
    <w:rsid w:val="630962B4"/>
    <w:rsid w:val="63766DF5"/>
    <w:rsid w:val="63B6206D"/>
    <w:rsid w:val="63BE6B4B"/>
    <w:rsid w:val="63E41E32"/>
    <w:rsid w:val="6406254B"/>
    <w:rsid w:val="643636FB"/>
    <w:rsid w:val="64522BD2"/>
    <w:rsid w:val="646766DC"/>
    <w:rsid w:val="64837089"/>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8CC7FD6"/>
    <w:rsid w:val="69291ACC"/>
    <w:rsid w:val="6933530D"/>
    <w:rsid w:val="693F57CE"/>
    <w:rsid w:val="69433D4A"/>
    <w:rsid w:val="696B32FD"/>
    <w:rsid w:val="69797C2C"/>
    <w:rsid w:val="69AB78DD"/>
    <w:rsid w:val="69D171A3"/>
    <w:rsid w:val="69D74CDC"/>
    <w:rsid w:val="6A206938"/>
    <w:rsid w:val="6A2F1F48"/>
    <w:rsid w:val="6A6C5A40"/>
    <w:rsid w:val="6A9B47A1"/>
    <w:rsid w:val="6ADF0508"/>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AF499E"/>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C0061"/>
    <w:rsid w:val="71EF2FA5"/>
    <w:rsid w:val="7210341D"/>
    <w:rsid w:val="72C12A96"/>
    <w:rsid w:val="73624F26"/>
    <w:rsid w:val="736C6888"/>
    <w:rsid w:val="737F4DAF"/>
    <w:rsid w:val="739169DE"/>
    <w:rsid w:val="739B1EBD"/>
    <w:rsid w:val="73AF18CB"/>
    <w:rsid w:val="73B9425D"/>
    <w:rsid w:val="73C0527B"/>
    <w:rsid w:val="73ED4A58"/>
    <w:rsid w:val="73F12374"/>
    <w:rsid w:val="740422B3"/>
    <w:rsid w:val="74796ABE"/>
    <w:rsid w:val="74A87093"/>
    <w:rsid w:val="74C80433"/>
    <w:rsid w:val="74E229B4"/>
    <w:rsid w:val="74E9694C"/>
    <w:rsid w:val="74EC26A7"/>
    <w:rsid w:val="75034CF7"/>
    <w:rsid w:val="75626DAC"/>
    <w:rsid w:val="756F302F"/>
    <w:rsid w:val="757946EE"/>
    <w:rsid w:val="75DF32A0"/>
    <w:rsid w:val="75ED010F"/>
    <w:rsid w:val="760A43BF"/>
    <w:rsid w:val="761321E0"/>
    <w:rsid w:val="761450E8"/>
    <w:rsid w:val="764A52E7"/>
    <w:rsid w:val="765D589D"/>
    <w:rsid w:val="76A133C0"/>
    <w:rsid w:val="76D36025"/>
    <w:rsid w:val="772F2936"/>
    <w:rsid w:val="775F273E"/>
    <w:rsid w:val="776B6DA8"/>
    <w:rsid w:val="77930FF3"/>
    <w:rsid w:val="77AF6C41"/>
    <w:rsid w:val="77B21E06"/>
    <w:rsid w:val="780F0912"/>
    <w:rsid w:val="784F6AB7"/>
    <w:rsid w:val="78A6271C"/>
    <w:rsid w:val="78D61CB2"/>
    <w:rsid w:val="78F104FB"/>
    <w:rsid w:val="79493EB1"/>
    <w:rsid w:val="797C66CF"/>
    <w:rsid w:val="7A0A6C27"/>
    <w:rsid w:val="7A7550A6"/>
    <w:rsid w:val="7AAF3771"/>
    <w:rsid w:val="7AEC001A"/>
    <w:rsid w:val="7B0D7B96"/>
    <w:rsid w:val="7B475761"/>
    <w:rsid w:val="7B49298E"/>
    <w:rsid w:val="7B7B57F5"/>
    <w:rsid w:val="7B7D3C44"/>
    <w:rsid w:val="7BE208A5"/>
    <w:rsid w:val="7BE3068E"/>
    <w:rsid w:val="7C150EF5"/>
    <w:rsid w:val="7C3133CB"/>
    <w:rsid w:val="7C3C516C"/>
    <w:rsid w:val="7C465BE7"/>
    <w:rsid w:val="7C665A9A"/>
    <w:rsid w:val="7C6731A8"/>
    <w:rsid w:val="7CAF51D0"/>
    <w:rsid w:val="7CAF6655"/>
    <w:rsid w:val="7CE1181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0</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2021-10-22T01:17:33Z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