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[AT116-e][053][NR17]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[AT116-e][053][NR17] MINT (Ericsson)</w:t>
      </w:r>
    </w:p>
    <w:p w14:paraId="6F723234" w14:textId="7532876F" w:rsidR="005417AA" w:rsidRDefault="005417AA" w:rsidP="005417AA">
      <w:pPr>
        <w:pStyle w:val="EmailDiscussion2"/>
        <w:ind w:left="993"/>
        <w:rPr>
          <w:lang w:val="en-US"/>
        </w:rPr>
      </w:pPr>
      <w:r>
        <w:t xml:space="preserve">      Scope: Take into account on-line agreements, take into account also LS in </w:t>
      </w:r>
      <w:hyperlink r:id="rId11" w:history="1">
        <w:r w:rsidRPr="004D0577">
          <w:rPr>
            <w:rStyle w:val="af"/>
          </w:rPr>
          <w:t>R2-2109818</w:t>
        </w:r>
      </w:hyperlink>
      <w:r>
        <w:t xml:space="preserve"> and tdocs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a8"/>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a8"/>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r>
              <w:rPr>
                <w:sz w:val="22"/>
                <w:szCs w:val="22"/>
                <w:lang w:val="de-DE"/>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r>
              <w:rPr>
                <w:rFonts w:hint="eastAsia"/>
                <w:sz w:val="22"/>
                <w:szCs w:val="22"/>
                <w:lang w:val="de-DE" w:eastAsia="zh-CN"/>
              </w:rPr>
              <w:t>z</w:t>
            </w:r>
            <w:r>
              <w:rPr>
                <w:sz w:val="22"/>
                <w:szCs w:val="22"/>
                <w:lang w:val="de-DE" w:eastAsia="zh-CN"/>
              </w:rPr>
              <w:t>haoyang@huawei.com</w:t>
            </w:r>
          </w:p>
        </w:tc>
      </w:tr>
      <w:tr w:rsidR="00B13AF8"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B13AF8" w:rsidRPr="00716303" w:rsidRDefault="00B13AF8" w:rsidP="00B13AF8">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338329C8" w:rsidR="00B13AF8" w:rsidRPr="00716303" w:rsidRDefault="00B13AF8" w:rsidP="00B13AF8">
            <w:pPr>
              <w:spacing w:before="120" w:after="120"/>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1"/>
      </w:pPr>
      <w:r>
        <w:t>2</w:t>
      </w:r>
      <w:r w:rsidR="003D4A16">
        <w:tab/>
      </w:r>
      <w:r w:rsidR="005233A2">
        <w:t>Discussion</w:t>
      </w:r>
    </w:p>
    <w:p w14:paraId="07DFFAA1" w14:textId="1D81B96B" w:rsidR="00AC49DA" w:rsidRDefault="00AC49DA" w:rsidP="00AC49DA">
      <w:pPr>
        <w:pStyle w:val="21"/>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afa"/>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lastRenderedPageBreak/>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af"/>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af"/>
                </w:rPr>
                <w:t>R2-2109818</w:t>
              </w:r>
            </w:hyperlink>
            <w:r>
              <w:t xml:space="preserve"> and tdocs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DB7402" w:rsidP="005417AA">
            <w:pPr>
              <w:pStyle w:val="Doc-title"/>
            </w:pPr>
            <w:hyperlink r:id="rId13" w:history="1">
              <w:r w:rsidR="005417AA" w:rsidRPr="004D0577">
                <w:rPr>
                  <w:rStyle w:val="af"/>
                </w:rPr>
                <w:t>R2-2109816</w:t>
              </w:r>
            </w:hyperlink>
            <w:r w:rsidR="005417AA">
              <w:tab/>
              <w:t>Reply LS on UAC enhancements for minimization of service interruption when disaster condition applies (</w:t>
            </w:r>
            <w:hyperlink r:id="rId14" w:history="1">
              <w:r w:rsidR="005417AA" w:rsidRPr="004D0577">
                <w:rPr>
                  <w:rStyle w:val="af"/>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DB7402" w:rsidP="005417AA">
            <w:pPr>
              <w:pStyle w:val="Doc-title"/>
            </w:pPr>
            <w:hyperlink r:id="rId15" w:history="1">
              <w:r w:rsidR="005417AA" w:rsidRPr="004D0577">
                <w:rPr>
                  <w:rStyle w:val="af"/>
                </w:rPr>
                <w:t>R2-2110681</w:t>
              </w:r>
            </w:hyperlink>
            <w:r w:rsidR="005417AA">
              <w:tab/>
              <w:t>RAN2 aspects for MINT</w:t>
            </w:r>
            <w:r w:rsidR="005417AA">
              <w:tab/>
              <w:t>Ericsson</w:t>
            </w:r>
            <w:r w:rsidR="005417AA">
              <w:tab/>
              <w:t>discussion</w:t>
            </w:r>
            <w:r w:rsidR="005417AA">
              <w:tab/>
              <w:t>Rel-17</w:t>
            </w:r>
          </w:p>
          <w:p w14:paraId="7FB8F3A6" w14:textId="2C1219FF" w:rsidR="005417AA" w:rsidRDefault="00DB7402" w:rsidP="005417AA">
            <w:pPr>
              <w:pStyle w:val="Doc-title"/>
            </w:pPr>
            <w:hyperlink r:id="rId16" w:history="1">
              <w:r w:rsidR="005417AA" w:rsidRPr="004D0577">
                <w:rPr>
                  <w:rStyle w:val="af"/>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Accedd id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ericsson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t xml:space="preserve">Chair: We discuss the other parts offline (support for LS in </w:t>
            </w:r>
            <w:hyperlink r:id="rId17" w:history="1">
              <w:r w:rsidRPr="004D0577">
                <w:rPr>
                  <w:rStyle w:val="af"/>
                </w:rPr>
                <w:t>R2-2109818</w:t>
              </w:r>
            </w:hyperlink>
            <w:r>
              <w:t xml:space="preserve"> acc to input tdocs), including LS out. Attempt to arrive at agreeable TP</w:t>
            </w:r>
          </w:p>
          <w:p w14:paraId="7EA0995F" w14:textId="77777777" w:rsidR="005417AA" w:rsidRDefault="005417AA" w:rsidP="005417AA">
            <w:pPr>
              <w:pStyle w:val="Doc-text2"/>
            </w:pPr>
          </w:p>
          <w:p w14:paraId="7228BF34" w14:textId="4FE15612" w:rsidR="005417AA" w:rsidRDefault="00DB7402" w:rsidP="005417AA">
            <w:pPr>
              <w:pStyle w:val="Doc-title"/>
            </w:pPr>
            <w:hyperlink r:id="rId18" w:history="1">
              <w:r w:rsidR="005417AA" w:rsidRPr="004D0577">
                <w:rPr>
                  <w:rStyle w:val="af"/>
                </w:rPr>
                <w:t>R2-2109818</w:t>
              </w:r>
            </w:hyperlink>
            <w:r w:rsidR="005417AA">
              <w:tab/>
              <w:t>LS on system information extensions for minimization of service interruption (MINT) (</w:t>
            </w:r>
            <w:hyperlink r:id="rId19" w:history="1">
              <w:r w:rsidR="005417AA" w:rsidRPr="004D0577">
                <w:rPr>
                  <w:rStyle w:val="af"/>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signalling cen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DB7402" w:rsidP="005417AA">
            <w:pPr>
              <w:pStyle w:val="Doc-title"/>
            </w:pPr>
            <w:hyperlink r:id="rId20" w:history="1">
              <w:r w:rsidR="005417AA" w:rsidRPr="004D0577">
                <w:rPr>
                  <w:rStyle w:val="af"/>
                </w:rPr>
                <w:t>R2-2111243</w:t>
              </w:r>
            </w:hyperlink>
            <w:r w:rsidR="005417AA">
              <w:tab/>
              <w:t>LS on MINT functionality for Disaster Roaming (</w:t>
            </w:r>
            <w:hyperlink r:id="rId21" w:history="1">
              <w:r w:rsidR="005417AA" w:rsidRPr="004D0577">
                <w:rPr>
                  <w:rStyle w:val="af"/>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DB7402" w:rsidP="005417AA">
            <w:pPr>
              <w:pStyle w:val="Doc-title"/>
            </w:pPr>
            <w:hyperlink r:id="rId22" w:history="1">
              <w:r w:rsidR="005417AA" w:rsidRPr="004D0577">
                <w:rPr>
                  <w:rStyle w:val="af"/>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DB7402" w:rsidP="005417AA">
            <w:pPr>
              <w:pStyle w:val="Doc-title"/>
            </w:pPr>
            <w:hyperlink r:id="rId23" w:history="1">
              <w:r w:rsidR="005417AA" w:rsidRPr="004D0577">
                <w:rPr>
                  <w:rStyle w:val="af"/>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DB7402" w:rsidP="005417AA">
            <w:pPr>
              <w:pStyle w:val="Doc-title"/>
            </w:pPr>
            <w:hyperlink r:id="rId24" w:history="1">
              <w:r w:rsidR="005417AA" w:rsidRPr="004D0577">
                <w:rPr>
                  <w:rStyle w:val="af"/>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DB7402" w:rsidP="005417AA">
            <w:pPr>
              <w:pStyle w:val="Doc-title"/>
            </w:pPr>
            <w:hyperlink r:id="rId25" w:history="1">
              <w:r w:rsidR="005417AA" w:rsidRPr="004D0577">
                <w:rPr>
                  <w:rStyle w:val="af"/>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21"/>
      </w:pPr>
      <w:r>
        <w:t>2.2</w:t>
      </w:r>
      <w:r>
        <w:tab/>
      </w:r>
      <w:r w:rsidR="005417AA">
        <w:t>Remaining open issues</w:t>
      </w:r>
      <w:r w:rsidR="00C342E6">
        <w:t xml:space="preserve"> </w:t>
      </w:r>
    </w:p>
    <w:p w14:paraId="688885A9" w14:textId="10ECB112" w:rsidR="0011194E" w:rsidRPr="00BE1BD3" w:rsidRDefault="0011194E" w:rsidP="0011194E">
      <w:pPr>
        <w:pStyle w:val="31"/>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af"/>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r w:rsidRPr="000D7631">
        <w:rPr>
          <w:rFonts w:ascii="Arial" w:hAnsi="Arial" w:cs="Arial"/>
          <w:i/>
          <w:iCs/>
        </w:rPr>
        <w:t>uac-BarringInfoSetList</w:t>
      </w:r>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af"/>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afa"/>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2B583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hint="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hint="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2B5838">
        <w:tc>
          <w:tcPr>
            <w:tcW w:w="1575" w:type="dxa"/>
          </w:tcPr>
          <w:p w14:paraId="3B77A542" w14:textId="77777777" w:rsidR="007E4D1C" w:rsidRPr="000F0F0B" w:rsidRDefault="007E4D1C" w:rsidP="002B5838">
            <w:pPr>
              <w:spacing w:after="0"/>
              <w:jc w:val="both"/>
              <w:rPr>
                <w:rFonts w:eastAsiaTheme="minorEastAsia"/>
                <w:noProof/>
                <w:lang w:eastAsia="zh-CN"/>
              </w:rPr>
            </w:pPr>
          </w:p>
        </w:tc>
        <w:tc>
          <w:tcPr>
            <w:tcW w:w="2389" w:type="dxa"/>
          </w:tcPr>
          <w:p w14:paraId="780BBBB3" w14:textId="77777777" w:rsidR="007E4D1C" w:rsidRPr="000005B0" w:rsidRDefault="007E4D1C" w:rsidP="002B5838">
            <w:pPr>
              <w:spacing w:after="0"/>
              <w:jc w:val="both"/>
              <w:rPr>
                <w:noProof/>
              </w:rPr>
            </w:pPr>
          </w:p>
        </w:tc>
        <w:tc>
          <w:tcPr>
            <w:tcW w:w="5665" w:type="dxa"/>
          </w:tcPr>
          <w:p w14:paraId="752CC35A" w14:textId="77777777" w:rsidR="007E4D1C" w:rsidRPr="000005B0" w:rsidRDefault="007E4D1C" w:rsidP="002B5838">
            <w:pPr>
              <w:spacing w:after="0"/>
              <w:jc w:val="both"/>
              <w:rPr>
                <w:noProof/>
              </w:rPr>
            </w:pPr>
          </w:p>
        </w:tc>
      </w:tr>
    </w:tbl>
    <w:p w14:paraId="3F1A219E" w14:textId="587C8760" w:rsidR="0011194E" w:rsidRDefault="0011194E" w:rsidP="0011194E"/>
    <w:p w14:paraId="22E824B4" w14:textId="325B1904" w:rsidR="0011194E" w:rsidRPr="00BE1BD3" w:rsidRDefault="0011194E" w:rsidP="0011194E">
      <w:pPr>
        <w:pStyle w:val="31"/>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af"/>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afa"/>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29" w:history="1">
              <w:r w:rsidRPr="004D0577">
                <w:rPr>
                  <w:rStyle w:val="af"/>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2B583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bl>
    <w:p w14:paraId="410CCB83" w14:textId="77777777" w:rsidR="0011194E" w:rsidRPr="0011194E" w:rsidRDefault="0011194E" w:rsidP="0011194E"/>
    <w:p w14:paraId="738670A4" w14:textId="3BE4B151" w:rsidR="005417AA" w:rsidRPr="00BE1BD3" w:rsidRDefault="00515EF1" w:rsidP="00515EF1">
      <w:pPr>
        <w:pStyle w:val="31"/>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af"/>
            <w:rFonts w:ascii="Arial" w:hAnsi="Arial" w:cs="Arial"/>
          </w:rPr>
          <w:t>R2-2109818</w:t>
        </w:r>
      </w:hyperlink>
      <w:r>
        <w:rPr>
          <w:rFonts w:ascii="Arial" w:hAnsi="Arial" w:cs="Arial"/>
        </w:rPr>
        <w:t>:</w:t>
      </w:r>
    </w:p>
    <w:tbl>
      <w:tblPr>
        <w:tblStyle w:val="afa"/>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1"/>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af"/>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af"/>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af"/>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afa"/>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31"/>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af"/>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signaling of the 1-bit flag (Option a) or PLMN list (Option b) in NR and LTE needs to allow both a common PLMN signaling and a per-PLMN specific signaling.</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5" w:history="1">
        <w:r w:rsidRPr="004D0577">
          <w:rPr>
            <w:rStyle w:val="af"/>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afa"/>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af7"/>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af7"/>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af7"/>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B13AF8" w:rsidRPr="000005B0" w14:paraId="054DD349" w14:textId="77777777" w:rsidTr="00940BEF">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3F455604" w:rsidR="00B13AF8" w:rsidRPr="000005B0" w:rsidRDefault="00B13AF8" w:rsidP="00B13AF8">
            <w:pPr>
              <w:spacing w:after="0"/>
              <w:jc w:val="both"/>
              <w:rPr>
                <w:noProof/>
              </w:rPr>
            </w:pPr>
            <w:r>
              <w:rPr>
                <w:rFonts w:eastAsiaTheme="minorEastAsia"/>
                <w:noProof/>
                <w:lang w:eastAsia="zh-CN"/>
              </w:rPr>
              <w:t>In principl</w:t>
            </w:r>
            <w:r w:rsidR="00DB7402">
              <w:rPr>
                <w:rFonts w:eastAsiaTheme="minorEastAsia"/>
                <w:noProof/>
                <w:lang w:eastAsia="zh-CN"/>
              </w:rPr>
              <w:t>e Yes. Regarding LTE part, not sure whether it is clearly supported by CT1. We understand the AC mechanism is different between LTE and NR, so if LTE needs to be supported, we need more time to consider how to make modifications.</w:t>
            </w:r>
            <w:bookmarkStart w:id="3" w:name="_GoBack"/>
            <w:bookmarkEnd w:id="3"/>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31"/>
      </w:pPr>
      <w:r>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af"/>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af"/>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afa"/>
        <w:tblW w:w="9629" w:type="dxa"/>
        <w:tblLook w:val="04A0" w:firstRow="1" w:lastRow="0" w:firstColumn="1" w:lastColumn="0" w:noHBand="0" w:noVBand="1"/>
      </w:tblPr>
      <w:tblGrid>
        <w:gridCol w:w="1575"/>
        <w:gridCol w:w="1114"/>
        <w:gridCol w:w="6940"/>
      </w:tblGrid>
      <w:tr w:rsidR="00BA19CA" w:rsidRPr="000005B0" w14:paraId="3AC0E7E1" w14:textId="77777777" w:rsidTr="00940BEF">
        <w:tc>
          <w:tcPr>
            <w:tcW w:w="1575" w:type="dxa"/>
          </w:tcPr>
          <w:p w14:paraId="0D873277" w14:textId="77777777" w:rsidR="00BA19CA" w:rsidRPr="000005B0" w:rsidRDefault="00BA19CA" w:rsidP="00940BEF">
            <w:pPr>
              <w:spacing w:after="0"/>
              <w:jc w:val="both"/>
              <w:rPr>
                <w:b/>
                <w:bCs/>
                <w:noProof/>
              </w:rPr>
            </w:pPr>
            <w:r w:rsidRPr="000005B0">
              <w:rPr>
                <w:b/>
                <w:bCs/>
                <w:noProof/>
              </w:rPr>
              <w:t>Company</w:t>
            </w:r>
          </w:p>
        </w:tc>
        <w:tc>
          <w:tcPr>
            <w:tcW w:w="1114" w:type="dxa"/>
          </w:tcPr>
          <w:p w14:paraId="16A7B2C9" w14:textId="77777777" w:rsidR="00BA19CA" w:rsidRDefault="00BA19CA" w:rsidP="00940BEF">
            <w:pPr>
              <w:spacing w:after="0"/>
              <w:jc w:val="both"/>
              <w:rPr>
                <w:b/>
                <w:bCs/>
                <w:noProof/>
              </w:rPr>
            </w:pPr>
            <w:r>
              <w:rPr>
                <w:b/>
                <w:bCs/>
                <w:noProof/>
              </w:rPr>
              <w:t>Yes/No</w:t>
            </w:r>
          </w:p>
        </w:tc>
        <w:tc>
          <w:tcPr>
            <w:tcW w:w="6940"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940BEF">
        <w:tc>
          <w:tcPr>
            <w:tcW w:w="1575"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3245957B" w14:textId="77777777" w:rsidR="00BA19CA" w:rsidRPr="000005B0" w:rsidRDefault="00BA19CA" w:rsidP="00940BEF">
            <w:pPr>
              <w:spacing w:after="0"/>
              <w:jc w:val="both"/>
              <w:rPr>
                <w:noProof/>
              </w:rPr>
            </w:pPr>
          </w:p>
        </w:tc>
      </w:tr>
      <w:tr w:rsidR="00826F87" w:rsidRPr="000005B0" w14:paraId="7BB8BF14" w14:textId="77777777" w:rsidTr="00940BEF">
        <w:tc>
          <w:tcPr>
            <w:tcW w:w="1575"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114" w:type="dxa"/>
          </w:tcPr>
          <w:p w14:paraId="5094C60E" w14:textId="77777777" w:rsidR="00826F87" w:rsidRPr="000005B0" w:rsidRDefault="00826F87" w:rsidP="00826F87">
            <w:pPr>
              <w:spacing w:after="0"/>
              <w:jc w:val="both"/>
              <w:rPr>
                <w:noProof/>
              </w:rPr>
            </w:pPr>
          </w:p>
        </w:tc>
        <w:tc>
          <w:tcPr>
            <w:tcW w:w="6940"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940BEF">
        <w:tc>
          <w:tcPr>
            <w:tcW w:w="1575"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35DC6C59" w14:textId="77777777" w:rsidR="00B13AF8" w:rsidRPr="000005B0" w:rsidRDefault="00B13AF8" w:rsidP="00B13AF8">
            <w:pPr>
              <w:spacing w:after="0"/>
              <w:jc w:val="both"/>
              <w:rPr>
                <w:noProof/>
              </w:rPr>
            </w:pP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31"/>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8" w:history="1">
        <w:r w:rsidRPr="004D0577">
          <w:rPr>
            <w:rStyle w:val="af"/>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39" w:history="1">
        <w:r w:rsidRPr="004D0577">
          <w:rPr>
            <w:rStyle w:val="af"/>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afa"/>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31"/>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0" w:history="1">
        <w:r w:rsidR="003B57A6" w:rsidRPr="004D0577">
          <w:rPr>
            <w:rStyle w:val="af"/>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1" w:history="1">
        <w:r w:rsidR="00BA19CA" w:rsidRPr="004D0577">
          <w:rPr>
            <w:rStyle w:val="af"/>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afa"/>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40BEF">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0433" w14:textId="77777777" w:rsidR="005E1BBC" w:rsidRDefault="005E1BBC">
      <w:r>
        <w:separator/>
      </w:r>
    </w:p>
  </w:endnote>
  <w:endnote w:type="continuationSeparator" w:id="0">
    <w:p w14:paraId="6E300AD6" w14:textId="77777777" w:rsidR="005E1BBC" w:rsidRDefault="005E1BBC">
      <w:r>
        <w:continuationSeparator/>
      </w:r>
    </w:p>
  </w:endnote>
  <w:endnote w:type="continuationNotice" w:id="1">
    <w:p w14:paraId="17845277" w14:textId="77777777" w:rsidR="005E1BBC" w:rsidRDefault="005E1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D64C" w14:textId="77777777" w:rsidR="005E1BBC" w:rsidRDefault="005E1BBC">
      <w:r>
        <w:separator/>
      </w:r>
    </w:p>
  </w:footnote>
  <w:footnote w:type="continuationSeparator" w:id="0">
    <w:p w14:paraId="3DA949E6" w14:textId="77777777" w:rsidR="005E1BBC" w:rsidRDefault="005E1BBC">
      <w:r>
        <w:continuationSeparator/>
      </w:r>
    </w:p>
  </w:footnote>
  <w:footnote w:type="continuationNotice" w:id="1">
    <w:p w14:paraId="5E0D67C2" w14:textId="77777777" w:rsidR="005E1BBC" w:rsidRDefault="005E1B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0CA"/>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tabs>
        <w:tab w:val="num" w:pos="926"/>
      </w:tabs>
      <w:ind w:left="926"/>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paragraph" w:styleId="afe">
    <w:name w:val="Normal Indent"/>
    <w:basedOn w:val="a1"/>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35.zip" TargetMode="Externa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11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18.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11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purl.org/dc/dcmitype/"/>
    <ds:schemaRef ds:uri="http://schemas.microsoft.com/sharepoint/v3"/>
    <ds:schemaRef ds:uri="http://schemas.microsoft.com/office/2006/metadata/properties"/>
    <ds:schemaRef ds:uri="2f282d3b-eb4a-4b09-b61f-b9593442e286"/>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b239327-9e80-40e4-b1b7-4394fed77a33"/>
    <ds:schemaRef ds:uri="http://www.w3.org/XML/1998/namespace"/>
    <ds:schemaRef ds:uri="http://purl.org/dc/terms/"/>
  </ds:schemaRefs>
</ds:datastoreItem>
</file>

<file path=customXml/itemProps4.xml><?xml version="1.0" encoding="utf-8"?>
<ds:datastoreItem xmlns:ds="http://schemas.openxmlformats.org/officeDocument/2006/customXml" ds:itemID="{FA58BD65-D0B1-4B02-A417-5632AAAD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16000</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Yang-HW</cp:lastModifiedBy>
  <cp:revision>2</cp:revision>
  <cp:lastPrinted>2021-11-01T16:02:00Z</cp:lastPrinted>
  <dcterms:created xsi:type="dcterms:W3CDTF">2021-11-09T13:03:00Z</dcterms:created>
  <dcterms:modified xsi:type="dcterms:W3CDTF">2021-11-09T13:03:00Z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