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[AT115e][8</w:t>
      </w:r>
      <w:r w:rsidR="006751DB">
        <w:t>21</w:t>
      </w:r>
      <w:r w:rsidR="00310E11" w:rsidRPr="00310E11">
        <w:t xml:space="preserve">][SON/MDT]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[AT115-e][800][SON/MDT] Organizational Hu,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 xml:space="preserve">][SON/MDT]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6751DB">
      <w:pPr>
        <w:pStyle w:val="emaildiscussion20"/>
        <w:ind w:firstLineChars="200" w:firstLine="402"/>
        <w:rPr>
          <w:rFonts w:ascii="Times New Roman" w:hAnsi="Times New Roman" w:cs="Times New Roman"/>
          <w:sz w:val="24"/>
          <w:szCs w:val="24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the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Deadline:11:00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>based on that, rapporteaur could further conclude potentially easly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21"/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>The related proposal ha</w:t>
      </w:r>
      <w:r w:rsidR="006C59E2">
        <w:rPr>
          <w:rFonts w:ascii="Times New Roman" w:hAnsi="Times New Roman" w:cs="Times New Roman"/>
        </w:rPr>
        <w:t>ve</w:t>
      </w:r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a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a6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rapporteaur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 xml:space="preserve">], 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D563DA">
      <w:pPr>
        <w:pStyle w:val="a6"/>
        <w:spacing w:after="0"/>
        <w:ind w:leftChars="-500" w:left="2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 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lastRenderedPageBreak/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D563DA">
      <w:pPr>
        <w:pStyle w:val="a6"/>
        <w:spacing w:after="0"/>
        <w:ind w:leftChars="-500" w:left="2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 to implicit indication of 2-step RACH type in the RACH report:</w:t>
      </w:r>
    </w:p>
    <w:p w14:paraId="2C2AE8D7" w14:textId="1AAA51A5" w:rsidR="006C59E2" w:rsidRPr="006C59E2" w:rsidRDefault="006C59E2" w:rsidP="006C59E2">
      <w:pPr>
        <w:pStyle w:val="a6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21A490E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4C159238" w14:textId="3FEEC563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72975A03" w14:textId="12D59305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Fields included in the RA-report are sufficient to determine the RACH type.</w:t>
            </w: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35AB9776" w:rsidR="00CE4F8A" w:rsidRPr="00903A55" w:rsidRDefault="00903A55" w:rsidP="00E84043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0735ECC8" w14:textId="3D71EE33" w:rsidR="00CE4F8A" w:rsidRPr="00903A55" w:rsidRDefault="00903A55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6EC246F4" w:rsidR="00CE4F8A" w:rsidRPr="00E85F43" w:rsidRDefault="00E85F43" w:rsidP="00E84043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56B25DF5" w14:textId="0C55EDFF" w:rsidR="00CE4F8A" w:rsidRPr="00E85F43" w:rsidRDefault="00E85F43" w:rsidP="00E84043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5DBE8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6DDFAC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BBE441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21"/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a6"/>
        <w:rPr>
          <w:b/>
        </w:rPr>
      </w:pPr>
      <w:r w:rsidRPr="00C50897">
        <w:rPr>
          <w:rFonts w:hint="eastAsia"/>
          <w:b/>
        </w:rPr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0DD33171" w:rsidR="006C59E2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>Option 2: including the parameter MsgA-Transmax in each PerRAInfo IE.</w:t>
      </w:r>
    </w:p>
    <w:p w14:paraId="20B4490E" w14:textId="77777777" w:rsidR="000C5863" w:rsidRDefault="000C5863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presented in [3], Option 2 only consumes 8 bits overload, while the Option 1 will need at most 200 bits for switching indication since each </w:t>
      </w:r>
      <w:r w:rsidRPr="000C5863">
        <w:rPr>
          <w:rFonts w:ascii="Times New Roman" w:hAnsi="Times New Roman" w:cs="Times New Roman"/>
          <w:b/>
          <w:i/>
          <w:iCs/>
        </w:rPr>
        <w:t>PerRAAttemptInfo</w:t>
      </w:r>
      <w:r>
        <w:rPr>
          <w:rFonts w:ascii="Times New Roman" w:hAnsi="Times New Roman" w:cs="Times New Roman"/>
          <w:bCs/>
        </w:rPr>
        <w:t xml:space="preserve"> IE needs to embrace 1-bit such indication. Bearing this in mind, rapporteaur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DCA4EA2" w:rsidR="000C5863" w:rsidRDefault="000C5863" w:rsidP="006C59E2">
      <w:pPr>
        <w:pStyle w:val="a6"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>posal 2: RAN2 to agree to include the parameter MsgA-Transmax in each PerRAInfo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associcated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a6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59EB3F2D" w:rsidR="000C5863" w:rsidRPr="006C59E2" w:rsidRDefault="00F00AC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098DA9E6" w14:textId="6F66AE38" w:rsidR="000C5863" w:rsidRPr="006C59E2" w:rsidRDefault="00A04937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Disagree</w:t>
            </w:r>
          </w:p>
        </w:tc>
        <w:tc>
          <w:tcPr>
            <w:tcW w:w="6373" w:type="dxa"/>
          </w:tcPr>
          <w:p w14:paraId="1ABB8385" w14:textId="194A8778" w:rsidR="000C5863" w:rsidRPr="006C59E2" w:rsidRDefault="00717BA3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I believe that option 1 is conditional inclusion of the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switching, i.e. it is included only once upon the switching</w:t>
            </w:r>
            <w:r w:rsidR="00004A25">
              <w:rPr>
                <w:rFonts w:ascii="Times New Roman" w:hAnsi="Times New Roman" w:cs="Times New Roman"/>
                <w:lang w:eastAsia="ja-JP"/>
              </w:rPr>
              <w:t xml:space="preserve"> is performed. Therefore, the consumption there is a single bit consumption. 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5DA7CF16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542CF9E5" w14:textId="13196809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isagree</w:t>
            </w:r>
          </w:p>
        </w:tc>
        <w:tc>
          <w:tcPr>
            <w:tcW w:w="6373" w:type="dxa"/>
          </w:tcPr>
          <w:p w14:paraId="3B52D6E1" w14:textId="77777777" w:rsidR="00681CD5" w:rsidRDefault="00E53F7E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/>
              </w:rPr>
              <w:t>irst of all, we’d like to confirm the intention of including the switch indicator</w:t>
            </w:r>
            <w:r w:rsidR="003C74B4">
              <w:rPr>
                <w:rFonts w:ascii="Times New Roman" w:eastAsiaTheme="minorEastAsia" w:hAnsi="Times New Roman" w:cs="Times New Roman"/>
              </w:rPr>
              <w:t>:</w:t>
            </w:r>
          </w:p>
          <w:p w14:paraId="63910616" w14:textId="52746A35" w:rsidR="003C74B4" w:rsidRDefault="003C74B4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) to make NW </w:t>
            </w:r>
            <w:r w:rsidR="00525145">
              <w:rPr>
                <w:rFonts w:ascii="Times New Roman" w:eastAsiaTheme="minorEastAsia" w:hAnsi="Times New Roman" w:cs="Times New Roman" w:hint="eastAsia"/>
              </w:rPr>
              <w:t>awa</w:t>
            </w:r>
            <w:r w:rsidR="00525145">
              <w:rPr>
                <w:rFonts w:ascii="Times New Roman" w:eastAsiaTheme="minorEastAsia" w:hAnsi="Times New Roman" w:cs="Times New Roman"/>
              </w:rPr>
              <w:t>re that</w:t>
            </w:r>
            <w:r w:rsidR="006E03FA">
              <w:rPr>
                <w:rFonts w:ascii="Times New Roman" w:eastAsiaTheme="minorEastAsia" w:hAnsi="Times New Roman" w:cs="Times New Roman"/>
              </w:rPr>
              <w:t xml:space="preserve"> a switch occurred;</w:t>
            </w:r>
          </w:p>
          <w:p w14:paraId="0697D33D" w14:textId="4E5518C9" w:rsidR="006E03FA" w:rsidRDefault="006E03FA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) to make NW aware of that in which attempt the sw</w:t>
            </w:r>
            <w:r w:rsidR="00366F80">
              <w:rPr>
                <w:rFonts w:ascii="Times New Roman" w:eastAsiaTheme="minorEastAsia" w:hAnsi="Times New Roman" w:cs="Times New Roman"/>
              </w:rPr>
              <w:t>it</w:t>
            </w:r>
            <w:r>
              <w:rPr>
                <w:rFonts w:ascii="Times New Roman" w:eastAsiaTheme="minorEastAsia" w:hAnsi="Times New Roman" w:cs="Times New Roman"/>
              </w:rPr>
              <w:t>ch occurred.</w:t>
            </w:r>
          </w:p>
          <w:p w14:paraId="144DFA53" w14:textId="0FA4C10A" w:rsidR="000F7F46" w:rsidRPr="0084500D" w:rsidRDefault="007013FA" w:rsidP="007308D2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former case, we think</w:t>
            </w:r>
            <w:r w:rsidR="00CB7805" w:rsidRPr="0084500D">
              <w:rPr>
                <w:rFonts w:ascii="Times New Roman" w:eastAsiaTheme="minorEastAsia" w:hAnsi="Times New Roman" w:cs="Times New Roman"/>
                <w:b/>
                <w:bCs/>
              </w:rPr>
              <w:t xml:space="preserve"> the switching information </w:t>
            </w:r>
            <w:r w:rsidR="00CB7805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could be derived implicitly</w:t>
            </w:r>
            <w:r w:rsidR="00255E72" w:rsidRPr="0084500D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0E88EC57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  <w:t xml:space="preserve">there are only two </w:t>
            </w:r>
            <w:r w:rsidRPr="00425DAE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cases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, i.e., fallback and switch situations, where 4-step and 2-step frequency-related parameters </w:t>
            </w:r>
            <w:r>
              <w:rPr>
                <w:rFonts w:ascii="Times New Roman" w:eastAsia="DengXian" w:hAnsi="Times New Roman" w:hint="eastAsia"/>
                <w:b w:val="0"/>
                <w:bCs w:val="0"/>
                <w:lang w:eastAsia="zh-CN"/>
              </w:rPr>
              <w:t>co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exist;</w:t>
            </w:r>
          </w:p>
          <w:p w14:paraId="35DF8333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DengXian" w:hAnsi="Times New Roman" w:hint="eastAsia"/>
                <w:b w:val="0"/>
                <w:bCs w:val="0"/>
                <w:lang w:eastAsia="zh-CN"/>
              </w:rPr>
              <w:t>i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t was agreed to explicitly indicate the fallback case;</w:t>
            </w:r>
          </w:p>
          <w:p w14:paraId="47574F52" w14:textId="77777777" w:rsidR="00813364" w:rsidRPr="00FF275B" w:rsidRDefault="00813364" w:rsidP="00E9292F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thus it can be derived whether the switch was performed based on the coexistence of 4-step and 2-step frequency-related parameters, and the explicit indication for fallback. For instance, if network receives a RA report with both 4-step and 2-step parameters, and there is no indication for fallback, then network could deduce that a switch has occurred.</w:t>
            </w:r>
          </w:p>
          <w:p w14:paraId="373B224C" w14:textId="77777777" w:rsidR="00FF275B" w:rsidRDefault="00FF275B" w:rsidP="00FF275B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latter case</w:t>
            </w:r>
            <w:r w:rsidR="00760889">
              <w:rPr>
                <w:rFonts w:ascii="Times New Roman" w:eastAsiaTheme="minorEastAsia" w:hAnsi="Times New Roman" w:cs="Times New Roman"/>
                <w:b/>
                <w:bCs/>
              </w:rPr>
              <w:t xml:space="preserve">, we think whether the explicit indication is needed </w:t>
            </w:r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depends on the stage-3 signalling design</w:t>
            </w:r>
            <w:r w:rsidR="008A413F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5EF75A35" w14:textId="7E80DB73" w:rsidR="0047663D" w:rsidRPr="00425DAE" w:rsidRDefault="00D07810" w:rsidP="0047663D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In order to find out for which attempt the switch occurred, </w:t>
            </w:r>
            <w:r w:rsidR="00BD41AF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the information included in the per RA attempt should </w:t>
            </w:r>
            <w:r w:rsidR="00CE73F1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outstands itself as a 2-step RA </w:t>
            </w:r>
            <w:r w:rsidR="006875EC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attempt, e.g., an explicit indicator, or a field that signalled this attempt belongs to 2-step RA.</w:t>
            </w:r>
          </w:p>
          <w:p w14:paraId="090FAA63" w14:textId="77777777" w:rsidR="00E615BA" w:rsidRPr="00E615BA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Note that we agreed </w:t>
            </w:r>
            <w:r w:rsidRPr="002427F1">
              <w:rPr>
                <w:rFonts w:ascii="Times New Roman" w:eastAsia="DengXian" w:hAnsi="Times New Roman"/>
                <w:b w:val="0"/>
                <w:bCs w:val="0"/>
                <w:i/>
                <w:iCs/>
                <w:lang w:eastAsia="zh-CN"/>
              </w:rPr>
              <w:t>‘The reporting granularity of whether the DL beam quality, associated to the used 2 step RA resource, is above or below the msgA-RSRP-ThresholdSSB is per-RA-attempt.’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, but whether this is indicated by reusing t</w:t>
            </w:r>
            <w:r>
              <w:rPr>
                <w:rFonts w:ascii="Times New Roman" w:eastAsia="DengXian" w:hAnsi="Times New Roman" w:hint="eastAsia"/>
                <w:b w:val="0"/>
                <w:bCs w:val="0"/>
                <w:lang w:eastAsia="zh-CN"/>
              </w:rPr>
              <w:t>he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 legacy field </w:t>
            </w:r>
            <w:r w:rsidRPr="00A0757D">
              <w:rPr>
                <w:rFonts w:ascii="Times New Roman" w:eastAsia="DengXian" w:hAnsi="Times New Roman"/>
                <w:b w:val="0"/>
                <w:bCs w:val="0"/>
                <w:i/>
                <w:iCs/>
                <w:lang w:eastAsia="zh-CN"/>
              </w:rPr>
              <w:t>dlRSRPAboveThreshold</w:t>
            </w:r>
            <w:r w:rsidRPr="00212D41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 </w:t>
            </w:r>
            <w:r w:rsidR="00C32B30" w:rsidRPr="004E2F88">
              <w:rPr>
                <w:rFonts w:ascii="Times New Roman" w:eastAsia="DengXian" w:hAnsi="Times New Roman"/>
                <w:lang w:eastAsia="zh-CN"/>
              </w:rPr>
              <w:t xml:space="preserve">(contained </w:t>
            </w:r>
            <w:r w:rsidR="004E2F88" w:rsidRPr="004E2F88">
              <w:rPr>
                <w:rFonts w:ascii="Times New Roman" w:eastAsia="DengXian" w:hAnsi="Times New Roman"/>
                <w:lang w:eastAsia="zh-CN"/>
              </w:rPr>
              <w:t>in</w:t>
            </w:r>
            <w:r w:rsidR="00C32B30" w:rsidRPr="004E2F88">
              <w:rPr>
                <w:rFonts w:ascii="Times New Roman" w:eastAsia="DengXian" w:hAnsi="Times New Roman"/>
                <w:lang w:eastAsia="zh-CN"/>
              </w:rPr>
              <w:t xml:space="preserve"> PerRAInfo)</w:t>
            </w:r>
            <w:r w:rsidR="00C32B30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or a new field has not been decided. </w:t>
            </w:r>
          </w:p>
          <w:p w14:paraId="714F334C" w14:textId="77777777" w:rsidR="008A413F" w:rsidRPr="000929E8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If a new field is used to indicate the 2-step RA case, then the network can understand that this entry is created due to a 2-step RACH attempt, otherwise </w:t>
            </w:r>
            <w:r w:rsidR="00E615BA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an indicator is needed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.</w:t>
            </w:r>
          </w:p>
          <w:p w14:paraId="5C7B9EAE" w14:textId="26A465F6" w:rsidR="000929E8" w:rsidRPr="00F20F21" w:rsidRDefault="000929E8" w:rsidP="000929E8">
            <w:pPr>
              <w:pStyle w:val="Observation"/>
              <w:widowControl/>
              <w:numPr>
                <w:ilvl w:val="0"/>
                <w:numId w:val="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F20F21">
              <w:rPr>
                <w:rFonts w:ascii="Times New Roman" w:eastAsia="DengXian" w:hAnsi="Times New Roman" w:hint="eastAsia"/>
                <w:lang w:eastAsia="zh-CN"/>
              </w:rPr>
              <w:t>In</w:t>
            </w:r>
            <w:r w:rsidRPr="00F20F21">
              <w:rPr>
                <w:rFonts w:ascii="Times New Roman" w:eastAsia="DengXian" w:hAnsi="Times New Roman"/>
                <w:lang w:eastAsia="zh-CN"/>
              </w:rPr>
              <w:t xml:space="preserve"> summary, </w:t>
            </w:r>
            <w:r w:rsidR="00576D5B" w:rsidRPr="00F20F21">
              <w:rPr>
                <w:rFonts w:ascii="Times New Roman" w:eastAsia="DengXian" w:hAnsi="Times New Roman"/>
                <w:lang w:eastAsia="zh-CN"/>
              </w:rPr>
              <w:t>at least we disagree with Opt2 in P2</w:t>
            </w:r>
            <w:r w:rsidR="00080051" w:rsidRPr="00F20F21">
              <w:rPr>
                <w:rFonts w:ascii="Times New Roman" w:eastAsia="DengXian" w:hAnsi="Times New Roman"/>
                <w:lang w:eastAsia="zh-CN"/>
              </w:rPr>
              <w:t>, Opt1 depends on stage-3 signalling des</w:t>
            </w:r>
            <w:r w:rsidR="00105AD4" w:rsidRPr="00F20F21">
              <w:rPr>
                <w:rFonts w:ascii="Times New Roman" w:eastAsia="DengXian" w:hAnsi="Times New Roman"/>
                <w:lang w:eastAsia="zh-CN"/>
              </w:rPr>
              <w:t>ign</w:t>
            </w:r>
            <w:r w:rsidR="00640A70" w:rsidRPr="00F20F21">
              <w:rPr>
                <w:rFonts w:ascii="Times New Roman" w:eastAsia="DengXian" w:hAnsi="Times New Roman"/>
                <w:lang w:eastAsia="zh-CN"/>
              </w:rPr>
              <w:t xml:space="preserve"> </w:t>
            </w:r>
            <w:r w:rsidR="00080051" w:rsidRPr="00F20F21">
              <w:rPr>
                <w:rFonts w:ascii="Times New Roman" w:eastAsia="DengXian" w:hAnsi="Times New Roman"/>
                <w:lang w:eastAsia="zh-CN"/>
              </w:rPr>
              <w:t xml:space="preserve">if the intention is to find </w:t>
            </w:r>
            <w:r w:rsidR="00080051" w:rsidRPr="00F20F21">
              <w:rPr>
                <w:rFonts w:ascii="Times New Roman" w:eastAsia="DengXian" w:hAnsi="Times New Roman"/>
                <w:lang w:eastAsia="zh-CN"/>
              </w:rPr>
              <w:lastRenderedPageBreak/>
              <w:t>out for which attempt</w:t>
            </w:r>
            <w:r w:rsidR="00105AD4" w:rsidRPr="00F20F21">
              <w:rPr>
                <w:rFonts w:ascii="Times New Roman" w:eastAsia="DengXian" w:hAnsi="Times New Roman"/>
                <w:lang w:eastAsia="zh-CN"/>
              </w:rPr>
              <w:t xml:space="preserve"> th</w:t>
            </w:r>
            <w:r w:rsidR="002B3CD1" w:rsidRPr="00F20F21">
              <w:rPr>
                <w:rFonts w:ascii="Times New Roman" w:eastAsia="DengXian" w:hAnsi="Times New Roman"/>
                <w:lang w:eastAsia="zh-CN"/>
              </w:rPr>
              <w:t>e</w:t>
            </w:r>
            <w:r w:rsidR="00105AD4" w:rsidRPr="00F20F21">
              <w:rPr>
                <w:rFonts w:ascii="Times New Roman" w:eastAsia="DengXian" w:hAnsi="Times New Roman"/>
                <w:lang w:eastAsia="zh-CN"/>
              </w:rPr>
              <w:t xml:space="preserve"> switch occurred</w:t>
            </w:r>
            <w:r w:rsidR="002B3CD1" w:rsidRPr="00F20F21">
              <w:rPr>
                <w:rFonts w:ascii="Times New Roman" w:eastAsia="DengXian" w:hAnsi="Times New Roman"/>
                <w:lang w:eastAsia="zh-CN"/>
              </w:rPr>
              <w:t>, otherwise it is still NOT necessar</w:t>
            </w:r>
            <w:r w:rsidR="00A85E58" w:rsidRPr="00F20F21">
              <w:rPr>
                <w:rFonts w:ascii="Times New Roman" w:eastAsia="DengXian" w:hAnsi="Times New Roman"/>
                <w:lang w:eastAsia="zh-CN"/>
              </w:rPr>
              <w:t>y</w:t>
            </w:r>
            <w:r w:rsidR="002B3CD1" w:rsidRPr="00F20F21">
              <w:rPr>
                <w:rFonts w:ascii="Times New Roman" w:eastAsia="DengXian" w:hAnsi="Times New Roman"/>
                <w:lang w:eastAsia="zh-CN"/>
              </w:rPr>
              <w:t xml:space="preserve"> to introduce an explicit indicator</w:t>
            </w:r>
            <w:r w:rsidR="00460710" w:rsidRPr="00F20F21"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5B679F1C" w:rsidR="000C5863" w:rsidRPr="00E85F43" w:rsidRDefault="00E85F43" w:rsidP="00972338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lastRenderedPageBreak/>
              <w:t>Samsung</w:t>
            </w:r>
          </w:p>
        </w:tc>
        <w:tc>
          <w:tcPr>
            <w:tcW w:w="1276" w:type="dxa"/>
          </w:tcPr>
          <w:p w14:paraId="44D7F81B" w14:textId="1DDF4286" w:rsidR="000C5863" w:rsidRPr="00E85F43" w:rsidRDefault="00E85F43" w:rsidP="00972338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C560897" w14:textId="2ADDDF32" w:rsidR="000C5863" w:rsidRPr="00E85F43" w:rsidRDefault="00E85F43" w:rsidP="00972338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/>
              </w:rPr>
              <w:t>F</w:t>
            </w:r>
            <w:r>
              <w:rPr>
                <w:rFonts w:ascii="Times New Roman" w:eastAsia="맑은 고딕" w:hAnsi="Times New Roman" w:cs="Times New Roman" w:hint="eastAsia"/>
              </w:rPr>
              <w:t>ine with Option 1</w:t>
            </w: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B5C9D8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B13E0F8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CA96294" w14:textId="77777777" w:rsidTr="00972338">
        <w:tc>
          <w:tcPr>
            <w:tcW w:w="1980" w:type="dxa"/>
          </w:tcPr>
          <w:p w14:paraId="26220C82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346A89A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8BED97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17C87FB4" w14:textId="77777777" w:rsidTr="00972338">
        <w:tc>
          <w:tcPr>
            <w:tcW w:w="1980" w:type="dxa"/>
          </w:tcPr>
          <w:p w14:paraId="6937A90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75C1C2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1D1C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6DA4852F" w14:textId="77777777" w:rsidTr="00972338">
        <w:tc>
          <w:tcPr>
            <w:tcW w:w="1980" w:type="dxa"/>
          </w:tcPr>
          <w:p w14:paraId="01D7E4C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a6"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a6"/>
        <w:rPr>
          <w:rFonts w:ascii="Times New Roman" w:hAnsi="Times New Roman" w:cs="Times New Roman"/>
          <w:b/>
        </w:rPr>
      </w:pPr>
    </w:p>
    <w:p w14:paraId="1D167DAA" w14:textId="7A36EED5" w:rsidR="00885F08" w:rsidRPr="00900758" w:rsidRDefault="009A0C93" w:rsidP="00900758">
      <w:pPr>
        <w:pStyle w:val="21"/>
        <w:jc w:val="both"/>
      </w:pPr>
      <w:r w:rsidRPr="001A479B">
        <w:rPr>
          <w:rFonts w:hint="eastAsia"/>
        </w:rPr>
        <w:t>2</w:t>
      </w:r>
      <w:r w:rsidRPr="001A479B">
        <w:t>.3 Reducing the reporting overhead of the 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a6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a6"/>
        <w:rPr>
          <w:rFonts w:ascii="Times New Roman" w:hAnsi="Times New Roman" w:cs="Times New Roman"/>
        </w:rPr>
      </w:pPr>
      <w:r w:rsidRPr="00635012">
        <w:rPr>
          <w:rFonts w:ascii="Times New Roman" w:hAnsi="Times New Roman" w:cs="Times New Roman"/>
        </w:rPr>
        <w:t>A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indication per RACH procedure for reducing the overhead. </w:t>
      </w:r>
      <w:r w:rsidR="00885F08">
        <w:rPr>
          <w:rFonts w:ascii="Times New Roman" w:hAnsi="Times New Roman" w:cs="Times New Roman"/>
        </w:rPr>
        <w:t>As a result, the rapporteaur suggest keep the RAN3 as ablove</w:t>
      </w:r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6A66DD33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1859AFD6" w14:textId="1CD39828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445A1695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3D9AAAF6" w14:textId="57F944B6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6A478CFD" w:rsidR="00885F08" w:rsidRPr="008A2B30" w:rsidRDefault="008A2B30" w:rsidP="00972338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399D056F" w14:textId="1E954873" w:rsidR="00885F08" w:rsidRPr="008A2B30" w:rsidRDefault="008A2B30" w:rsidP="00972338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t>A</w:t>
            </w:r>
            <w:r>
              <w:rPr>
                <w:rFonts w:ascii="Times New Roman" w:eastAsia="맑은 고딕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9C88207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189EA6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F48D5E5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21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a6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a6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A: the payload size transmitted in MSGA for a 2-step RACH attempt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C: the MCS index(from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0042BB5C" w14:textId="7B5CCC6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D: the number of PRB per PO of the PUSCH resource(from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E: the combination of start symbol and length and PUSCH mapping type(from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F:PUSCH group information(from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G:Offset of lowest PUSCH occasion in frequency domain with respect to PRB 0(from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H:The number of msgA PUSCH occasions FDMed in one time instance(from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I: Indication of pathloss above or below the pathloss threshold for groupA/B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>] Erricsson)</w:t>
      </w:r>
    </w:p>
    <w:p w14:paraId="774A9A02" w14:textId="013FCAAB" w:rsidR="00A3745B" w:rsidRPr="00900758" w:rsidRDefault="00A3745B" w:rsidP="00980D22">
      <w:pPr>
        <w:pStyle w:val="afb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J:MSGA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>] Errcsson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t>To make a further step, the rapporteaur invites companies to show their preferences on the above set of information.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Answer:A,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4DAA84D6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26509277" w14:textId="1F2F2120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None</w:t>
            </w:r>
          </w:p>
        </w:tc>
        <w:tc>
          <w:tcPr>
            <w:tcW w:w="6373" w:type="dxa"/>
          </w:tcPr>
          <w:p w14:paraId="7C0F9E51" w14:textId="1F9CC16F" w:rsidR="00A3745B" w:rsidRPr="006C59E2" w:rsidRDefault="00E54E6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 believe PUSCH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and payload </w:t>
            </w:r>
            <w:r>
              <w:rPr>
                <w:rFonts w:ascii="Times New Roman" w:hAnsi="Times New Roman" w:cs="Times New Roman"/>
                <w:lang w:eastAsia="ja-JP"/>
              </w:rPr>
              <w:t xml:space="preserve">used for RACH </w:t>
            </w:r>
            <w:r w:rsidR="00A23C15">
              <w:rPr>
                <w:rFonts w:ascii="Times New Roman" w:hAnsi="Times New Roman" w:cs="Times New Roman"/>
                <w:lang w:eastAsia="ja-JP"/>
              </w:rPr>
              <w:t xml:space="preserve">don’t change per RACH attempt. On successful RACH procedure,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A23C15">
              <w:rPr>
                <w:rFonts w:ascii="Times New Roman" w:hAnsi="Times New Roman" w:cs="Times New Roman"/>
                <w:lang w:eastAsia="ja-JP"/>
              </w:rPr>
              <w:t>network knows which parameters have been used for</w:t>
            </w:r>
            <w:r w:rsidR="00862455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862455">
              <w:rPr>
                <w:rFonts w:ascii="Times New Roman" w:hAnsi="Times New Roman" w:cs="Times New Roman"/>
                <w:lang w:eastAsia="ja-JP"/>
              </w:rPr>
              <w:t>RACH procedure. Ther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efore, no need to include these parameters in the RA-report. </w:t>
            </w: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0F6169AB" w:rsidR="00A3745B" w:rsidRPr="008A2B30" w:rsidRDefault="008A2B30" w:rsidP="00972338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t>Samsug</w:t>
            </w:r>
          </w:p>
        </w:tc>
        <w:tc>
          <w:tcPr>
            <w:tcW w:w="1276" w:type="dxa"/>
          </w:tcPr>
          <w:p w14:paraId="537EF082" w14:textId="6CE29D2F" w:rsidR="00A3745B" w:rsidRPr="008A2B30" w:rsidRDefault="008A2B30" w:rsidP="00972338">
            <w:pPr>
              <w:rPr>
                <w:rFonts w:ascii="Times New Roman" w:eastAsia="맑은 고딕" w:hAnsi="Times New Roman" w:cs="Times New Roman" w:hint="eastAsia"/>
              </w:rPr>
            </w:pPr>
            <w:r>
              <w:rPr>
                <w:rFonts w:ascii="Times New Roman" w:eastAsia="맑은 고딕" w:hAnsi="Times New Roman" w:cs="Times New Roman" w:hint="eastAsia"/>
              </w:rPr>
              <w:t>Other</w:t>
            </w:r>
          </w:p>
        </w:tc>
        <w:tc>
          <w:tcPr>
            <w:tcW w:w="6373" w:type="dxa"/>
          </w:tcPr>
          <w:p w14:paraId="47DD976D" w14:textId="2FE0BE18" w:rsidR="00A3745B" w:rsidRPr="006C59E2" w:rsidRDefault="008A2B30" w:rsidP="00972338">
            <w:pPr>
              <w:rPr>
                <w:rFonts w:ascii="Times New Roman" w:hAnsi="Times New Roman" w:cs="Times New Roman"/>
                <w:lang w:eastAsia="ja-JP"/>
              </w:rPr>
            </w:pPr>
            <w:r w:rsidRPr="008A2B30">
              <w:rPr>
                <w:rFonts w:ascii="Times New Roman" w:hAnsi="Times New Roman" w:cs="Times New Roman"/>
                <w:lang w:eastAsia="ja-JP"/>
              </w:rPr>
              <w:t>An indicator can be in</w:t>
            </w:r>
            <w:r>
              <w:rPr>
                <w:rFonts w:ascii="Times New Roman" w:hAnsi="Times New Roman" w:cs="Times New Roman"/>
                <w:lang w:eastAsia="ja-JP"/>
              </w:rPr>
              <w:t>troduced to indicate whether MSG</w:t>
            </w:r>
            <w:r w:rsidRPr="008A2B30">
              <w:rPr>
                <w:rFonts w:ascii="Times New Roman" w:hAnsi="Times New Roman" w:cs="Times New Roman"/>
                <w:lang w:eastAsia="ja-JP"/>
              </w:rPr>
              <w:t>A PUSCH was transmitted or not during this RA attempt.</w:t>
            </w:r>
            <w:bookmarkStart w:id="1" w:name="_GoBack"/>
            <w:bookmarkEnd w:id="1"/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0591B891" w14:textId="77777777" w:rsidTr="00972338">
        <w:tc>
          <w:tcPr>
            <w:tcW w:w="1980" w:type="dxa"/>
          </w:tcPr>
          <w:p w14:paraId="0C3DB79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6B9C14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F387FF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4390A4B" w14:textId="77777777" w:rsidTr="00972338">
        <w:tc>
          <w:tcPr>
            <w:tcW w:w="1980" w:type="dxa"/>
          </w:tcPr>
          <w:p w14:paraId="42624EF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07D4894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563B9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1FE0CC2" w14:textId="77777777" w:rsidTr="00972338">
        <w:tc>
          <w:tcPr>
            <w:tcW w:w="1980" w:type="dxa"/>
          </w:tcPr>
          <w:p w14:paraId="6B4C8B3A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28962235" w14:textId="77777777" w:rsidTr="00972338">
        <w:tc>
          <w:tcPr>
            <w:tcW w:w="1980" w:type="dxa"/>
          </w:tcPr>
          <w:p w14:paraId="5A3C197C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/>
          <w:lang w:eastAsia="ja-JP"/>
        </w:rPr>
      </w:pPr>
    </w:p>
    <w:p w14:paraId="49B98441" w14:textId="3381E4B7" w:rsidR="00B077E8" w:rsidRDefault="00F43DAB">
      <w:pPr>
        <w:pStyle w:val="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1"/>
        <w:numPr>
          <w:ilvl w:val="0"/>
          <w:numId w:val="39"/>
        </w:numPr>
      </w:pPr>
      <w:r>
        <w:t>References</w:t>
      </w:r>
    </w:p>
    <w:p w14:paraId="2D10A4F7" w14:textId="34FF15F2" w:rsidR="001A479B" w:rsidRPr="001A479B" w:rsidRDefault="001A479B" w:rsidP="001A479B">
      <w:pPr>
        <w:pStyle w:val="a6"/>
        <w:ind w:left="300" w:hangingChars="150" w:hanging="300"/>
        <w:rPr>
          <w:rFonts w:ascii="Times New Roman" w:hAnsi="Times New Roman" w:cs="Times New Roman"/>
        </w:rPr>
      </w:pPr>
      <w:bookmarkStart w:id="2" w:name="_Ref79999837"/>
      <w:r w:rsidRPr="001A479B">
        <w:rPr>
          <w:rFonts w:ascii="Times New Roman" w:hAnsi="Times New Roman" w:cs="Times New Roman"/>
        </w:rPr>
        <w:t xml:space="preserve">[1] R2-2108840, [Pre115-e][802][SON/MDT] Summary on agenda item 8.13.2.2 2-step RA related SON aspects, OPPO </w:t>
      </w:r>
    </w:p>
    <w:p w14:paraId="6541F89D" w14:textId="539E55EC" w:rsidR="001A479B" w:rsidRPr="001A479B" w:rsidRDefault="001A479B" w:rsidP="001A479B">
      <w:pPr>
        <w:pStyle w:val="a6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[2] R2-2103093, Report of [Post113-e][852][NR17 SON/MDT] 2 step RA and other SON changes, CATT</w:t>
      </w:r>
    </w:p>
    <w:p w14:paraId="215D9C96" w14:textId="1A5418D6" w:rsidR="00D20124" w:rsidRDefault="001A479B" w:rsidP="001A479B">
      <w:pPr>
        <w:pStyle w:val="a6"/>
        <w:ind w:left="300" w:hangingChars="150" w:hanging="300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2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A479B">
      <w:pPr>
        <w:pStyle w:val="a6"/>
        <w:ind w:left="300" w:hangingChars="15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A479B">
      <w:pPr>
        <w:pStyle w:val="a6"/>
        <w:ind w:left="300" w:hangingChars="15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A479B">
      <w:pPr>
        <w:pStyle w:val="a6"/>
        <w:ind w:left="300" w:hangingChars="15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A479B">
      <w:pPr>
        <w:pStyle w:val="a6"/>
        <w:ind w:left="300" w:hangingChars="150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A479B">
      <w:pPr>
        <w:pStyle w:val="a6"/>
        <w:ind w:left="300" w:hangingChars="150" w:hanging="300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[Post113-e][852][NR17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55798" w14:textId="77777777" w:rsidR="008F234B" w:rsidRDefault="008F234B" w:rsidP="00E26BA1">
      <w:r>
        <w:separator/>
      </w:r>
    </w:p>
  </w:endnote>
  <w:endnote w:type="continuationSeparator" w:id="0">
    <w:p w14:paraId="6F472DE0" w14:textId="77777777" w:rsidR="008F234B" w:rsidRDefault="008F234B" w:rsidP="00E26BA1">
      <w:r>
        <w:continuationSeparator/>
      </w:r>
    </w:p>
  </w:endnote>
  <w:endnote w:type="continuationNotice" w:id="1">
    <w:p w14:paraId="5FBB0373" w14:textId="77777777" w:rsidR="008F234B" w:rsidRDefault="008F2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CAC73" w14:textId="77777777" w:rsidR="008F234B" w:rsidRDefault="008F234B" w:rsidP="00E26BA1">
      <w:r>
        <w:separator/>
      </w:r>
    </w:p>
  </w:footnote>
  <w:footnote w:type="continuationSeparator" w:id="0">
    <w:p w14:paraId="0294039D" w14:textId="77777777" w:rsidR="008F234B" w:rsidRDefault="008F234B" w:rsidP="00E26BA1">
      <w:r>
        <w:continuationSeparator/>
      </w:r>
    </w:p>
  </w:footnote>
  <w:footnote w:type="continuationNotice" w:id="1">
    <w:p w14:paraId="5EAC7EC9" w14:textId="77777777" w:rsidR="008F234B" w:rsidRDefault="008F23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C107B4"/>
    <w:multiLevelType w:val="hybridMultilevel"/>
    <w:tmpl w:val="82101C0C"/>
    <w:lvl w:ilvl="0" w:tplc="2A7EA3CC">
      <w:numFmt w:val="bullet"/>
      <w:lvlText w:val="-"/>
      <w:lvlJc w:val="left"/>
      <w:pPr>
        <w:ind w:left="420" w:hanging="42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9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DengXi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6"/>
  </w:num>
  <w:num w:numId="4">
    <w:abstractNumId w:val="14"/>
  </w:num>
  <w:num w:numId="5">
    <w:abstractNumId w:val="12"/>
  </w:num>
  <w:num w:numId="6">
    <w:abstractNumId w:val="29"/>
  </w:num>
  <w:num w:numId="7">
    <w:abstractNumId w:val="2"/>
  </w:num>
  <w:num w:numId="8">
    <w:abstractNumId w:val="37"/>
  </w:num>
  <w:num w:numId="9">
    <w:abstractNumId w:val="24"/>
  </w:num>
  <w:num w:numId="10">
    <w:abstractNumId w:val="20"/>
  </w:num>
  <w:num w:numId="11">
    <w:abstractNumId w:val="26"/>
  </w:num>
  <w:num w:numId="12">
    <w:abstractNumId w:val="28"/>
  </w:num>
  <w:num w:numId="13">
    <w:abstractNumId w:val="4"/>
  </w:num>
  <w:num w:numId="14">
    <w:abstractNumId w:val="27"/>
  </w:num>
  <w:num w:numId="15">
    <w:abstractNumId w:val="30"/>
  </w:num>
  <w:num w:numId="16">
    <w:abstractNumId w:val="19"/>
  </w:num>
  <w:num w:numId="17">
    <w:abstractNumId w:val="17"/>
  </w:num>
  <w:num w:numId="18">
    <w:abstractNumId w:val="22"/>
  </w:num>
  <w:num w:numId="19">
    <w:abstractNumId w:val="32"/>
  </w:num>
  <w:num w:numId="20">
    <w:abstractNumId w:val="15"/>
  </w:num>
  <w:num w:numId="21">
    <w:abstractNumId w:val="25"/>
  </w:num>
  <w:num w:numId="22">
    <w:abstractNumId w:val="31"/>
  </w:num>
  <w:num w:numId="23">
    <w:abstractNumId w:val="10"/>
  </w:num>
  <w:num w:numId="24">
    <w:abstractNumId w:val="33"/>
  </w:num>
  <w:num w:numId="25">
    <w:abstractNumId w:val="34"/>
  </w:num>
  <w:num w:numId="26">
    <w:abstractNumId w:val="1"/>
  </w:num>
  <w:num w:numId="27">
    <w:abstractNumId w:val="0"/>
  </w:num>
  <w:num w:numId="28">
    <w:abstractNumId w:val="13"/>
  </w:num>
  <w:num w:numId="29">
    <w:abstractNumId w:val="16"/>
  </w:num>
  <w:num w:numId="30">
    <w:abstractNumId w:val="9"/>
  </w:num>
  <w:num w:numId="31">
    <w:abstractNumId w:val="7"/>
  </w:num>
  <w:num w:numId="32">
    <w:abstractNumId w:val="39"/>
  </w:num>
  <w:num w:numId="33">
    <w:abstractNumId w:val="11"/>
  </w:num>
  <w:num w:numId="34">
    <w:abstractNumId w:val="38"/>
  </w:num>
  <w:num w:numId="35">
    <w:abstractNumId w:val="21"/>
  </w:num>
  <w:num w:numId="36">
    <w:abstractNumId w:val="23"/>
  </w:num>
  <w:num w:numId="37">
    <w:abstractNumId w:val="8"/>
  </w:num>
  <w:num w:numId="38">
    <w:abstractNumId w:val="5"/>
  </w:num>
  <w:num w:numId="39">
    <w:abstractNumId w:val="36"/>
  </w:num>
  <w:num w:numId="40">
    <w:abstractNumId w:val="3"/>
  </w:num>
  <w:num w:numId="41">
    <w:abstractNumId w:val="2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rAUAjoWYQSwAAAA="/>
  </w:docVars>
  <w:rsids>
    <w:rsidRoot w:val="00AB44C3"/>
    <w:rsid w:val="000006E1"/>
    <w:rsid w:val="00001CBC"/>
    <w:rsid w:val="00002A37"/>
    <w:rsid w:val="00004A25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051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29E8"/>
    <w:rsid w:val="00093474"/>
    <w:rsid w:val="00094476"/>
    <w:rsid w:val="0009510F"/>
    <w:rsid w:val="000A13DD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0F7F46"/>
    <w:rsid w:val="001000EA"/>
    <w:rsid w:val="001005CD"/>
    <w:rsid w:val="001005FF"/>
    <w:rsid w:val="0010451E"/>
    <w:rsid w:val="00105AD4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771CD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D7F4E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4D95"/>
    <w:rsid w:val="00206152"/>
    <w:rsid w:val="0020654C"/>
    <w:rsid w:val="002069B2"/>
    <w:rsid w:val="00207FA3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5E72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B94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FC1"/>
    <w:rsid w:val="002B24D6"/>
    <w:rsid w:val="002B312D"/>
    <w:rsid w:val="002B3CD1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2D38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66F80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4B4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0710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63D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2F88"/>
    <w:rsid w:val="004E462E"/>
    <w:rsid w:val="004E56DC"/>
    <w:rsid w:val="004E5DEC"/>
    <w:rsid w:val="004E6D2F"/>
    <w:rsid w:val="004E76F4"/>
    <w:rsid w:val="004F0B4E"/>
    <w:rsid w:val="004F0B6C"/>
    <w:rsid w:val="004F1233"/>
    <w:rsid w:val="004F150F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25145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76D5B"/>
    <w:rsid w:val="0058109F"/>
    <w:rsid w:val="0058112C"/>
    <w:rsid w:val="00582809"/>
    <w:rsid w:val="00585349"/>
    <w:rsid w:val="005861DC"/>
    <w:rsid w:val="00586DB1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0048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533C"/>
    <w:rsid w:val="00636398"/>
    <w:rsid w:val="006368D3"/>
    <w:rsid w:val="006377EC"/>
    <w:rsid w:val="00637FBC"/>
    <w:rsid w:val="0064049A"/>
    <w:rsid w:val="00640A70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29A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1CD5"/>
    <w:rsid w:val="006833FF"/>
    <w:rsid w:val="00683ECE"/>
    <w:rsid w:val="00685C77"/>
    <w:rsid w:val="006875EC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3FA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13FA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A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08D2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0889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76C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364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41D2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00D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2455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B30"/>
    <w:rsid w:val="008A2CE2"/>
    <w:rsid w:val="008A30AC"/>
    <w:rsid w:val="008A3C03"/>
    <w:rsid w:val="008A413F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34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350"/>
    <w:rsid w:val="0090336B"/>
    <w:rsid w:val="00903A55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937"/>
    <w:rsid w:val="00A04F49"/>
    <w:rsid w:val="00A06A1D"/>
    <w:rsid w:val="00A06A4E"/>
    <w:rsid w:val="00A0757D"/>
    <w:rsid w:val="00A07FF3"/>
    <w:rsid w:val="00A12DDF"/>
    <w:rsid w:val="00A13E54"/>
    <w:rsid w:val="00A1777A"/>
    <w:rsid w:val="00A17F63"/>
    <w:rsid w:val="00A2193B"/>
    <w:rsid w:val="00A2351A"/>
    <w:rsid w:val="00A23C15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5E58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2E57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1E39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136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733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1AF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9E4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2B30"/>
    <w:rsid w:val="00C36E2E"/>
    <w:rsid w:val="00C3719D"/>
    <w:rsid w:val="00C37CB2"/>
    <w:rsid w:val="00C405DB"/>
    <w:rsid w:val="00C41A19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D9B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B7805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1A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3F1"/>
    <w:rsid w:val="00CE7561"/>
    <w:rsid w:val="00CF1354"/>
    <w:rsid w:val="00CF3B1F"/>
    <w:rsid w:val="00CF3BF6"/>
    <w:rsid w:val="00CF4546"/>
    <w:rsid w:val="00CF4FA8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07810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3F7E"/>
    <w:rsid w:val="00E54843"/>
    <w:rsid w:val="00E54E3B"/>
    <w:rsid w:val="00E54E65"/>
    <w:rsid w:val="00E5559C"/>
    <w:rsid w:val="00E57565"/>
    <w:rsid w:val="00E577A4"/>
    <w:rsid w:val="00E615BA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5F43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292F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0ACF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0F21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37F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8AC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2076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275B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2D38"/>
    <w:pPr>
      <w:widowControl w:val="0"/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lang w:val="en-US" w:eastAsia="ko-KR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342D38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342D38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본문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목록 단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맑은 고딕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rPr>
      <w:szCs w:val="20"/>
    </w:rPr>
  </w:style>
  <w:style w:type="character" w:customStyle="1" w:styleId="Char9">
    <w:name w:val="미주 텍스트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9EB2EF92-EECE-4909-B18D-6621A2AE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9443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2021-08-23T07:42:00Z</dcterms:created>
  <dcterms:modified xsi:type="dcterms:W3CDTF">2021-08-23T08:05:00Z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