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1</w:t>
      </w:r>
      <w:r w:rsidR="00B1773B">
        <w:rPr>
          <w:rFonts w:cs="Arial"/>
        </w:rPr>
        <w:t>12</w:t>
      </w:r>
      <w:r w:rsidR="005E06A6" w:rsidRPr="005E06A6">
        <w:rPr>
          <w:rFonts w:cs="Arial" w:hint="eastAsia"/>
        </w:rPr>
        <w:t>][</w:t>
      </w:r>
      <w:proofErr w:type="gramEnd"/>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Heading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Hyperlink"/>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SimSun" w:hAnsi="Times New Roman"/>
          <w:b/>
          <w:color w:val="000000"/>
          <w:lang w:val="en-US" w:eastAsia="zh-CN"/>
        </w:rPr>
        <w:t>Phase1:</w:t>
      </w:r>
      <w:r w:rsidRPr="0035380A">
        <w:rPr>
          <w:rFonts w:ascii="Times New Roman" w:eastAsia="SimSun"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SimSun"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SimSun"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08pt" o:ole="">
            <v:imagedata r:id="rId15" o:title=""/>
          </v:shape>
          <o:OLEObject Type="Embed" ProgID="Visio.Drawing.11" ShapeID="_x0000_i1025" DrawAspect="Content" ObjectID="_1691406268"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TableGrid"/>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and UE vendors are fine to measure concurrently according to multiple SMTCs.</w:t>
            </w: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w:t>
            </w:r>
            <w:r>
              <w:rPr>
                <w:rFonts w:ascii="Arial" w:eastAsia="Helvetica" w:hAnsi="Arial" w:cs="Arial"/>
                <w:lang w:val="en-US"/>
              </w:rPr>
              <w:t>companies are really eager to</w:t>
            </w:r>
            <w:r>
              <w:rPr>
                <w:rFonts w:ascii="Arial" w:eastAsia="Helvetica" w:hAnsi="Arial" w:cs="Arial"/>
                <w:lang w:val="en-US"/>
              </w:rPr>
              <w:t xml:space="preserve"> go beyond 2 then 4 is the next reasonable value. </w:t>
            </w:r>
          </w:p>
        </w:tc>
      </w:tr>
      <w:tr w:rsidR="009E1CD9" w14:paraId="22A6F27B" w14:textId="77777777" w:rsidTr="008A79B6">
        <w:tc>
          <w:tcPr>
            <w:tcW w:w="1555" w:type="dxa"/>
          </w:tcPr>
          <w:p w14:paraId="7550EEE5" w14:textId="77777777" w:rsidR="009E1CD9" w:rsidRPr="0015785C" w:rsidRDefault="009E1CD9" w:rsidP="009E1CD9">
            <w:pPr>
              <w:rPr>
                <w:rFonts w:ascii="Arial" w:eastAsia="Helvetica" w:hAnsi="Arial" w:cs="Arial"/>
                <w:lang w:val="en-US"/>
              </w:rPr>
            </w:pPr>
          </w:p>
        </w:tc>
        <w:tc>
          <w:tcPr>
            <w:tcW w:w="2126" w:type="dxa"/>
          </w:tcPr>
          <w:p w14:paraId="3CE9BD81" w14:textId="77777777" w:rsidR="009E1CD9" w:rsidRPr="0015785C" w:rsidRDefault="009E1CD9" w:rsidP="009E1CD9">
            <w:pPr>
              <w:rPr>
                <w:rFonts w:ascii="Arial" w:eastAsia="Helvetica" w:hAnsi="Arial" w:cs="Arial"/>
                <w:lang w:val="en-US"/>
              </w:rPr>
            </w:pPr>
          </w:p>
        </w:tc>
        <w:tc>
          <w:tcPr>
            <w:tcW w:w="5950" w:type="dxa"/>
          </w:tcPr>
          <w:p w14:paraId="6E17D082" w14:textId="77777777" w:rsidR="009E1CD9" w:rsidRPr="00846990" w:rsidRDefault="009E1CD9" w:rsidP="009E1CD9">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lastRenderedPageBreak/>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Thus, the signaling overhead needs to be considered carefully. This is why we think UE-based scheme may</w:t>
            </w:r>
            <w:r>
              <w:rPr>
                <w:rFonts w:ascii="Arial" w:eastAsia="Helvetica" w:hAnsi="Arial" w:cs="Arial"/>
                <w:lang w:val="en-US"/>
              </w:rPr>
              <w:t xml:space="preserve"> actually</w:t>
            </w:r>
            <w:r>
              <w:rPr>
                <w:rFonts w:ascii="Arial" w:eastAsia="Helvetica" w:hAnsi="Arial" w:cs="Arial"/>
                <w:lang w:val="en-US"/>
              </w:rPr>
              <w:t xml:space="preserve">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777BFE" w14:paraId="21EC662B" w14:textId="77777777" w:rsidTr="008A79B6">
        <w:tc>
          <w:tcPr>
            <w:tcW w:w="1555" w:type="dxa"/>
          </w:tcPr>
          <w:p w14:paraId="73588F3D" w14:textId="77777777" w:rsidR="00777BFE" w:rsidRPr="0015785C" w:rsidRDefault="00777BFE" w:rsidP="00777BFE">
            <w:pPr>
              <w:rPr>
                <w:rFonts w:ascii="Arial" w:eastAsia="Helvetica" w:hAnsi="Arial" w:cs="Arial"/>
                <w:lang w:val="en-US"/>
              </w:rPr>
            </w:pPr>
          </w:p>
        </w:tc>
        <w:tc>
          <w:tcPr>
            <w:tcW w:w="2126" w:type="dxa"/>
          </w:tcPr>
          <w:p w14:paraId="277BFA38" w14:textId="77777777" w:rsidR="00777BFE" w:rsidRPr="0015785C" w:rsidRDefault="00777BFE" w:rsidP="00777BFE">
            <w:pPr>
              <w:rPr>
                <w:rFonts w:ascii="Arial" w:eastAsia="Helvetica" w:hAnsi="Arial" w:cs="Arial"/>
                <w:lang w:val="en-US"/>
              </w:rPr>
            </w:pPr>
          </w:p>
        </w:tc>
        <w:tc>
          <w:tcPr>
            <w:tcW w:w="5950" w:type="dxa"/>
          </w:tcPr>
          <w:p w14:paraId="5A3AEEEA" w14:textId="77777777" w:rsidR="00777BFE" w:rsidRPr="0015785C" w:rsidRDefault="00777BFE" w:rsidP="00777BFE">
            <w:pPr>
              <w:rPr>
                <w:rFonts w:ascii="Arial" w:eastAsia="Helvetica" w:hAnsi="Arial" w:cs="Arial"/>
                <w:lang w:val="en-US"/>
              </w:rPr>
            </w:pPr>
          </w:p>
        </w:tc>
      </w:tr>
      <w:tr w:rsidR="00777BFE" w14:paraId="23826A0F" w14:textId="77777777" w:rsidTr="008A79B6">
        <w:tc>
          <w:tcPr>
            <w:tcW w:w="1555" w:type="dxa"/>
          </w:tcPr>
          <w:p w14:paraId="05184D53" w14:textId="77777777" w:rsidR="00777BFE" w:rsidRPr="0015785C" w:rsidRDefault="00777BFE" w:rsidP="00777BFE">
            <w:pPr>
              <w:rPr>
                <w:rFonts w:ascii="Arial" w:eastAsia="Helvetica" w:hAnsi="Arial" w:cs="Arial"/>
                <w:lang w:val="en-US"/>
              </w:rPr>
            </w:pPr>
          </w:p>
        </w:tc>
        <w:tc>
          <w:tcPr>
            <w:tcW w:w="2126" w:type="dxa"/>
          </w:tcPr>
          <w:p w14:paraId="105B2A7E" w14:textId="77777777" w:rsidR="00777BFE" w:rsidRPr="0015785C" w:rsidRDefault="00777BFE" w:rsidP="00777BFE">
            <w:pPr>
              <w:rPr>
                <w:rFonts w:ascii="Arial" w:eastAsia="Helvetica" w:hAnsi="Arial" w:cs="Arial"/>
                <w:lang w:val="en-US"/>
              </w:rPr>
            </w:pPr>
          </w:p>
        </w:tc>
        <w:tc>
          <w:tcPr>
            <w:tcW w:w="5950" w:type="dxa"/>
          </w:tcPr>
          <w:p w14:paraId="1479E63D" w14:textId="77777777" w:rsidR="00777BFE" w:rsidRPr="0015785C" w:rsidRDefault="00777BFE" w:rsidP="00777BFE">
            <w:pPr>
              <w:rPr>
                <w:rFonts w:ascii="Arial" w:eastAsia="Helvetica" w:hAnsi="Arial" w:cs="Arial"/>
                <w:lang w:val="en-US"/>
              </w:rPr>
            </w:pPr>
          </w:p>
        </w:tc>
      </w:tr>
      <w:tr w:rsidR="00777BFE" w14:paraId="699F808A" w14:textId="77777777" w:rsidTr="008A79B6">
        <w:tc>
          <w:tcPr>
            <w:tcW w:w="1555" w:type="dxa"/>
          </w:tcPr>
          <w:p w14:paraId="5D2B8841" w14:textId="77777777" w:rsidR="00777BFE" w:rsidRPr="00F55842" w:rsidRDefault="00777BFE" w:rsidP="00777BFE">
            <w:pPr>
              <w:rPr>
                <w:rFonts w:ascii="Arial" w:eastAsiaTheme="minorEastAsia" w:hAnsi="Arial" w:cs="Arial"/>
                <w:lang w:val="en-US" w:eastAsia="zh-CN"/>
              </w:rPr>
            </w:pPr>
          </w:p>
        </w:tc>
        <w:tc>
          <w:tcPr>
            <w:tcW w:w="2126" w:type="dxa"/>
          </w:tcPr>
          <w:p w14:paraId="6A171867" w14:textId="77777777" w:rsidR="00777BFE" w:rsidRPr="00F55842" w:rsidRDefault="00777BFE" w:rsidP="00777BFE">
            <w:pPr>
              <w:rPr>
                <w:rFonts w:ascii="Arial" w:eastAsiaTheme="minorEastAsia" w:hAnsi="Arial" w:cs="Arial"/>
                <w:lang w:val="en-US" w:eastAsia="zh-CN"/>
              </w:rPr>
            </w:pPr>
          </w:p>
        </w:tc>
        <w:tc>
          <w:tcPr>
            <w:tcW w:w="5950" w:type="dxa"/>
          </w:tcPr>
          <w:p w14:paraId="13100BC0" w14:textId="77777777" w:rsidR="00777BFE" w:rsidRPr="00F55842" w:rsidRDefault="00777BFE" w:rsidP="00777BFE">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TableGrid"/>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7C60A5">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7C60A5">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w:t>
            </w:r>
            <w:r>
              <w:rPr>
                <w:rFonts w:ascii="Arial" w:eastAsia="Helvetica" w:hAnsi="Arial" w:cs="Arial"/>
                <w:lang w:val="en-US"/>
              </w:rPr>
              <w:t xml:space="preserve"> The signaling overhead should be considered, </w:t>
            </w:r>
            <w:r>
              <w:rPr>
                <w:rFonts w:ascii="Arial" w:eastAsia="Helvetica" w:hAnsi="Arial" w:cs="Arial"/>
                <w:lang w:val="en-US"/>
              </w:rPr>
              <w:lastRenderedPageBreak/>
              <w:t>if e.g. what Ericsson proposes (UE location reporting) is pursued.</w:t>
            </w:r>
          </w:p>
        </w:tc>
      </w:tr>
      <w:tr w:rsidR="00777BFE" w14:paraId="67AD05C2" w14:textId="77777777" w:rsidTr="007C60A5">
        <w:tc>
          <w:tcPr>
            <w:tcW w:w="1555" w:type="dxa"/>
          </w:tcPr>
          <w:p w14:paraId="150078C2" w14:textId="77777777" w:rsidR="00777BFE" w:rsidRPr="0015785C" w:rsidRDefault="00777BFE" w:rsidP="00777BFE">
            <w:pPr>
              <w:rPr>
                <w:rFonts w:ascii="Arial" w:eastAsia="Helvetica" w:hAnsi="Arial" w:cs="Arial"/>
                <w:lang w:val="en-US"/>
              </w:rPr>
            </w:pPr>
          </w:p>
        </w:tc>
        <w:tc>
          <w:tcPr>
            <w:tcW w:w="2126" w:type="dxa"/>
          </w:tcPr>
          <w:p w14:paraId="4E255842" w14:textId="77777777" w:rsidR="00777BFE" w:rsidRPr="0015785C" w:rsidRDefault="00777BFE" w:rsidP="00777BFE">
            <w:pPr>
              <w:rPr>
                <w:rFonts w:ascii="Arial" w:eastAsia="Helvetica" w:hAnsi="Arial" w:cs="Arial"/>
                <w:lang w:val="en-US"/>
              </w:rPr>
            </w:pPr>
          </w:p>
        </w:tc>
        <w:tc>
          <w:tcPr>
            <w:tcW w:w="5950" w:type="dxa"/>
          </w:tcPr>
          <w:p w14:paraId="09B7B525" w14:textId="77777777" w:rsidR="00777BFE" w:rsidRPr="00846990" w:rsidRDefault="00777BFE" w:rsidP="00777BFE">
            <w:pPr>
              <w:rPr>
                <w:rFonts w:ascii="Arial" w:hAnsi="Arial" w:cs="Arial"/>
                <w:lang w:val="en-US" w:eastAsia="zh-CN"/>
              </w:rPr>
            </w:pPr>
          </w:p>
        </w:tc>
      </w:tr>
      <w:tr w:rsidR="00777BFE" w14:paraId="5F6D4934" w14:textId="77777777" w:rsidTr="007C60A5">
        <w:tc>
          <w:tcPr>
            <w:tcW w:w="1555" w:type="dxa"/>
          </w:tcPr>
          <w:p w14:paraId="73C2E1F4" w14:textId="77777777" w:rsidR="00777BFE" w:rsidRPr="0015785C" w:rsidRDefault="00777BFE" w:rsidP="00777BFE">
            <w:pPr>
              <w:rPr>
                <w:rFonts w:ascii="Arial" w:eastAsia="Helvetica" w:hAnsi="Arial" w:cs="Arial"/>
                <w:lang w:val="en-US"/>
              </w:rPr>
            </w:pPr>
          </w:p>
        </w:tc>
        <w:tc>
          <w:tcPr>
            <w:tcW w:w="2126" w:type="dxa"/>
          </w:tcPr>
          <w:p w14:paraId="16633EDC" w14:textId="77777777" w:rsidR="00777BFE" w:rsidRPr="0015785C" w:rsidRDefault="00777BFE" w:rsidP="00777BFE">
            <w:pPr>
              <w:rPr>
                <w:rFonts w:ascii="Arial" w:eastAsia="Helvetica" w:hAnsi="Arial" w:cs="Arial"/>
                <w:lang w:val="en-US"/>
              </w:rPr>
            </w:pPr>
          </w:p>
        </w:tc>
        <w:tc>
          <w:tcPr>
            <w:tcW w:w="5950" w:type="dxa"/>
          </w:tcPr>
          <w:p w14:paraId="786F4314" w14:textId="77777777" w:rsidR="00777BFE" w:rsidRPr="0015785C" w:rsidRDefault="00777BFE" w:rsidP="00777BFE">
            <w:pPr>
              <w:rPr>
                <w:rFonts w:ascii="Arial" w:eastAsia="Helvetica" w:hAnsi="Arial" w:cs="Arial"/>
                <w:lang w:val="en-US"/>
              </w:rPr>
            </w:pPr>
          </w:p>
        </w:tc>
      </w:tr>
      <w:tr w:rsidR="00777BFE" w14:paraId="42CBA680" w14:textId="77777777" w:rsidTr="007C60A5">
        <w:tc>
          <w:tcPr>
            <w:tcW w:w="1555" w:type="dxa"/>
          </w:tcPr>
          <w:p w14:paraId="7E9E424D" w14:textId="77777777" w:rsidR="00777BFE" w:rsidRPr="00F55842" w:rsidRDefault="00777BFE" w:rsidP="00777BFE">
            <w:pPr>
              <w:rPr>
                <w:rFonts w:ascii="Arial" w:eastAsiaTheme="minorEastAsia" w:hAnsi="Arial" w:cs="Arial"/>
                <w:lang w:val="en-US" w:eastAsia="zh-CN"/>
              </w:rPr>
            </w:pPr>
          </w:p>
        </w:tc>
        <w:tc>
          <w:tcPr>
            <w:tcW w:w="2126" w:type="dxa"/>
          </w:tcPr>
          <w:p w14:paraId="18629230" w14:textId="77777777" w:rsidR="00777BFE" w:rsidRPr="00F55842" w:rsidRDefault="00777BFE" w:rsidP="00777BFE">
            <w:pPr>
              <w:rPr>
                <w:rFonts w:ascii="Arial" w:eastAsiaTheme="minorEastAsia" w:hAnsi="Arial" w:cs="Arial"/>
                <w:lang w:val="en-US" w:eastAsia="zh-CN"/>
              </w:rPr>
            </w:pPr>
          </w:p>
        </w:tc>
        <w:tc>
          <w:tcPr>
            <w:tcW w:w="5950" w:type="dxa"/>
          </w:tcPr>
          <w:p w14:paraId="188F0BFD" w14:textId="77777777" w:rsidR="00777BFE" w:rsidRPr="0015785C" w:rsidRDefault="00777BFE" w:rsidP="00777BFE">
            <w:pPr>
              <w:rPr>
                <w:rFonts w:ascii="Arial" w:eastAsia="Helvetica" w:hAnsi="Arial" w:cs="Arial"/>
                <w:lang w:val="en-US"/>
              </w:rPr>
            </w:pPr>
          </w:p>
        </w:tc>
      </w:tr>
      <w:tr w:rsidR="00777BFE" w14:paraId="192C6357" w14:textId="77777777" w:rsidTr="007C60A5">
        <w:tc>
          <w:tcPr>
            <w:tcW w:w="1555" w:type="dxa"/>
          </w:tcPr>
          <w:p w14:paraId="19BF622E" w14:textId="77777777" w:rsidR="00777BFE" w:rsidRPr="00B80C76" w:rsidRDefault="00777BFE" w:rsidP="00777BFE">
            <w:pPr>
              <w:rPr>
                <w:rFonts w:ascii="Arial" w:eastAsia="Helvetica" w:hAnsi="Arial" w:cs="Arial"/>
                <w:lang w:val="en-US"/>
              </w:rPr>
            </w:pPr>
          </w:p>
        </w:tc>
        <w:tc>
          <w:tcPr>
            <w:tcW w:w="2126" w:type="dxa"/>
          </w:tcPr>
          <w:p w14:paraId="5E2644D8" w14:textId="77777777" w:rsidR="00777BFE" w:rsidRPr="00B80C76" w:rsidRDefault="00777BFE" w:rsidP="00777BFE">
            <w:pPr>
              <w:rPr>
                <w:rFonts w:ascii="Arial" w:eastAsia="Helvetica" w:hAnsi="Arial" w:cs="Arial"/>
                <w:lang w:val="en-US"/>
              </w:rPr>
            </w:pPr>
          </w:p>
        </w:tc>
        <w:tc>
          <w:tcPr>
            <w:tcW w:w="5950" w:type="dxa"/>
          </w:tcPr>
          <w:p w14:paraId="7D2BECE7" w14:textId="77777777" w:rsidR="00777BFE" w:rsidRPr="0015785C" w:rsidRDefault="00777BFE" w:rsidP="00777BFE">
            <w:pPr>
              <w:rPr>
                <w:rFonts w:ascii="Arial" w:eastAsia="Helvetica" w:hAnsi="Arial" w:cs="Arial"/>
                <w:lang w:val="en-US"/>
              </w:rPr>
            </w:pPr>
          </w:p>
        </w:tc>
      </w:tr>
      <w:tr w:rsidR="00777BFE" w14:paraId="770C75CC" w14:textId="77777777" w:rsidTr="007C60A5">
        <w:tc>
          <w:tcPr>
            <w:tcW w:w="1555" w:type="dxa"/>
          </w:tcPr>
          <w:p w14:paraId="56EBB92D" w14:textId="77777777" w:rsidR="00777BFE" w:rsidRPr="00B80C76" w:rsidRDefault="00777BFE" w:rsidP="00777BFE">
            <w:pPr>
              <w:rPr>
                <w:rFonts w:ascii="Arial" w:eastAsia="Malgun Gothic" w:hAnsi="Arial" w:cs="Arial"/>
                <w:lang w:val="en-US" w:eastAsia="ko-KR"/>
              </w:rPr>
            </w:pPr>
          </w:p>
        </w:tc>
        <w:tc>
          <w:tcPr>
            <w:tcW w:w="2126" w:type="dxa"/>
          </w:tcPr>
          <w:p w14:paraId="2C2BD282" w14:textId="77777777" w:rsidR="00777BFE" w:rsidRPr="00B80C76" w:rsidRDefault="00777BFE" w:rsidP="00777BFE">
            <w:pPr>
              <w:rPr>
                <w:rFonts w:ascii="Arial" w:eastAsia="Malgun Gothic" w:hAnsi="Arial" w:cs="Arial"/>
                <w:lang w:val="en-US" w:eastAsia="ko-KR"/>
              </w:rPr>
            </w:pPr>
          </w:p>
        </w:tc>
        <w:tc>
          <w:tcPr>
            <w:tcW w:w="5950" w:type="dxa"/>
          </w:tcPr>
          <w:p w14:paraId="283792EE" w14:textId="77777777" w:rsidR="00777BFE" w:rsidRDefault="00777BFE" w:rsidP="00777BFE">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TableGrid"/>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7C60A5">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7C60A5">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lastRenderedPageBreak/>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7C60A5">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250DE8" w14:paraId="34E99667" w14:textId="77777777" w:rsidTr="007C60A5">
        <w:tc>
          <w:tcPr>
            <w:tcW w:w="1555" w:type="dxa"/>
          </w:tcPr>
          <w:p w14:paraId="1CCB9E81" w14:textId="77777777" w:rsidR="00250DE8" w:rsidRPr="0015785C" w:rsidRDefault="00250DE8" w:rsidP="00250DE8">
            <w:pPr>
              <w:rPr>
                <w:rFonts w:ascii="Arial" w:eastAsia="Helvetica" w:hAnsi="Arial" w:cs="Arial"/>
                <w:lang w:val="en-US"/>
              </w:rPr>
            </w:pPr>
          </w:p>
        </w:tc>
        <w:tc>
          <w:tcPr>
            <w:tcW w:w="2126" w:type="dxa"/>
          </w:tcPr>
          <w:p w14:paraId="4A8C6E30" w14:textId="77777777" w:rsidR="00250DE8" w:rsidRPr="0015785C" w:rsidRDefault="00250DE8" w:rsidP="00250DE8">
            <w:pPr>
              <w:rPr>
                <w:rFonts w:ascii="Arial" w:eastAsia="Helvetica" w:hAnsi="Arial" w:cs="Arial"/>
                <w:lang w:val="en-US"/>
              </w:rPr>
            </w:pPr>
          </w:p>
        </w:tc>
        <w:tc>
          <w:tcPr>
            <w:tcW w:w="5950" w:type="dxa"/>
          </w:tcPr>
          <w:p w14:paraId="086C118A" w14:textId="77777777" w:rsidR="00250DE8" w:rsidRPr="00846990" w:rsidRDefault="00250DE8" w:rsidP="00250DE8">
            <w:pPr>
              <w:rPr>
                <w:rFonts w:ascii="Arial" w:hAnsi="Arial" w:cs="Arial"/>
                <w:lang w:val="en-US" w:eastAsia="zh-CN"/>
              </w:rPr>
            </w:pPr>
          </w:p>
        </w:tc>
      </w:tr>
      <w:tr w:rsidR="00250DE8" w14:paraId="3E3A0CCD" w14:textId="77777777" w:rsidTr="007C60A5">
        <w:tc>
          <w:tcPr>
            <w:tcW w:w="1555" w:type="dxa"/>
          </w:tcPr>
          <w:p w14:paraId="003BBAE6" w14:textId="77777777" w:rsidR="00250DE8" w:rsidRPr="0015785C" w:rsidRDefault="00250DE8" w:rsidP="00250DE8">
            <w:pPr>
              <w:rPr>
                <w:rFonts w:ascii="Arial" w:eastAsia="Helvetica" w:hAnsi="Arial" w:cs="Arial"/>
                <w:lang w:val="en-US"/>
              </w:rPr>
            </w:pPr>
          </w:p>
        </w:tc>
        <w:tc>
          <w:tcPr>
            <w:tcW w:w="2126" w:type="dxa"/>
          </w:tcPr>
          <w:p w14:paraId="0E7DB5FE" w14:textId="77777777" w:rsidR="00250DE8" w:rsidRPr="0015785C" w:rsidRDefault="00250DE8" w:rsidP="00250DE8">
            <w:pPr>
              <w:rPr>
                <w:rFonts w:ascii="Arial" w:eastAsia="Helvetica" w:hAnsi="Arial" w:cs="Arial"/>
                <w:lang w:val="en-US"/>
              </w:rPr>
            </w:pPr>
          </w:p>
        </w:tc>
        <w:tc>
          <w:tcPr>
            <w:tcW w:w="5950" w:type="dxa"/>
          </w:tcPr>
          <w:p w14:paraId="07BB79BD" w14:textId="77777777" w:rsidR="00250DE8" w:rsidRPr="0015785C" w:rsidRDefault="00250DE8" w:rsidP="00250DE8">
            <w:pPr>
              <w:rPr>
                <w:rFonts w:ascii="Arial" w:eastAsia="Helvetica" w:hAnsi="Arial" w:cs="Arial"/>
                <w:lang w:val="en-US"/>
              </w:rPr>
            </w:pPr>
          </w:p>
        </w:tc>
      </w:tr>
      <w:tr w:rsidR="00250DE8" w14:paraId="75C55AFC" w14:textId="77777777" w:rsidTr="007C60A5">
        <w:tc>
          <w:tcPr>
            <w:tcW w:w="1555" w:type="dxa"/>
          </w:tcPr>
          <w:p w14:paraId="5409E8E6" w14:textId="77777777" w:rsidR="00250DE8" w:rsidRPr="00F55842" w:rsidRDefault="00250DE8" w:rsidP="00250DE8">
            <w:pPr>
              <w:rPr>
                <w:rFonts w:ascii="Arial" w:eastAsiaTheme="minorEastAsia" w:hAnsi="Arial" w:cs="Arial"/>
                <w:lang w:val="en-US" w:eastAsia="zh-CN"/>
              </w:rPr>
            </w:pPr>
          </w:p>
        </w:tc>
        <w:tc>
          <w:tcPr>
            <w:tcW w:w="2126" w:type="dxa"/>
          </w:tcPr>
          <w:p w14:paraId="1B389619" w14:textId="77777777" w:rsidR="00250DE8" w:rsidRPr="00F55842" w:rsidRDefault="00250DE8" w:rsidP="00250DE8">
            <w:pPr>
              <w:rPr>
                <w:rFonts w:ascii="Arial" w:eastAsiaTheme="minorEastAsia" w:hAnsi="Arial" w:cs="Arial"/>
                <w:lang w:val="en-US" w:eastAsia="zh-CN"/>
              </w:rPr>
            </w:pPr>
          </w:p>
        </w:tc>
        <w:tc>
          <w:tcPr>
            <w:tcW w:w="5950" w:type="dxa"/>
          </w:tcPr>
          <w:p w14:paraId="64E30F0D" w14:textId="77777777" w:rsidR="00250DE8" w:rsidRPr="0015785C" w:rsidRDefault="00250DE8" w:rsidP="00250DE8">
            <w:pPr>
              <w:rPr>
                <w:rFonts w:ascii="Arial" w:eastAsia="Helvetica" w:hAnsi="Arial" w:cs="Arial"/>
                <w:lang w:val="en-US"/>
              </w:rPr>
            </w:pPr>
          </w:p>
        </w:tc>
      </w:tr>
      <w:tr w:rsidR="00250DE8" w14:paraId="56E40C50" w14:textId="77777777" w:rsidTr="007C60A5">
        <w:tc>
          <w:tcPr>
            <w:tcW w:w="1555" w:type="dxa"/>
          </w:tcPr>
          <w:p w14:paraId="2F4059A7" w14:textId="77777777" w:rsidR="00250DE8" w:rsidRPr="00B80C76" w:rsidRDefault="00250DE8" w:rsidP="00250DE8">
            <w:pPr>
              <w:rPr>
                <w:rFonts w:ascii="Arial" w:eastAsia="Helvetica" w:hAnsi="Arial" w:cs="Arial"/>
                <w:lang w:val="en-US"/>
              </w:rPr>
            </w:pPr>
          </w:p>
        </w:tc>
        <w:tc>
          <w:tcPr>
            <w:tcW w:w="2126" w:type="dxa"/>
          </w:tcPr>
          <w:p w14:paraId="52BC28EB" w14:textId="77777777" w:rsidR="00250DE8" w:rsidRPr="00B80C76" w:rsidRDefault="00250DE8" w:rsidP="00250DE8">
            <w:pPr>
              <w:rPr>
                <w:rFonts w:ascii="Arial" w:eastAsia="Helvetica" w:hAnsi="Arial" w:cs="Arial"/>
                <w:lang w:val="en-US"/>
              </w:rPr>
            </w:pPr>
          </w:p>
        </w:tc>
        <w:tc>
          <w:tcPr>
            <w:tcW w:w="5950" w:type="dxa"/>
          </w:tcPr>
          <w:p w14:paraId="177AA3A1" w14:textId="77777777" w:rsidR="00250DE8" w:rsidRPr="0015785C" w:rsidRDefault="00250DE8" w:rsidP="00250DE8">
            <w:pPr>
              <w:rPr>
                <w:rFonts w:ascii="Arial" w:eastAsia="Helvetica" w:hAnsi="Arial" w:cs="Arial"/>
                <w:lang w:val="en-US"/>
              </w:rPr>
            </w:pPr>
          </w:p>
        </w:tc>
      </w:tr>
      <w:tr w:rsidR="00250DE8" w14:paraId="4A99C7FE" w14:textId="77777777" w:rsidTr="007C60A5">
        <w:tc>
          <w:tcPr>
            <w:tcW w:w="1555" w:type="dxa"/>
          </w:tcPr>
          <w:p w14:paraId="05B93514" w14:textId="77777777" w:rsidR="00250DE8" w:rsidRPr="00B80C76" w:rsidRDefault="00250DE8" w:rsidP="00250DE8">
            <w:pPr>
              <w:rPr>
                <w:rFonts w:ascii="Arial" w:eastAsia="Malgun Gothic" w:hAnsi="Arial" w:cs="Arial"/>
                <w:lang w:val="en-US" w:eastAsia="ko-KR"/>
              </w:rPr>
            </w:pPr>
          </w:p>
        </w:tc>
        <w:tc>
          <w:tcPr>
            <w:tcW w:w="2126" w:type="dxa"/>
          </w:tcPr>
          <w:p w14:paraId="2D35F5D7" w14:textId="77777777" w:rsidR="00250DE8" w:rsidRPr="00B80C76" w:rsidRDefault="00250DE8" w:rsidP="00250DE8">
            <w:pPr>
              <w:rPr>
                <w:rFonts w:ascii="Arial" w:eastAsia="Malgun Gothic" w:hAnsi="Arial" w:cs="Arial"/>
                <w:lang w:val="en-US" w:eastAsia="ko-KR"/>
              </w:rPr>
            </w:pPr>
          </w:p>
        </w:tc>
        <w:tc>
          <w:tcPr>
            <w:tcW w:w="5950" w:type="dxa"/>
          </w:tcPr>
          <w:p w14:paraId="0A250E14" w14:textId="77777777" w:rsidR="00250DE8" w:rsidRDefault="00250DE8" w:rsidP="00250DE8">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TableGrid"/>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 xml:space="preserve">The UE should report the time shift/offset it has applied, no need to jump between multiple SMTC configurations, which may anyway not cover the whole range of </w:t>
            </w:r>
            <w:proofErr w:type="spellStart"/>
            <w:r>
              <w:rPr>
                <w:rFonts w:ascii="Arial" w:eastAsia="Helvetica" w:hAnsi="Arial" w:cs="Arial"/>
                <w:lang w:val="en-US"/>
              </w:rPr>
              <w:t>neighbours</w:t>
            </w:r>
            <w:proofErr w:type="spellEnd"/>
            <w:r>
              <w:rPr>
                <w:rFonts w:ascii="Arial" w:eastAsia="Helvetica" w:hAnsi="Arial" w:cs="Arial"/>
                <w:lang w:val="en-US"/>
              </w:rPr>
              <w:t xml:space="preserve"> (considering UE’s position and satellite movement).</w:t>
            </w:r>
          </w:p>
        </w:tc>
      </w:tr>
      <w:tr w:rsidR="003222C2" w14:paraId="51F23BD8" w14:textId="77777777" w:rsidTr="008A79B6">
        <w:tc>
          <w:tcPr>
            <w:tcW w:w="1555" w:type="dxa"/>
          </w:tcPr>
          <w:p w14:paraId="0A427B04" w14:textId="77777777" w:rsidR="003222C2" w:rsidRPr="0015785C" w:rsidRDefault="003222C2" w:rsidP="003222C2">
            <w:pPr>
              <w:rPr>
                <w:rFonts w:ascii="Arial" w:eastAsia="Helvetica" w:hAnsi="Arial" w:cs="Arial"/>
                <w:lang w:val="en-US"/>
              </w:rPr>
            </w:pPr>
          </w:p>
        </w:tc>
        <w:tc>
          <w:tcPr>
            <w:tcW w:w="2126" w:type="dxa"/>
          </w:tcPr>
          <w:p w14:paraId="3375ED78" w14:textId="77777777" w:rsidR="003222C2" w:rsidRPr="0015785C" w:rsidRDefault="003222C2" w:rsidP="003222C2">
            <w:pPr>
              <w:rPr>
                <w:rFonts w:ascii="Arial" w:eastAsia="Helvetica" w:hAnsi="Arial" w:cs="Arial"/>
                <w:lang w:val="en-US"/>
              </w:rPr>
            </w:pPr>
          </w:p>
        </w:tc>
        <w:tc>
          <w:tcPr>
            <w:tcW w:w="5950" w:type="dxa"/>
          </w:tcPr>
          <w:p w14:paraId="4E23E418" w14:textId="77777777" w:rsidR="003222C2" w:rsidRPr="0015785C" w:rsidRDefault="003222C2" w:rsidP="003222C2">
            <w:pPr>
              <w:rPr>
                <w:rFonts w:ascii="Arial" w:eastAsia="Helvetica" w:hAnsi="Arial" w:cs="Arial"/>
                <w:lang w:val="en-US"/>
              </w:rPr>
            </w:pPr>
          </w:p>
        </w:tc>
      </w:tr>
      <w:tr w:rsidR="003222C2" w14:paraId="4F0B24AD" w14:textId="77777777" w:rsidTr="008A79B6">
        <w:tc>
          <w:tcPr>
            <w:tcW w:w="1555" w:type="dxa"/>
          </w:tcPr>
          <w:p w14:paraId="54EEA01D" w14:textId="77777777" w:rsidR="003222C2" w:rsidRPr="0015785C" w:rsidRDefault="003222C2" w:rsidP="003222C2">
            <w:pPr>
              <w:rPr>
                <w:rFonts w:ascii="Arial" w:eastAsia="Helvetica" w:hAnsi="Arial" w:cs="Arial"/>
                <w:lang w:val="en-US"/>
              </w:rPr>
            </w:pPr>
          </w:p>
        </w:tc>
        <w:tc>
          <w:tcPr>
            <w:tcW w:w="2126" w:type="dxa"/>
          </w:tcPr>
          <w:p w14:paraId="61815FC9" w14:textId="77777777" w:rsidR="003222C2" w:rsidRPr="0015785C" w:rsidRDefault="003222C2" w:rsidP="003222C2">
            <w:pPr>
              <w:rPr>
                <w:rFonts w:ascii="Arial" w:eastAsia="Helvetica" w:hAnsi="Arial" w:cs="Arial"/>
                <w:lang w:val="en-US"/>
              </w:rPr>
            </w:pPr>
          </w:p>
        </w:tc>
        <w:tc>
          <w:tcPr>
            <w:tcW w:w="5950" w:type="dxa"/>
          </w:tcPr>
          <w:p w14:paraId="3B448766" w14:textId="77777777" w:rsidR="003222C2" w:rsidRPr="00846990" w:rsidRDefault="003222C2" w:rsidP="003222C2">
            <w:pPr>
              <w:rPr>
                <w:rFonts w:ascii="Arial" w:hAnsi="Arial" w:cs="Arial"/>
                <w:lang w:val="en-US" w:eastAsia="zh-CN"/>
              </w:rPr>
            </w:pPr>
          </w:p>
        </w:tc>
      </w:tr>
      <w:tr w:rsidR="003222C2" w14:paraId="1FCA2F03" w14:textId="77777777" w:rsidTr="008A79B6">
        <w:tc>
          <w:tcPr>
            <w:tcW w:w="1555" w:type="dxa"/>
          </w:tcPr>
          <w:p w14:paraId="798AEBC4" w14:textId="77777777" w:rsidR="003222C2" w:rsidRPr="0015785C" w:rsidRDefault="003222C2" w:rsidP="003222C2">
            <w:pPr>
              <w:rPr>
                <w:rFonts w:ascii="Arial" w:eastAsia="Helvetica" w:hAnsi="Arial" w:cs="Arial"/>
                <w:lang w:val="en-US"/>
              </w:rPr>
            </w:pPr>
          </w:p>
        </w:tc>
        <w:tc>
          <w:tcPr>
            <w:tcW w:w="2126" w:type="dxa"/>
          </w:tcPr>
          <w:p w14:paraId="6183C61F" w14:textId="77777777" w:rsidR="003222C2" w:rsidRPr="0015785C" w:rsidRDefault="003222C2" w:rsidP="003222C2">
            <w:pPr>
              <w:rPr>
                <w:rFonts w:ascii="Arial" w:eastAsia="Helvetica" w:hAnsi="Arial" w:cs="Arial"/>
                <w:lang w:val="en-US"/>
              </w:rPr>
            </w:pPr>
          </w:p>
        </w:tc>
        <w:tc>
          <w:tcPr>
            <w:tcW w:w="5950" w:type="dxa"/>
          </w:tcPr>
          <w:p w14:paraId="17548049" w14:textId="77777777" w:rsidR="003222C2" w:rsidRPr="0015785C" w:rsidRDefault="003222C2" w:rsidP="003222C2">
            <w:pPr>
              <w:rPr>
                <w:rFonts w:ascii="Arial" w:eastAsia="Helvetica" w:hAnsi="Arial" w:cs="Arial"/>
                <w:lang w:val="en-US"/>
              </w:rPr>
            </w:pPr>
          </w:p>
        </w:tc>
      </w:tr>
      <w:tr w:rsidR="003222C2" w14:paraId="1E92F620" w14:textId="77777777" w:rsidTr="008A79B6">
        <w:tc>
          <w:tcPr>
            <w:tcW w:w="1555" w:type="dxa"/>
          </w:tcPr>
          <w:p w14:paraId="2A7A4C4D" w14:textId="77777777" w:rsidR="003222C2" w:rsidRPr="00F55842" w:rsidRDefault="003222C2" w:rsidP="003222C2">
            <w:pPr>
              <w:rPr>
                <w:rFonts w:ascii="Arial" w:eastAsiaTheme="minorEastAsia" w:hAnsi="Arial" w:cs="Arial"/>
                <w:lang w:val="en-US" w:eastAsia="zh-CN"/>
              </w:rPr>
            </w:pPr>
          </w:p>
        </w:tc>
        <w:tc>
          <w:tcPr>
            <w:tcW w:w="2126" w:type="dxa"/>
          </w:tcPr>
          <w:p w14:paraId="30CDE104" w14:textId="77777777" w:rsidR="003222C2" w:rsidRPr="00F55842" w:rsidRDefault="003222C2" w:rsidP="003222C2">
            <w:pPr>
              <w:rPr>
                <w:rFonts w:ascii="Arial" w:eastAsiaTheme="minorEastAsia" w:hAnsi="Arial" w:cs="Arial"/>
                <w:lang w:val="en-US" w:eastAsia="zh-CN"/>
              </w:rPr>
            </w:pPr>
          </w:p>
        </w:tc>
        <w:tc>
          <w:tcPr>
            <w:tcW w:w="5950" w:type="dxa"/>
          </w:tcPr>
          <w:p w14:paraId="653E3563" w14:textId="77777777" w:rsidR="003222C2" w:rsidRPr="0015785C" w:rsidRDefault="003222C2" w:rsidP="003222C2">
            <w:pPr>
              <w:rPr>
                <w:rFonts w:ascii="Arial" w:eastAsia="Helvetica" w:hAnsi="Arial" w:cs="Arial"/>
                <w:lang w:val="en-US"/>
              </w:rPr>
            </w:pPr>
          </w:p>
        </w:tc>
      </w:tr>
      <w:tr w:rsidR="003222C2" w14:paraId="5C898413" w14:textId="77777777" w:rsidTr="008A79B6">
        <w:tc>
          <w:tcPr>
            <w:tcW w:w="1555" w:type="dxa"/>
          </w:tcPr>
          <w:p w14:paraId="06F8F754" w14:textId="77777777" w:rsidR="003222C2" w:rsidRPr="00B80C76" w:rsidRDefault="003222C2" w:rsidP="003222C2">
            <w:pPr>
              <w:rPr>
                <w:rFonts w:ascii="Arial" w:eastAsia="Helvetica" w:hAnsi="Arial" w:cs="Arial"/>
                <w:lang w:val="en-US"/>
              </w:rPr>
            </w:pPr>
          </w:p>
        </w:tc>
        <w:tc>
          <w:tcPr>
            <w:tcW w:w="2126" w:type="dxa"/>
          </w:tcPr>
          <w:p w14:paraId="183512DB" w14:textId="77777777" w:rsidR="003222C2" w:rsidRPr="00B80C76" w:rsidRDefault="003222C2" w:rsidP="003222C2">
            <w:pPr>
              <w:rPr>
                <w:rFonts w:ascii="Arial" w:eastAsia="Helvetica" w:hAnsi="Arial" w:cs="Arial"/>
                <w:lang w:val="en-US"/>
              </w:rPr>
            </w:pPr>
          </w:p>
        </w:tc>
        <w:tc>
          <w:tcPr>
            <w:tcW w:w="5950" w:type="dxa"/>
          </w:tcPr>
          <w:p w14:paraId="47211E05" w14:textId="77777777" w:rsidR="003222C2" w:rsidRPr="0015785C" w:rsidRDefault="003222C2" w:rsidP="003222C2">
            <w:pPr>
              <w:rPr>
                <w:rFonts w:ascii="Arial" w:eastAsia="Helvetica" w:hAnsi="Arial" w:cs="Arial"/>
                <w:lang w:val="en-US"/>
              </w:rPr>
            </w:pPr>
          </w:p>
        </w:tc>
      </w:tr>
      <w:tr w:rsidR="003222C2" w14:paraId="0F03C1B4" w14:textId="77777777" w:rsidTr="008A79B6">
        <w:tc>
          <w:tcPr>
            <w:tcW w:w="1555" w:type="dxa"/>
          </w:tcPr>
          <w:p w14:paraId="229CBA13" w14:textId="77777777" w:rsidR="003222C2" w:rsidRPr="00B80C76" w:rsidRDefault="003222C2" w:rsidP="003222C2">
            <w:pPr>
              <w:rPr>
                <w:rFonts w:ascii="Arial" w:eastAsia="Malgun Gothic" w:hAnsi="Arial" w:cs="Arial"/>
                <w:lang w:val="en-US" w:eastAsia="ko-KR"/>
              </w:rPr>
            </w:pPr>
          </w:p>
        </w:tc>
        <w:tc>
          <w:tcPr>
            <w:tcW w:w="2126" w:type="dxa"/>
          </w:tcPr>
          <w:p w14:paraId="719B3754" w14:textId="77777777" w:rsidR="003222C2" w:rsidRPr="00B80C76" w:rsidRDefault="003222C2" w:rsidP="003222C2">
            <w:pPr>
              <w:rPr>
                <w:rFonts w:ascii="Arial" w:eastAsia="Malgun Gothic" w:hAnsi="Arial" w:cs="Arial"/>
                <w:lang w:val="en-US" w:eastAsia="ko-KR"/>
              </w:rPr>
            </w:pPr>
          </w:p>
        </w:tc>
        <w:tc>
          <w:tcPr>
            <w:tcW w:w="5950" w:type="dxa"/>
          </w:tcPr>
          <w:p w14:paraId="6AA675D8" w14:textId="77777777" w:rsidR="003222C2" w:rsidRDefault="003222C2" w:rsidP="003222C2">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lastRenderedPageBreak/>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TableGrid"/>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w:t>
            </w:r>
            <w:proofErr w:type="spellStart"/>
            <w:r>
              <w:rPr>
                <w:rFonts w:ascii="Arial" w:eastAsia="Malgun Gothic" w:hAnsi="Arial" w:cs="Arial"/>
                <w:lang w:val="en-US" w:eastAsia="ko-KR"/>
              </w:rPr>
              <w:t>ms.</w:t>
            </w:r>
            <w:proofErr w:type="spellEnd"/>
            <w:r>
              <w:rPr>
                <w:rFonts w:ascii="Arial" w:eastAsia="Malgun Gothic" w:hAnsi="Arial" w:cs="Arial"/>
                <w:lang w:val="en-US" w:eastAsia="ko-KR"/>
              </w:rPr>
              <w:t xml:space="preserve">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3222C2" w14:paraId="54613380" w14:textId="77777777" w:rsidTr="008A79B6">
        <w:tc>
          <w:tcPr>
            <w:tcW w:w="1555" w:type="dxa"/>
          </w:tcPr>
          <w:p w14:paraId="6ECB6515" w14:textId="77777777" w:rsidR="003222C2" w:rsidRPr="00154C12" w:rsidRDefault="003222C2" w:rsidP="003222C2">
            <w:pPr>
              <w:rPr>
                <w:rFonts w:ascii="Arial" w:eastAsia="Helvetica" w:hAnsi="Arial" w:cs="Arial"/>
                <w:lang w:val="en-US"/>
              </w:rPr>
            </w:pPr>
          </w:p>
        </w:tc>
        <w:tc>
          <w:tcPr>
            <w:tcW w:w="1842" w:type="dxa"/>
          </w:tcPr>
          <w:p w14:paraId="0BF1BDCF" w14:textId="77777777" w:rsidR="003222C2" w:rsidRPr="00154C12" w:rsidRDefault="003222C2" w:rsidP="003222C2">
            <w:pPr>
              <w:rPr>
                <w:rFonts w:ascii="Arial" w:eastAsia="Helvetica" w:hAnsi="Arial" w:cs="Arial"/>
                <w:lang w:val="en-US"/>
              </w:rPr>
            </w:pPr>
          </w:p>
        </w:tc>
        <w:tc>
          <w:tcPr>
            <w:tcW w:w="6234" w:type="dxa"/>
          </w:tcPr>
          <w:p w14:paraId="540B6652" w14:textId="77777777" w:rsidR="003222C2" w:rsidRPr="00154C12" w:rsidRDefault="003222C2" w:rsidP="003222C2">
            <w:pPr>
              <w:rPr>
                <w:rFonts w:ascii="Arial" w:eastAsia="Helvetica" w:hAnsi="Arial" w:cs="Arial"/>
                <w:lang w:val="en-US"/>
              </w:rPr>
            </w:pPr>
          </w:p>
        </w:tc>
      </w:tr>
      <w:tr w:rsidR="003222C2" w14:paraId="60FAA25D" w14:textId="77777777" w:rsidTr="008A79B6">
        <w:tc>
          <w:tcPr>
            <w:tcW w:w="1555" w:type="dxa"/>
          </w:tcPr>
          <w:p w14:paraId="30019BEE" w14:textId="77777777" w:rsidR="003222C2" w:rsidRPr="00154C12" w:rsidRDefault="003222C2" w:rsidP="003222C2">
            <w:pPr>
              <w:rPr>
                <w:rFonts w:ascii="Arial" w:eastAsia="Helvetica" w:hAnsi="Arial" w:cs="Arial"/>
                <w:lang w:val="en-US"/>
              </w:rPr>
            </w:pPr>
          </w:p>
        </w:tc>
        <w:tc>
          <w:tcPr>
            <w:tcW w:w="1842" w:type="dxa"/>
          </w:tcPr>
          <w:p w14:paraId="48C7B88D" w14:textId="77777777" w:rsidR="003222C2" w:rsidRPr="00154C12" w:rsidRDefault="003222C2" w:rsidP="003222C2">
            <w:pPr>
              <w:rPr>
                <w:rFonts w:ascii="Arial" w:eastAsia="Helvetica" w:hAnsi="Arial" w:cs="Arial"/>
                <w:lang w:val="en-US"/>
              </w:rPr>
            </w:pPr>
          </w:p>
        </w:tc>
        <w:tc>
          <w:tcPr>
            <w:tcW w:w="6234" w:type="dxa"/>
          </w:tcPr>
          <w:p w14:paraId="30FFD0D1" w14:textId="77777777" w:rsidR="003222C2" w:rsidRPr="00154C12" w:rsidRDefault="003222C2" w:rsidP="003222C2">
            <w:pPr>
              <w:rPr>
                <w:rFonts w:ascii="Arial" w:eastAsia="Helvetica" w:hAnsi="Arial" w:cs="Arial"/>
                <w:lang w:val="en-US"/>
              </w:rPr>
            </w:pPr>
          </w:p>
        </w:tc>
      </w:tr>
      <w:tr w:rsidR="003222C2" w14:paraId="221643B3" w14:textId="77777777" w:rsidTr="008A79B6">
        <w:tc>
          <w:tcPr>
            <w:tcW w:w="1555" w:type="dxa"/>
          </w:tcPr>
          <w:p w14:paraId="0A33ABB8" w14:textId="77777777" w:rsidR="003222C2" w:rsidRPr="00F55842" w:rsidRDefault="003222C2" w:rsidP="003222C2">
            <w:pPr>
              <w:rPr>
                <w:rFonts w:ascii="Arial" w:eastAsiaTheme="minorEastAsia" w:hAnsi="Arial" w:cs="Arial"/>
                <w:lang w:val="en-US" w:eastAsia="zh-CN"/>
              </w:rPr>
            </w:pPr>
          </w:p>
        </w:tc>
        <w:tc>
          <w:tcPr>
            <w:tcW w:w="1842" w:type="dxa"/>
          </w:tcPr>
          <w:p w14:paraId="7B4F74D4" w14:textId="77777777" w:rsidR="003222C2" w:rsidRPr="00F55842" w:rsidRDefault="003222C2" w:rsidP="003222C2">
            <w:pPr>
              <w:rPr>
                <w:rFonts w:ascii="Arial" w:eastAsiaTheme="minorEastAsia" w:hAnsi="Arial" w:cs="Arial"/>
                <w:lang w:val="en-US" w:eastAsia="zh-CN"/>
              </w:rPr>
            </w:pPr>
          </w:p>
        </w:tc>
        <w:tc>
          <w:tcPr>
            <w:tcW w:w="6234" w:type="dxa"/>
          </w:tcPr>
          <w:p w14:paraId="3241D1B1" w14:textId="77777777" w:rsidR="003222C2" w:rsidRPr="00F55842" w:rsidRDefault="003222C2" w:rsidP="003222C2">
            <w:pPr>
              <w:rPr>
                <w:rFonts w:ascii="Arial" w:eastAsiaTheme="minorEastAsia" w:hAnsi="Arial" w:cs="Arial"/>
                <w:lang w:val="en-US" w:eastAsia="zh-CN"/>
              </w:rPr>
            </w:pPr>
          </w:p>
        </w:tc>
      </w:tr>
      <w:tr w:rsidR="003222C2" w14:paraId="40E8C498" w14:textId="77777777" w:rsidTr="008A79B6">
        <w:tc>
          <w:tcPr>
            <w:tcW w:w="1555" w:type="dxa"/>
          </w:tcPr>
          <w:p w14:paraId="4B30000B" w14:textId="77777777" w:rsidR="003222C2" w:rsidRPr="00154C12" w:rsidRDefault="003222C2" w:rsidP="003222C2">
            <w:pPr>
              <w:rPr>
                <w:rFonts w:ascii="Arial" w:eastAsia="Helvetica" w:hAnsi="Arial" w:cs="Arial"/>
                <w:lang w:val="en-US"/>
              </w:rPr>
            </w:pPr>
          </w:p>
        </w:tc>
        <w:tc>
          <w:tcPr>
            <w:tcW w:w="1842" w:type="dxa"/>
          </w:tcPr>
          <w:p w14:paraId="0B7E93EB" w14:textId="77777777" w:rsidR="003222C2" w:rsidRPr="00154C12" w:rsidRDefault="003222C2" w:rsidP="003222C2">
            <w:pPr>
              <w:rPr>
                <w:rFonts w:ascii="Arial" w:eastAsia="Helvetica" w:hAnsi="Arial" w:cs="Arial"/>
                <w:lang w:val="en-US"/>
              </w:rPr>
            </w:pPr>
          </w:p>
        </w:tc>
        <w:tc>
          <w:tcPr>
            <w:tcW w:w="6234" w:type="dxa"/>
          </w:tcPr>
          <w:p w14:paraId="11FD63C2" w14:textId="77777777" w:rsidR="003222C2" w:rsidRPr="00154C12" w:rsidRDefault="003222C2" w:rsidP="003222C2">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lastRenderedPageBreak/>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TableGrid"/>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BF6E66">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BF6E66">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TableGrid"/>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lastRenderedPageBreak/>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7C60A5">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7C60A5">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Heading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Heading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Hyperlink"/>
        </w:rPr>
        <w:t>R2-2107521</w:t>
      </w:r>
      <w:r w:rsidR="000150E3">
        <w:rPr>
          <w:rStyle w:val="Hyperlink"/>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1"/>
      <w:bookmarkEnd w:id="2"/>
      <w:bookmarkEnd w:id="3"/>
      <w:r w:rsidR="000150E3">
        <w:t xml:space="preserve"> </w:t>
      </w:r>
      <w:hyperlink r:id="rId17" w:tooltip="C:Data3GPParchiveRAN2RAN2#114TdocsR2-2105000.zip" w:history="1">
        <w:r w:rsidR="000150E3" w:rsidRPr="00825BE6">
          <w:rPr>
            <w:rStyle w:val="Hyperlink"/>
          </w:rPr>
          <w:t>R2-2105000</w:t>
        </w:r>
      </w:hyperlink>
    </w:p>
    <w:p w14:paraId="37BE401F" w14:textId="77777777" w:rsidR="000150E3" w:rsidRDefault="003178E6" w:rsidP="000150E3">
      <w:pPr>
        <w:pStyle w:val="Reference"/>
        <w:numPr>
          <w:ilvl w:val="0"/>
          <w:numId w:val="13"/>
        </w:numPr>
      </w:pPr>
      <w:hyperlink r:id="rId18" w:tooltip="C:Data3GPPExtractsR2-2107566 SMTC and MG.doc" w:history="1">
        <w:r w:rsidR="000150E3" w:rsidRPr="00011A77">
          <w:rPr>
            <w:rStyle w:val="Hyperlink"/>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Hyperlink"/>
          </w:rPr>
          <w:t>R2-2105434</w:t>
        </w:r>
      </w:hyperlink>
    </w:p>
    <w:p w14:paraId="18AEBC08" w14:textId="77777777" w:rsidR="000150E3" w:rsidRDefault="003178E6" w:rsidP="000150E3">
      <w:pPr>
        <w:pStyle w:val="Reference"/>
        <w:numPr>
          <w:ilvl w:val="0"/>
          <w:numId w:val="13"/>
        </w:numPr>
      </w:pPr>
      <w:hyperlink r:id="rId20" w:tooltip="C:Data3GPPExtractsR2-2107878 Measurement window enhancements for NTN cell.doc" w:history="1">
        <w:r w:rsidR="000150E3" w:rsidRPr="00011A77">
          <w:rPr>
            <w:rStyle w:val="Hyperlink"/>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3178E6"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Hyperlink"/>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3178E6" w:rsidP="000150E3">
      <w:pPr>
        <w:pStyle w:val="Reference"/>
        <w:numPr>
          <w:ilvl w:val="0"/>
          <w:numId w:val="13"/>
        </w:numPr>
      </w:pPr>
      <w:hyperlink r:id="rId22" w:tooltip="C:Data3GPPExtractsR2-2108067.docx" w:history="1">
        <w:r w:rsidR="000150E3" w:rsidRPr="00011A77">
          <w:rPr>
            <w:rStyle w:val="Hyperlink"/>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3178E6" w:rsidP="000150E3">
      <w:pPr>
        <w:pStyle w:val="Reference"/>
        <w:numPr>
          <w:ilvl w:val="0"/>
          <w:numId w:val="13"/>
        </w:numPr>
      </w:pPr>
      <w:hyperlink r:id="rId23" w:tooltip="C:Data3GPPExtractsR2-2108198 Remaining Issues on SMTC and measurement Gap configuration for NTN.docx" w:history="1">
        <w:r w:rsidR="000150E3" w:rsidRPr="00011A77">
          <w:rPr>
            <w:rStyle w:val="Hyperlink"/>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Hyperlink"/>
          </w:rPr>
          <w:t>R2-2105389</w:t>
        </w:r>
      </w:hyperlink>
    </w:p>
    <w:p w14:paraId="665F61CC" w14:textId="77777777" w:rsidR="00EE701C" w:rsidRDefault="003178E6" w:rsidP="000150E3">
      <w:pPr>
        <w:pStyle w:val="Reference"/>
        <w:numPr>
          <w:ilvl w:val="0"/>
          <w:numId w:val="13"/>
        </w:numPr>
      </w:pPr>
      <w:hyperlink r:id="rId25" w:tooltip="C:Data3GPPExtractsR2-2108326 Efficient Configuration of SMTC and Measurement Gaps in NR-NTN.docx" w:history="1">
        <w:r w:rsidR="000150E3" w:rsidRPr="00011A77">
          <w:rPr>
            <w:rStyle w:val="Hyperlink"/>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Hyperlink"/>
        </w:rPr>
        <w:t>R2-2108286</w:t>
      </w:r>
      <w:r w:rsidRPr="000150E3">
        <w:rPr>
          <w:rStyle w:val="Hyperlink"/>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Heading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EF457E"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B0FBA" w:rsidRPr="00EF457E" w14:paraId="02B88BE4" w14:textId="77777777" w:rsidTr="00BF6E66">
        <w:trPr>
          <w:jc w:val="center"/>
        </w:trPr>
        <w:tc>
          <w:tcPr>
            <w:tcW w:w="1980" w:type="dxa"/>
            <w:tcMar>
              <w:top w:w="0" w:type="dxa"/>
              <w:left w:w="108" w:type="dxa"/>
              <w:bottom w:w="0" w:type="dxa"/>
              <w:right w:w="108" w:type="dxa"/>
            </w:tcMar>
            <w:vAlign w:val="center"/>
          </w:tcPr>
          <w:p w14:paraId="22284C6B"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F08768A" w14:textId="77777777" w:rsidR="000B0FBA" w:rsidRPr="00AF3023" w:rsidRDefault="000B0FBA" w:rsidP="000B0FBA">
            <w:pPr>
              <w:spacing w:after="0"/>
              <w:jc w:val="center"/>
              <w:rPr>
                <w:rFonts w:ascii="Calibri" w:eastAsiaTheme="minorEastAsia" w:hAnsi="Calibri" w:cs="Calibri"/>
                <w:sz w:val="22"/>
                <w:szCs w:val="22"/>
                <w:lang w:val="fr-FR" w:eastAsia="zh-CN"/>
              </w:rPr>
            </w:pPr>
          </w:p>
        </w:tc>
      </w:tr>
      <w:tr w:rsidR="000B0FBA"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0B0FBA" w:rsidRPr="00711178" w:rsidRDefault="000B0FBA" w:rsidP="000B0FBA">
            <w:pPr>
              <w:spacing w:after="0"/>
              <w:jc w:val="center"/>
              <w:rPr>
                <w:rFonts w:ascii="Calibri" w:eastAsiaTheme="minorEastAsia" w:hAnsi="Calibri" w:cs="Calibri"/>
                <w:sz w:val="22"/>
                <w:szCs w:val="22"/>
                <w:lang w:val="it-IT" w:eastAsia="zh-CN"/>
              </w:rPr>
            </w:pPr>
          </w:p>
        </w:tc>
      </w:tr>
      <w:tr w:rsidR="000B0FBA"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0B0FBA" w:rsidRPr="00711178" w:rsidRDefault="000B0FBA" w:rsidP="000B0FBA">
            <w:pPr>
              <w:spacing w:after="0"/>
              <w:jc w:val="center"/>
              <w:rPr>
                <w:rFonts w:ascii="Calibri" w:eastAsia="Malgun Gothic" w:hAnsi="Calibri" w:cs="Calibri"/>
                <w:sz w:val="22"/>
                <w:szCs w:val="22"/>
                <w:lang w:val="it-IT" w:eastAsia="ko-KR"/>
              </w:rPr>
            </w:pPr>
          </w:p>
        </w:tc>
      </w:tr>
      <w:tr w:rsidR="000B0FBA"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0B0FBA" w:rsidRDefault="000B0FBA" w:rsidP="000B0FBA">
            <w:pPr>
              <w:spacing w:after="0"/>
              <w:jc w:val="center"/>
              <w:rPr>
                <w:rFonts w:ascii="Calibri" w:eastAsia="Malgun Gothic" w:hAnsi="Calibri" w:cs="Calibri"/>
                <w:sz w:val="22"/>
                <w:szCs w:val="22"/>
                <w:lang w:val="de-DE" w:eastAsia="ko-KR"/>
              </w:rPr>
            </w:pPr>
          </w:p>
        </w:tc>
      </w:tr>
      <w:tr w:rsidR="000B0FBA"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0B0FBA" w:rsidRPr="008D211F" w:rsidRDefault="000B0FBA" w:rsidP="000B0FBA">
            <w:pPr>
              <w:spacing w:after="0"/>
              <w:jc w:val="center"/>
              <w:rPr>
                <w:rFonts w:ascii="Calibri" w:eastAsia="Malgun Gothic" w:hAnsi="Calibri" w:cs="Calibri"/>
                <w:sz w:val="22"/>
                <w:szCs w:val="22"/>
                <w:lang w:val="de-DE" w:eastAsia="ko-KR"/>
              </w:rPr>
            </w:pPr>
          </w:p>
        </w:tc>
      </w:tr>
      <w:tr w:rsidR="000B0FBA"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0B0FBA" w:rsidRPr="00C871D9" w:rsidRDefault="000B0FBA" w:rsidP="000B0FBA">
            <w:pPr>
              <w:spacing w:after="0"/>
              <w:jc w:val="center"/>
              <w:rPr>
                <w:rFonts w:asciiTheme="minorEastAsia" w:eastAsia="MS Mincho" w:hAnsiTheme="minorEastAsia" w:cs="Calibri"/>
                <w:sz w:val="22"/>
                <w:szCs w:val="22"/>
                <w:lang w:val="nl-NL" w:eastAsia="ja-JP"/>
              </w:rPr>
            </w:pPr>
          </w:p>
        </w:tc>
      </w:tr>
      <w:tr w:rsidR="000B0FBA"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0B0FBA" w:rsidRPr="00705F29" w:rsidRDefault="000B0FBA" w:rsidP="000B0FB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0B0FBA" w:rsidRPr="00705F29" w:rsidRDefault="000B0FBA" w:rsidP="000B0FBA">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DA8D0" w14:textId="77777777" w:rsidR="003178E6" w:rsidRDefault="003178E6">
      <w:pPr>
        <w:spacing w:after="0" w:line="240" w:lineRule="auto"/>
      </w:pPr>
      <w:r>
        <w:separator/>
      </w:r>
    </w:p>
  </w:endnote>
  <w:endnote w:type="continuationSeparator" w:id="0">
    <w:p w14:paraId="35CCA749" w14:textId="77777777" w:rsidR="003178E6" w:rsidRDefault="0031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0BF9" w14:textId="77777777" w:rsidR="0053784C" w:rsidRDefault="00F21289">
    <w:pPr>
      <w:pStyle w:val="Footer"/>
    </w:pPr>
    <w:r>
      <w:rPr>
        <w:noProof/>
        <w:lang w:val="en-US" w:eastAsia="ko-KR"/>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53784C" w:rsidRPr="00405756" w:rsidRDefault="0053784C"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" o:allowincell="f" filled="f" stroked="f" strokeweight=".5pt">
              <v:path arrowok="t"/>
              <v:textbox inset="20pt,0,,0">
                <w:txbxContent>
                  <w:p w14:paraId="277C8EDD" w14:textId="37D1A0A3" w:rsidR="0053784C" w:rsidRPr="00405756" w:rsidRDefault="0053784C" w:rsidP="00405756">
                    <w:pPr>
                      <w:spacing w:after="0"/>
                      <w:rPr>
                        <w:rFonts w:ascii="Calibri" w:hAnsi="Calibri" w:cs="Calibri"/>
                        <w:color w:val="000000"/>
                        <w:sz w:val="14"/>
                      </w:rPr>
                    </w:pP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C1189" w14:textId="77777777" w:rsidR="003178E6" w:rsidRDefault="003178E6">
      <w:pPr>
        <w:spacing w:after="0" w:line="240" w:lineRule="auto"/>
      </w:pPr>
      <w:r>
        <w:separator/>
      </w:r>
    </w:p>
  </w:footnote>
  <w:footnote w:type="continuationSeparator" w:id="0">
    <w:p w14:paraId="42BCC875" w14:textId="77777777" w:rsidR="003178E6" w:rsidRDefault="00317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57D5A9-AF7E-45A9-A9B3-7EDF7556692C}">
  <ds:schemaRefs>
    <ds:schemaRef ds:uri="http://schemas.openxmlformats.org/officeDocument/2006/bibliography"/>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6</TotalTime>
  <Pages>11</Pages>
  <Words>3224</Words>
  <Characters>18378</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Nokia</cp:lastModifiedBy>
  <cp:revision>8</cp:revision>
  <cp:lastPrinted>2009-04-22T01:01:00Z</cp:lastPrinted>
  <dcterms:created xsi:type="dcterms:W3CDTF">2021-08-25T12:10:00Z</dcterms:created>
  <dcterms:modified xsi:type="dcterms:W3CDTF">2021-08-25T12:16:00Z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