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1C67" w14:textId="77777777" w:rsidR="005354AB" w:rsidRDefault="00051901">
      <w:pPr>
        <w:pStyle w:val="3GPPHeader"/>
        <w:spacing w:after="60"/>
        <w:rPr>
          <w:sz w:val="32"/>
          <w:szCs w:val="32"/>
        </w:rPr>
      </w:pPr>
      <w:r>
        <w:t>3GPP RAN WG2 Meeting #115e</w:t>
      </w:r>
      <w:r>
        <w:tab/>
        <w:t>R2-2108883</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Heading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[AT115-e][101][NTN] Other MAC aspects (</w:t>
      </w:r>
      <w:proofErr w:type="spellStart"/>
      <w:r>
        <w:t>InterDigital</w:t>
      </w:r>
      <w:proofErr w:type="spellEnd"/>
      <w:r>
        <w:t>)</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ListParagraph"/>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77777777"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[Pre115e][</w:t>
      </w:r>
      <w:proofErr w:type="gramStart"/>
      <w:r>
        <w:rPr>
          <w:rFonts w:eastAsia="MS Mincho" w:cs="Arial"/>
          <w:iCs/>
          <w:lang w:val="en-US"/>
        </w:rPr>
        <w:t>101][</w:t>
      </w:r>
      <w:proofErr w:type="gramEnd"/>
      <w:r>
        <w:rPr>
          <w:rFonts w:eastAsia="MS Mincho" w:cs="Arial"/>
          <w:iCs/>
          <w:lang w:val="en-US"/>
        </w:rPr>
        <w:t>NTN] (R2-2109031). Companies are encouraged to review this document for relevant background.</w:t>
      </w:r>
    </w:p>
    <w:p w14:paraId="19D31C7B" w14:textId="77777777" w:rsidR="005354AB" w:rsidRDefault="00051901">
      <w:pPr>
        <w:pStyle w:val="Heading1"/>
      </w:pPr>
      <w:r>
        <w:t>UL HARQ retransmission and LCP</w:t>
      </w:r>
    </w:p>
    <w:p w14:paraId="19D31C7C" w14:textId="77777777" w:rsidR="005354AB" w:rsidRDefault="00051901">
      <w:pPr>
        <w:pStyle w:val="Heading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w:t>
      </w:r>
      <w:proofErr w:type="spellEnd"/>
      <w:r>
        <w:rPr>
          <w:i/>
          <w:iCs/>
        </w:rPr>
        <w:t>-HARQ-RTT-</w:t>
      </w:r>
      <w:proofErr w:type="spellStart"/>
      <w:r>
        <w:rPr>
          <w:i/>
          <w:iCs/>
        </w:rPr>
        <w: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i/>
          <w:iCs/>
        </w:rPr>
        <w:t xml:space="preserve"> </w:t>
      </w:r>
      <w:r>
        <w:rPr>
          <w:rFonts w:eastAsiaTheme="majorEastAsia"/>
        </w:rPr>
        <w:t xml:space="preserve">behaviour, a large majority of companies support semi-static configuration of an UL HARQ </w:t>
      </w:r>
      <w:r>
        <w:rPr>
          <w:rFonts w:eastAsiaTheme="majorEastAsia"/>
        </w:rPr>
        <w:lastRenderedPageBreak/>
        <w:t>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UL HARQ retransmission states are defined and optionally configured per HARQ process?:</w:t>
      </w:r>
    </w:p>
    <w:p w14:paraId="19D31C82"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14:paraId="19D31C83" w14:textId="77777777" w:rsidR="005354AB" w:rsidRDefault="00051901">
      <w:pPr>
        <w:pStyle w:val="ListParagraph"/>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similar to the current UL grant for IIOT/URLLC. Thus, we prefer the following classification:</w:t>
            </w:r>
          </w:p>
          <w:p w14:paraId="19D31C8B" w14:textId="77777777" w:rsidR="005354AB" w:rsidRDefault="00051901">
            <w:pPr>
              <w:pStyle w:val="ListParagraph"/>
              <w:numPr>
                <w:ilvl w:val="0"/>
                <w:numId w:val="8"/>
              </w:numPr>
              <w:rPr>
                <w:rFonts w:eastAsiaTheme="minorEastAsia"/>
              </w:rPr>
            </w:pPr>
            <w:r>
              <w:rPr>
                <w:rFonts w:eastAsiaTheme="minorEastAsia" w:hint="eastAsia"/>
                <w:lang w:eastAsia="zh-CN"/>
              </w:rPr>
              <w:t>H</w:t>
            </w:r>
            <w:r>
              <w:rPr>
                <w:rFonts w:eastAsiaTheme="minorEastAsia"/>
                <w:lang w:eastAsia="zh-CN"/>
              </w:rPr>
              <w:t>igh latency HARQ process: supports scheduling strategies “with HARQ retransmissions based on UL decoding result”</w:t>
            </w:r>
          </w:p>
          <w:p w14:paraId="19D31C8C" w14:textId="77777777" w:rsidR="005354AB" w:rsidRDefault="00051901">
            <w:pPr>
              <w:pStyle w:val="ListParagraph"/>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等线"/>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ListParagraph"/>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等线"/>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等线"/>
              </w:rPr>
            </w:pPr>
            <w:r>
              <w:rPr>
                <w:lang w:eastAsia="sv-SE"/>
              </w:rPr>
              <w:t>Samsung</w:t>
            </w:r>
          </w:p>
        </w:tc>
        <w:tc>
          <w:tcPr>
            <w:tcW w:w="1739" w:type="dxa"/>
          </w:tcPr>
          <w:p w14:paraId="19D31CAE" w14:textId="77777777" w:rsidR="005354AB" w:rsidRDefault="00051901">
            <w:pPr>
              <w:rPr>
                <w:rFonts w:eastAsia="等线"/>
              </w:rPr>
            </w:pPr>
            <w:r>
              <w:rPr>
                <w:lang w:eastAsia="sv-SE"/>
              </w:rPr>
              <w:t>Disagree</w:t>
            </w:r>
          </w:p>
        </w:tc>
        <w:tc>
          <w:tcPr>
            <w:tcW w:w="6480" w:type="dxa"/>
          </w:tcPr>
          <w:p w14:paraId="19D31CAF" w14:textId="77777777" w:rsidR="005354AB" w:rsidRDefault="00051901">
            <w:pPr>
              <w:rPr>
                <w:rFonts w:eastAsia="等线"/>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types?,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等线"/>
              </w:rPr>
              <w:t>Panasonic</w:t>
            </w:r>
          </w:p>
        </w:tc>
        <w:tc>
          <w:tcPr>
            <w:tcW w:w="1739" w:type="dxa"/>
          </w:tcPr>
          <w:p w14:paraId="19D31CB2" w14:textId="77777777" w:rsidR="005354AB" w:rsidRDefault="00051901">
            <w:pPr>
              <w:rPr>
                <w:rFonts w:eastAsiaTheme="minorEastAsia"/>
              </w:rPr>
            </w:pPr>
            <w:r>
              <w:rPr>
                <w:rFonts w:eastAsia="等线"/>
              </w:rPr>
              <w:t>Agree with Comments</w:t>
            </w:r>
          </w:p>
        </w:tc>
        <w:tc>
          <w:tcPr>
            <w:tcW w:w="6480" w:type="dxa"/>
          </w:tcPr>
          <w:p w14:paraId="19D31CB3" w14:textId="77777777" w:rsidR="005354AB" w:rsidRDefault="00051901">
            <w:pPr>
              <w:rPr>
                <w:rFonts w:eastAsia="等线"/>
              </w:rPr>
            </w:pPr>
            <w:r>
              <w:rPr>
                <w:rFonts w:eastAsia="等线"/>
              </w:rPr>
              <w:t xml:space="preserve">For High </w:t>
            </w:r>
            <w:proofErr w:type="spellStart"/>
            <w:r>
              <w:rPr>
                <w:rFonts w:eastAsia="等线"/>
              </w:rPr>
              <w:t>Reliabiliy</w:t>
            </w:r>
            <w:proofErr w:type="spellEnd"/>
            <w:r>
              <w:rPr>
                <w:rFonts w:eastAsia="等线"/>
              </w:rPr>
              <w:t xml:space="preserve"> and High latency with HARQ retransmission based on UL decoding result and with blind retransmission,</w:t>
            </w:r>
          </w:p>
          <w:p w14:paraId="19D31CB4" w14:textId="77777777" w:rsidR="005354AB" w:rsidRDefault="00051901">
            <w:pPr>
              <w:rPr>
                <w:rFonts w:eastAsia="等线"/>
              </w:rPr>
            </w:pPr>
            <w:r>
              <w:rPr>
                <w:rFonts w:eastAsia="等线"/>
              </w:rPr>
              <w:t xml:space="preserve">For low </w:t>
            </w:r>
            <w:proofErr w:type="spellStart"/>
            <w:r>
              <w:rPr>
                <w:rFonts w:eastAsia="等线"/>
              </w:rPr>
              <w:t>low</w:t>
            </w:r>
            <w:proofErr w:type="spellEnd"/>
            <w:r>
              <w:rPr>
                <w:rFonts w:eastAsia="等线"/>
              </w:rPr>
              <w:t xml:space="preserve"> reliability and low latency with HARQ retransmission without HARQ retransmission and with blind retransmission. </w:t>
            </w:r>
          </w:p>
          <w:p w14:paraId="19D31CB5" w14:textId="77777777" w:rsidR="005354AB" w:rsidRDefault="00051901">
            <w:pPr>
              <w:rPr>
                <w:rFonts w:eastAsia="等线"/>
              </w:rPr>
            </w:pPr>
            <w:r>
              <w:rPr>
                <w:rFonts w:eastAsia="等线"/>
              </w:rPr>
              <w:t xml:space="preserve">Furthermore, we also need to consider service requirement in terms of throughput. For </w:t>
            </w:r>
            <w:proofErr w:type="spellStart"/>
            <w:r>
              <w:rPr>
                <w:rFonts w:eastAsia="等线"/>
              </w:rPr>
              <w:t>e.g</w:t>
            </w:r>
            <w:proofErr w:type="spellEnd"/>
            <w:r>
              <w:rPr>
                <w:rFonts w:eastAsia="等线"/>
              </w:rPr>
              <w:t xml:space="preserve"> high rate </w:t>
            </w:r>
            <w:proofErr w:type="spellStart"/>
            <w:r>
              <w:rPr>
                <w:rFonts w:eastAsia="等线"/>
              </w:rPr>
              <w:t>eMBB</w:t>
            </w:r>
            <w:proofErr w:type="spellEnd"/>
            <w:r>
              <w:rPr>
                <w:rFonts w:eastAsia="等线"/>
              </w:rPr>
              <w:t xml:space="preserve"> services , HARQ retransmission without HARQ retransmission and with blind retransmission. </w:t>
            </w:r>
          </w:p>
          <w:p w14:paraId="19D31CB6" w14:textId="77777777" w:rsidR="005354AB" w:rsidRDefault="00051901">
            <w:pPr>
              <w:rPr>
                <w:rFonts w:eastAsiaTheme="minorEastAsia"/>
              </w:rPr>
            </w:pPr>
            <w:proofErr w:type="spellStart"/>
            <w:r>
              <w:rPr>
                <w:rFonts w:eastAsia="等线"/>
              </w:rPr>
              <w:t>Addtioanlly</w:t>
            </w:r>
            <w:proofErr w:type="spellEnd"/>
            <w:r>
              <w:rPr>
                <w:rFonts w:eastAsia="等线"/>
              </w:rPr>
              <w:t xml:space="preserve">, we also agree with Huawei that UE is </w:t>
            </w:r>
            <w:proofErr w:type="spellStart"/>
            <w:r>
              <w:rPr>
                <w:rFonts w:eastAsia="等线"/>
              </w:rPr>
              <w:t>configfured</w:t>
            </w:r>
            <w:proofErr w:type="spellEnd"/>
            <w:r>
              <w:rPr>
                <w:rFonts w:eastAsia="等线"/>
              </w:rPr>
              <w:t xml:space="preserve"> with retransmission type per LCH i.e.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19D31CBA" w14:textId="77777777" w:rsidR="005354AB" w:rsidRDefault="00051901">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Malgun Gothic"/>
                <w:lang w:eastAsia="ko-KR"/>
              </w:rPr>
              <w:t>2. HARQ process for delay-sensitive service: supports scheduling strategies “blind retransmission”  but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lastRenderedPageBreak/>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ListParagraph"/>
              <w:numPr>
                <w:ilvl w:val="0"/>
                <w:numId w:val="10"/>
              </w:numPr>
              <w:rPr>
                <w:lang w:eastAsia="sv-SE"/>
              </w:rPr>
            </w:pPr>
            <w:proofErr w:type="spellStart"/>
            <w:r>
              <w:rPr>
                <w:lang w:eastAsia="sv-SE"/>
              </w:rPr>
              <w:t>gNB</w:t>
            </w:r>
            <w:proofErr w:type="spellEnd"/>
            <w:r>
              <w:rPr>
                <w:lang w:eastAsia="sv-SE"/>
              </w:rPr>
              <w:t xml:space="preserve"> decides to, and </w:t>
            </w:r>
          </w:p>
          <w:p w14:paraId="19D31CC3" w14:textId="77777777" w:rsidR="005354AB" w:rsidRDefault="00051901">
            <w:pPr>
              <w:pStyle w:val="ListParagraph"/>
              <w:numPr>
                <w:ilvl w:val="0"/>
                <w:numId w:val="10"/>
              </w:numPr>
              <w:rPr>
                <w:lang w:eastAsia="sv-SE"/>
              </w:rPr>
            </w:pPr>
            <w:r>
              <w:rPr>
                <w:lang w:eastAsia="sv-SE"/>
              </w:rPr>
              <w:t>the HARQ process has not been reused, and</w:t>
            </w:r>
          </w:p>
          <w:p w14:paraId="19D31CC4" w14:textId="77777777" w:rsidR="005354AB" w:rsidRDefault="00051901">
            <w:pPr>
              <w:pStyle w:val="ListParagraph"/>
              <w:numPr>
                <w:ilvl w:val="0"/>
                <w:numId w:val="10"/>
              </w:numPr>
              <w:rPr>
                <w:lang w:eastAsia="sv-SE"/>
              </w:rPr>
            </w:pPr>
            <w:r>
              <w:rPr>
                <w:lang w:eastAsia="sv-SE"/>
              </w:rPr>
              <w:t xml:space="preserve">the UE is in Active Time when the grant arrives at the UE. </w:t>
            </w:r>
          </w:p>
          <w:p w14:paraId="19D31CC5" w14:textId="77777777" w:rsidR="005354AB" w:rsidRDefault="00051901">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等线"/>
              </w:rPr>
            </w:pPr>
            <w:r>
              <w:rPr>
                <w:rFonts w:eastAsia="等线"/>
              </w:rPr>
              <w:t>Apple</w:t>
            </w:r>
          </w:p>
        </w:tc>
        <w:tc>
          <w:tcPr>
            <w:tcW w:w="1739" w:type="dxa"/>
          </w:tcPr>
          <w:p w14:paraId="19D31CCD" w14:textId="77777777" w:rsidR="005354AB" w:rsidRDefault="00051901">
            <w:pPr>
              <w:rPr>
                <w:rFonts w:eastAsia="等线"/>
              </w:rPr>
            </w:pPr>
            <w:r>
              <w:rPr>
                <w:rFonts w:eastAsia="等线"/>
              </w:rPr>
              <w:t>Disagree</w:t>
            </w:r>
          </w:p>
        </w:tc>
        <w:tc>
          <w:tcPr>
            <w:tcW w:w="6480" w:type="dxa"/>
          </w:tcPr>
          <w:p w14:paraId="19D31CCE" w14:textId="77777777" w:rsidR="005354AB" w:rsidRDefault="00051901">
            <w:pPr>
              <w:rPr>
                <w:rFonts w:eastAsia="等线"/>
              </w:rPr>
            </w:pPr>
            <w:r>
              <w:rPr>
                <w:rFonts w:eastAsia="等线"/>
              </w:rPr>
              <w:t xml:space="preserve">We prefer this to be delay based as Vivo have already commented about. Reliability was never the use case and latency was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宋体"/>
                <w:lang w:val="en-US" w:eastAsia="ko-KR"/>
              </w:rPr>
            </w:pPr>
            <w:r>
              <w:rPr>
                <w:rFonts w:eastAsia="宋体" w:hint="eastAsia"/>
                <w:lang w:val="en-US"/>
              </w:rPr>
              <w:t>ZTE</w:t>
            </w:r>
          </w:p>
        </w:tc>
        <w:tc>
          <w:tcPr>
            <w:tcW w:w="1739" w:type="dxa"/>
          </w:tcPr>
          <w:p w14:paraId="19D31CD1" w14:textId="77777777" w:rsidR="005354AB" w:rsidRDefault="00051901">
            <w:pPr>
              <w:rPr>
                <w:rFonts w:eastAsia="等线"/>
                <w:lang w:val="en-US"/>
              </w:rPr>
            </w:pPr>
            <w:r>
              <w:rPr>
                <w:rFonts w:eastAsia="等线" w:hint="eastAsia"/>
                <w:lang w:val="en-US"/>
              </w:rPr>
              <w:t>Disagree</w:t>
            </w:r>
          </w:p>
        </w:tc>
        <w:tc>
          <w:tcPr>
            <w:tcW w:w="6480" w:type="dxa"/>
          </w:tcPr>
          <w:p w14:paraId="19D31CD2" w14:textId="77777777" w:rsidR="005354AB" w:rsidRDefault="00051901">
            <w:pPr>
              <w:ind w:left="55"/>
              <w:rPr>
                <w:rFonts w:eastAsia="等线"/>
                <w:lang w:val="en-US"/>
              </w:rPr>
            </w:pPr>
            <w:r>
              <w:rPr>
                <w:rFonts w:eastAsia="等线" w:hint="eastAsia"/>
                <w:lang w:val="en-US"/>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14:paraId="19D31CD3" w14:textId="77777777" w:rsidR="005354AB" w:rsidRDefault="00051901">
            <w:pPr>
              <w:numPr>
                <w:ilvl w:val="0"/>
                <w:numId w:val="11"/>
              </w:numPr>
              <w:rPr>
                <w:rFonts w:eastAsia="等线"/>
                <w:lang w:val="en-US"/>
              </w:rPr>
            </w:pPr>
            <w:r>
              <w:rPr>
                <w:rFonts w:eastAsia="等线"/>
                <w:lang w:val="en-US"/>
              </w:rPr>
              <w:t>Two HARQ process groups can be configured by NW. And each HARQ process can be associated to one of the two HARQ process group.</w:t>
            </w:r>
          </w:p>
          <w:p w14:paraId="19D31CD4" w14:textId="77777777" w:rsidR="005354AB" w:rsidRDefault="00051901">
            <w:pPr>
              <w:numPr>
                <w:ilvl w:val="0"/>
                <w:numId w:val="11"/>
              </w:numPr>
              <w:rPr>
                <w:rFonts w:eastAsia="等线"/>
                <w:lang w:val="en-US"/>
              </w:rPr>
            </w:pPr>
            <w:r>
              <w:rPr>
                <w:rFonts w:eastAsia="等线"/>
                <w:lang w:val="en-US"/>
              </w:rPr>
              <w:t>Mapping between LCH and HARQ process group can be configured by RRC signaling.</w:t>
            </w:r>
          </w:p>
          <w:p w14:paraId="19D31CD5" w14:textId="77777777" w:rsidR="005354AB" w:rsidRDefault="00051901">
            <w:pPr>
              <w:numPr>
                <w:ilvl w:val="0"/>
                <w:numId w:val="11"/>
              </w:numPr>
              <w:rPr>
                <w:rFonts w:eastAsia="等线"/>
                <w:lang w:val="en-US"/>
              </w:rPr>
            </w:pPr>
            <w:r>
              <w:rPr>
                <w:rFonts w:eastAsia="等线"/>
                <w:lang w:val="en-US"/>
              </w:rPr>
              <w:t>It is up to NW implementation to determine how to use the HARQ process group</w:t>
            </w:r>
          </w:p>
          <w:p w14:paraId="19D31CD6" w14:textId="77777777" w:rsidR="005354AB" w:rsidRDefault="005354AB">
            <w:pPr>
              <w:rPr>
                <w:rFonts w:eastAsia="等线"/>
                <w:lang w:val="en-US"/>
              </w:rPr>
            </w:pPr>
          </w:p>
        </w:tc>
      </w:tr>
      <w:tr w:rsidR="005354AB" w14:paraId="19D31CDB" w14:textId="77777777">
        <w:tc>
          <w:tcPr>
            <w:tcW w:w="1496" w:type="dxa"/>
          </w:tcPr>
          <w:p w14:paraId="19D31CD8" w14:textId="79919A98" w:rsidR="005354AB" w:rsidRDefault="00B56D18">
            <w:pPr>
              <w:rPr>
                <w:rFonts w:eastAsia="Malgun Gothic"/>
                <w:lang w:eastAsia="ko-KR"/>
              </w:rPr>
            </w:pPr>
            <w:r>
              <w:rPr>
                <w:rFonts w:eastAsia="Malgun Gothic"/>
                <w:lang w:eastAsia="ko-KR"/>
              </w:rPr>
              <w:t>Qualcomm</w:t>
            </w:r>
          </w:p>
        </w:tc>
        <w:tc>
          <w:tcPr>
            <w:tcW w:w="1739" w:type="dxa"/>
          </w:tcPr>
          <w:p w14:paraId="19D31CD9" w14:textId="1895C2AD" w:rsidR="005354AB" w:rsidRDefault="003C5ACB">
            <w:pPr>
              <w:rPr>
                <w:rFonts w:eastAsia="Malgun Gothic"/>
                <w:lang w:eastAsia="ko-KR"/>
              </w:rPr>
            </w:pPr>
            <w:r>
              <w:rPr>
                <w:rFonts w:eastAsia="Malgun Gothic"/>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r>
              <w:t>So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whatever we call it :High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33026BBE" w:rsidR="005354AB" w:rsidRDefault="000D3504">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CDD" w14:textId="6EF1A82E" w:rsidR="005354AB" w:rsidRDefault="000D3504">
            <w:pPr>
              <w:rPr>
                <w:lang w:eastAsia="sv-SE"/>
              </w:rPr>
            </w:pPr>
            <w:r>
              <w:rPr>
                <w:rFonts w:eastAsiaTheme="minorEastAsia" w:hint="eastAsia"/>
              </w:rPr>
              <w:t>A</w:t>
            </w:r>
            <w:r>
              <w:rPr>
                <w:rFonts w:eastAsiaTheme="minorEastAsia"/>
              </w:rPr>
              <w:t>gree with comments</w:t>
            </w:r>
          </w:p>
        </w:tc>
        <w:tc>
          <w:tcPr>
            <w:tcW w:w="6480" w:type="dxa"/>
          </w:tcPr>
          <w:p w14:paraId="19D31CDE" w14:textId="0D944045" w:rsidR="000D3504" w:rsidRPr="00AD6225" w:rsidRDefault="000D3504">
            <w:pPr>
              <w:rPr>
                <w:lang w:eastAsia="sv-SE"/>
              </w:rPr>
            </w:pPr>
            <w:r>
              <w:rPr>
                <w:rFonts w:eastAsiaTheme="minorEastAsia"/>
              </w:rPr>
              <w:t xml:space="preserve">The critical </w:t>
            </w:r>
            <w:r>
              <w:rPr>
                <w:lang w:eastAsia="sv-SE"/>
              </w:rPr>
              <w:t xml:space="preserve">intention of introducing UL HARQ retransmission enabled/disabled type is latency, not reliability. Actually, </w:t>
            </w:r>
            <w:proofErr w:type="spellStart"/>
            <w:r>
              <w:rPr>
                <w:lang w:eastAsia="sv-SE"/>
              </w:rPr>
              <w:t>gNB</w:t>
            </w:r>
            <w:proofErr w:type="spellEnd"/>
            <w:r>
              <w:rPr>
                <w:lang w:eastAsia="sv-SE"/>
              </w:rPr>
              <w:t xml:space="preserve"> could </w:t>
            </w:r>
            <w:r>
              <w:rPr>
                <w:lang w:eastAsia="sv-SE"/>
              </w:rPr>
              <w:lastRenderedPageBreak/>
              <w:t xml:space="preserve">increase the reliability via blind retransmission </w:t>
            </w:r>
            <w:r w:rsidR="00AD6225">
              <w:rPr>
                <w:lang w:eastAsia="sv-SE"/>
              </w:rPr>
              <w:t>for these two types of HARQ process.</w:t>
            </w:r>
          </w:p>
        </w:tc>
      </w:tr>
      <w:tr w:rsidR="003C0B37" w14:paraId="19D31CE3" w14:textId="77777777">
        <w:tc>
          <w:tcPr>
            <w:tcW w:w="1496" w:type="dxa"/>
          </w:tcPr>
          <w:p w14:paraId="19D31CE0" w14:textId="60B50BED" w:rsidR="003C0B37" w:rsidRDefault="003C0B37" w:rsidP="003C0B37">
            <w:pPr>
              <w:rPr>
                <w:rFonts w:eastAsia="宋体"/>
                <w:lang w:val="en-US"/>
              </w:rPr>
            </w:pPr>
            <w:r>
              <w:rPr>
                <w:rFonts w:eastAsiaTheme="minorEastAsia"/>
              </w:rPr>
              <w:lastRenderedPageBreak/>
              <w:t>Nokia</w:t>
            </w:r>
          </w:p>
        </w:tc>
        <w:tc>
          <w:tcPr>
            <w:tcW w:w="1739" w:type="dxa"/>
          </w:tcPr>
          <w:p w14:paraId="19D31CE1" w14:textId="1C9761E2" w:rsidR="003C0B37" w:rsidRDefault="003C0B37" w:rsidP="003C0B37">
            <w:pPr>
              <w:rPr>
                <w:rFonts w:eastAsia="宋体"/>
                <w:lang w:val="en-US"/>
              </w:rPr>
            </w:pPr>
            <w:r>
              <w:rPr>
                <w:lang w:eastAsia="sv-SE"/>
              </w:rPr>
              <w:t>Agree with comments</w:t>
            </w:r>
          </w:p>
        </w:tc>
        <w:tc>
          <w:tcPr>
            <w:tcW w:w="6480" w:type="dxa"/>
          </w:tcPr>
          <w:p w14:paraId="7692EC52" w14:textId="77777777" w:rsidR="003C0B37" w:rsidRDefault="003C0B37" w:rsidP="003C0B37">
            <w:pPr>
              <w:jc w:val="left"/>
              <w:rPr>
                <w:lang w:eastAsia="sv-SE"/>
              </w:rPr>
            </w:pPr>
            <w:r>
              <w:rPr>
                <w:lang w:eastAsia="sv-SE"/>
              </w:rPr>
              <w:t xml:space="preserve">We agree with the intention to define UL retransmission states to facilitate new LCP restriction and different DRX RTT timer configuration for different retransmission states. </w:t>
            </w:r>
          </w:p>
          <w:p w14:paraId="304EDE1C" w14:textId="77777777" w:rsidR="003C0B37" w:rsidRDefault="003C0B37" w:rsidP="003C0B37">
            <w:pPr>
              <w:jc w:val="left"/>
              <w:rPr>
                <w:lang w:eastAsia="sv-SE"/>
              </w:rPr>
            </w:pPr>
            <w:r>
              <w:rPr>
                <w:lang w:eastAsia="sv-SE"/>
              </w:rPr>
              <w:t>We share the view of Xiaomi, OPPO, vivo</w:t>
            </w:r>
            <w:r>
              <w:rPr>
                <w:lang w:eastAsia="sv-SE"/>
              </w:rPr>
              <w:t xml:space="preserve">, </w:t>
            </w:r>
            <w:r>
              <w:rPr>
                <w:lang w:eastAsia="sv-SE"/>
              </w:rPr>
              <w:t>Apple</w:t>
            </w:r>
            <w:r>
              <w:rPr>
                <w:lang w:eastAsia="sv-SE"/>
              </w:rPr>
              <w:t xml:space="preserve"> and </w:t>
            </w:r>
            <w:proofErr w:type="spellStart"/>
            <w:r>
              <w:rPr>
                <w:lang w:eastAsia="sv-SE"/>
              </w:rPr>
              <w:t>Spreadtrum</w:t>
            </w:r>
            <w:proofErr w:type="spellEnd"/>
            <w:r>
              <w:rPr>
                <w:lang w:eastAsia="sv-SE"/>
              </w:rPr>
              <w:t xml:space="preserve">, the latency is the key aspect for NTN to classify the UL </w:t>
            </w:r>
            <w:proofErr w:type="spellStart"/>
            <w:r>
              <w:rPr>
                <w:lang w:eastAsia="sv-SE"/>
              </w:rPr>
              <w:t>retransmssion</w:t>
            </w:r>
            <w:proofErr w:type="spellEnd"/>
            <w:r>
              <w:rPr>
                <w:lang w:eastAsia="sv-SE"/>
              </w:rPr>
              <w:t xml:space="preserve"> schemes while the reliability may depend on network implementation (e.g. via link adaptation). So, we support classification</w:t>
            </w:r>
            <w:r w:rsidRPr="00C34BCC">
              <w:rPr>
                <w:lang w:eastAsia="sv-SE"/>
              </w:rPr>
              <w:t xml:space="preserve"> of HARQ retransmission schemes as below:</w:t>
            </w:r>
          </w:p>
          <w:p w14:paraId="5CAB9AB5" w14:textId="5FC4C5B4" w:rsidR="003C0B37" w:rsidRDefault="003C0B37" w:rsidP="003C0B37">
            <w:pPr>
              <w:pStyle w:val="ListParagraph"/>
              <w:numPr>
                <w:ilvl w:val="0"/>
                <w:numId w:val="9"/>
              </w:numPr>
              <w:rPr>
                <w:rFonts w:ascii="Arial" w:eastAsia="Times New Roman" w:hAnsi="Arial" w:cs="Times New Roman"/>
                <w:sz w:val="20"/>
                <w:szCs w:val="20"/>
                <w:lang w:val="en-GB" w:eastAsia="sv-SE"/>
              </w:rPr>
            </w:pPr>
            <w:r w:rsidRPr="00C34BCC">
              <w:rPr>
                <w:rFonts w:ascii="Arial" w:eastAsia="Times New Roman" w:hAnsi="Arial" w:cs="Times New Roman"/>
                <w:sz w:val="20"/>
                <w:szCs w:val="20"/>
                <w:lang w:val="en-GB" w:eastAsia="sv-SE"/>
              </w:rPr>
              <w:t>HARQ process state</w:t>
            </w:r>
            <w:r>
              <w:rPr>
                <w:rFonts w:ascii="Arial" w:eastAsia="Times New Roman" w:hAnsi="Arial" w:cs="Times New Roman"/>
                <w:sz w:val="20"/>
                <w:szCs w:val="20"/>
                <w:lang w:val="en-GB" w:eastAsia="sv-SE"/>
              </w:rPr>
              <w:t xml:space="preserve"> </w:t>
            </w:r>
            <w:r w:rsidRPr="00C34BCC">
              <w:rPr>
                <w:rFonts w:ascii="Arial" w:eastAsia="Times New Roman" w:hAnsi="Arial" w:cs="Times New Roman"/>
                <w:sz w:val="20"/>
                <w:szCs w:val="20"/>
                <w:lang w:val="en-GB" w:eastAsia="sv-SE"/>
              </w:rPr>
              <w:t xml:space="preserve">1: </w:t>
            </w:r>
            <w:r>
              <w:rPr>
                <w:rFonts w:ascii="Arial" w:eastAsia="Times New Roman" w:hAnsi="Arial" w:cs="Times New Roman"/>
                <w:sz w:val="20"/>
                <w:szCs w:val="20"/>
                <w:lang w:val="en-GB" w:eastAsia="sv-SE"/>
              </w:rPr>
              <w:t xml:space="preserve">UL retransmission scheme </w:t>
            </w:r>
            <w:r w:rsidRPr="00C34BCC">
              <w:rPr>
                <w:rFonts w:ascii="Arial" w:eastAsia="Times New Roman" w:hAnsi="Arial" w:cs="Times New Roman"/>
                <w:sz w:val="20"/>
                <w:szCs w:val="20"/>
                <w:lang w:val="en-GB" w:eastAsia="sv-SE"/>
              </w:rPr>
              <w:t xml:space="preserve">“with HARQ retransmissions based on UL decoding result” </w:t>
            </w:r>
          </w:p>
          <w:p w14:paraId="19D31CE2" w14:textId="3E5AF6FC" w:rsidR="003C0B37" w:rsidRPr="003C0B37" w:rsidRDefault="003C0B37" w:rsidP="003C0B37">
            <w:pPr>
              <w:pStyle w:val="ListParagraph"/>
              <w:numPr>
                <w:ilvl w:val="0"/>
                <w:numId w:val="9"/>
              </w:numPr>
              <w:rPr>
                <w:rFonts w:ascii="Arial" w:eastAsia="Times New Roman" w:hAnsi="Arial" w:cs="Times New Roman"/>
                <w:sz w:val="20"/>
                <w:szCs w:val="20"/>
                <w:lang w:val="en-GB" w:eastAsia="sv-SE"/>
              </w:rPr>
            </w:pPr>
            <w:r w:rsidRPr="003C0B37">
              <w:rPr>
                <w:rFonts w:ascii="Arial" w:eastAsia="Times New Roman" w:hAnsi="Arial" w:cs="Times New Roman"/>
                <w:sz w:val="20"/>
                <w:szCs w:val="20"/>
                <w:lang w:val="en-GB" w:eastAsia="sv-SE"/>
              </w:rPr>
              <w:t>HARQ process state 2: UL retransmission scheme “without HAR</w:t>
            </w:r>
            <w:r w:rsidRPr="003C0B37">
              <w:rPr>
                <w:rFonts w:ascii="Arial" w:eastAsia="Times New Roman" w:hAnsi="Arial" w:cs="Times New Roman" w:hint="eastAsia"/>
                <w:sz w:val="20"/>
                <w:szCs w:val="20"/>
                <w:lang w:val="en-GB" w:eastAsia="sv-SE"/>
              </w:rPr>
              <w:t>Q</w:t>
            </w:r>
            <w:r w:rsidRPr="003C0B37">
              <w:rPr>
                <w:rFonts w:ascii="Arial" w:eastAsia="Times New Roman" w:hAnsi="Arial" w:cs="Times New Roman"/>
                <w:sz w:val="20"/>
                <w:szCs w:val="20"/>
                <w:lang w:val="en-GB" w:eastAsia="sv-SE"/>
              </w:rPr>
              <w:t xml:space="preserve"> retransmission” and “with blind retransmissions”</w:t>
            </w:r>
          </w:p>
        </w:tc>
      </w:tr>
      <w:tr w:rsidR="00B2650A" w14:paraId="25DBED2A" w14:textId="77777777">
        <w:tc>
          <w:tcPr>
            <w:tcW w:w="1496" w:type="dxa"/>
          </w:tcPr>
          <w:p w14:paraId="258C9067" w14:textId="77777777" w:rsidR="00B2650A" w:rsidRDefault="00B2650A" w:rsidP="003C0B37">
            <w:pPr>
              <w:rPr>
                <w:rFonts w:eastAsiaTheme="minorEastAsia"/>
              </w:rPr>
            </w:pPr>
          </w:p>
        </w:tc>
        <w:tc>
          <w:tcPr>
            <w:tcW w:w="1739" w:type="dxa"/>
          </w:tcPr>
          <w:p w14:paraId="1C8C9583" w14:textId="77777777" w:rsidR="00B2650A" w:rsidRDefault="00B2650A" w:rsidP="003C0B37">
            <w:pPr>
              <w:rPr>
                <w:lang w:eastAsia="sv-SE"/>
              </w:rPr>
            </w:pPr>
          </w:p>
        </w:tc>
        <w:tc>
          <w:tcPr>
            <w:tcW w:w="6480" w:type="dxa"/>
          </w:tcPr>
          <w:p w14:paraId="5850911D" w14:textId="77777777" w:rsidR="00B2650A" w:rsidRDefault="00B2650A" w:rsidP="003C0B37">
            <w:pPr>
              <w:jc w:val="left"/>
              <w:rPr>
                <w:lang w:eastAsia="sv-SE"/>
              </w:rPr>
            </w:pPr>
          </w:p>
        </w:tc>
      </w:tr>
    </w:tbl>
    <w:p w14:paraId="19D31CE4" w14:textId="77777777" w:rsidR="005354AB" w:rsidRDefault="005354AB">
      <w:pPr>
        <w:rPr>
          <w:rFonts w:cs="Arial"/>
          <w:lang w:val="en-US"/>
        </w:rPr>
      </w:pPr>
    </w:p>
    <w:p w14:paraId="19D31CE5" w14:textId="77777777" w:rsidR="005354AB" w:rsidRDefault="00051901">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r>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FC" w14:textId="77777777" w:rsidR="005354AB" w:rsidRDefault="00051901">
            <w:pPr>
              <w:rPr>
                <w:rFonts w:eastAsia="等线"/>
              </w:rPr>
            </w:pPr>
            <w:r>
              <w:rPr>
                <w:rFonts w:eastAsiaTheme="minorEastAsia"/>
              </w:rPr>
              <w:t>Yes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等线"/>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等线"/>
              </w:rPr>
            </w:pPr>
            <w:r>
              <w:rPr>
                <w:lang w:eastAsia="sv-SE"/>
              </w:rPr>
              <w:t>Samsung</w:t>
            </w:r>
          </w:p>
        </w:tc>
        <w:tc>
          <w:tcPr>
            <w:tcW w:w="1739" w:type="dxa"/>
          </w:tcPr>
          <w:p w14:paraId="19D31D05" w14:textId="77777777" w:rsidR="005354AB" w:rsidRDefault="00051901">
            <w:pPr>
              <w:rPr>
                <w:rFonts w:eastAsia="等线"/>
              </w:rPr>
            </w:pPr>
            <w:r>
              <w:rPr>
                <w:lang w:eastAsia="sv-SE"/>
              </w:rPr>
              <w:t>Yes, but see comments.</w:t>
            </w:r>
          </w:p>
        </w:tc>
        <w:tc>
          <w:tcPr>
            <w:tcW w:w="6480" w:type="dxa"/>
          </w:tcPr>
          <w:p w14:paraId="19D31D06" w14:textId="77777777" w:rsidR="005354AB" w:rsidRDefault="00051901">
            <w:pPr>
              <w:rPr>
                <w:rFonts w:eastAsia="等线"/>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等线"/>
              </w:rPr>
              <w:t>Panasonic</w:t>
            </w:r>
          </w:p>
        </w:tc>
        <w:tc>
          <w:tcPr>
            <w:tcW w:w="1739" w:type="dxa"/>
          </w:tcPr>
          <w:p w14:paraId="19D31D09" w14:textId="77777777" w:rsidR="005354AB" w:rsidRDefault="00051901">
            <w:pPr>
              <w:rPr>
                <w:rFonts w:eastAsiaTheme="minorEastAsia"/>
              </w:rPr>
            </w:pPr>
            <w:r>
              <w:rPr>
                <w:rFonts w:eastAsia="等线"/>
              </w:rPr>
              <w:t>Agree</w:t>
            </w:r>
          </w:p>
        </w:tc>
        <w:tc>
          <w:tcPr>
            <w:tcW w:w="6480" w:type="dxa"/>
          </w:tcPr>
          <w:p w14:paraId="19D31D0A" w14:textId="77777777" w:rsidR="005354AB" w:rsidRDefault="00051901">
            <w:pPr>
              <w:rPr>
                <w:rFonts w:eastAsiaTheme="minorEastAsia"/>
              </w:rPr>
            </w:pPr>
            <w:r>
              <w:rPr>
                <w:rFonts w:eastAsia="等线"/>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Malgun Gothic" w:hint="eastAsia"/>
                <w:lang w:eastAsia="ko-KR"/>
              </w:rPr>
              <w:t>LG</w:t>
            </w:r>
          </w:p>
        </w:tc>
        <w:tc>
          <w:tcPr>
            <w:tcW w:w="1739" w:type="dxa"/>
          </w:tcPr>
          <w:p w14:paraId="19D31D0D"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等线"/>
              </w:rPr>
            </w:pPr>
            <w:r>
              <w:rPr>
                <w:rFonts w:eastAsia="等线"/>
              </w:rPr>
              <w:t>Apple</w:t>
            </w:r>
          </w:p>
        </w:tc>
        <w:tc>
          <w:tcPr>
            <w:tcW w:w="1739" w:type="dxa"/>
          </w:tcPr>
          <w:p w14:paraId="19D31D15" w14:textId="77777777" w:rsidR="005354AB" w:rsidRDefault="00051901">
            <w:pPr>
              <w:rPr>
                <w:rFonts w:eastAsia="等线"/>
              </w:rPr>
            </w:pPr>
            <w:r>
              <w:rPr>
                <w:rFonts w:eastAsia="等线"/>
              </w:rPr>
              <w:t>Agree</w:t>
            </w:r>
          </w:p>
        </w:tc>
        <w:tc>
          <w:tcPr>
            <w:tcW w:w="6480" w:type="dxa"/>
          </w:tcPr>
          <w:p w14:paraId="19D31D16" w14:textId="77777777" w:rsidR="005354AB" w:rsidRDefault="00051901">
            <w:pPr>
              <w:rPr>
                <w:rFonts w:eastAsia="等线"/>
              </w:rPr>
            </w:pPr>
            <w:r>
              <w:rPr>
                <w:rFonts w:eastAsia="等线"/>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宋体"/>
                <w:lang w:val="en-US" w:eastAsia="ko-KR"/>
              </w:rPr>
            </w:pPr>
            <w:r>
              <w:rPr>
                <w:rFonts w:eastAsia="宋体" w:hint="eastAsia"/>
                <w:lang w:val="en-US"/>
              </w:rPr>
              <w:lastRenderedPageBreak/>
              <w:t>ZTE</w:t>
            </w:r>
          </w:p>
        </w:tc>
        <w:tc>
          <w:tcPr>
            <w:tcW w:w="1739" w:type="dxa"/>
          </w:tcPr>
          <w:p w14:paraId="19D31D19" w14:textId="77777777" w:rsidR="005354AB" w:rsidRDefault="00051901">
            <w:pPr>
              <w:rPr>
                <w:rFonts w:eastAsia="等线"/>
                <w:lang w:val="en-US"/>
              </w:rPr>
            </w:pPr>
            <w:r>
              <w:rPr>
                <w:rFonts w:eastAsia="等线" w:hint="eastAsia"/>
                <w:lang w:val="en-US"/>
              </w:rPr>
              <w:t>Yes</w:t>
            </w:r>
          </w:p>
        </w:tc>
        <w:tc>
          <w:tcPr>
            <w:tcW w:w="6480" w:type="dxa"/>
          </w:tcPr>
          <w:p w14:paraId="19D31D1A" w14:textId="77777777" w:rsidR="005354AB" w:rsidRDefault="00051901">
            <w:pPr>
              <w:rPr>
                <w:rFonts w:eastAsia="等线"/>
                <w:lang w:val="en-US"/>
              </w:rPr>
            </w:pPr>
            <w:r>
              <w:rPr>
                <w:rFonts w:eastAsia="等线" w:hint="eastAsia"/>
                <w:lang w:val="en-US"/>
              </w:rPr>
              <w:t xml:space="preserve">Per our comment in Q1, RRC </w:t>
            </w:r>
            <w:proofErr w:type="spellStart"/>
            <w:r>
              <w:rPr>
                <w:rFonts w:eastAsia="等线" w:hint="eastAsia"/>
                <w:lang w:val="en-US"/>
              </w:rPr>
              <w:t>signalling</w:t>
            </w:r>
            <w:proofErr w:type="spellEnd"/>
            <w:r>
              <w:rPr>
                <w:rFonts w:eastAsia="等线" w:hint="eastAsia"/>
                <w:lang w:val="en-US"/>
              </w:rPr>
              <w:t xml:space="preserve"> can be used.</w:t>
            </w:r>
          </w:p>
        </w:tc>
      </w:tr>
      <w:tr w:rsidR="005354AB" w14:paraId="19D31D1F" w14:textId="77777777">
        <w:tc>
          <w:tcPr>
            <w:tcW w:w="1496" w:type="dxa"/>
          </w:tcPr>
          <w:p w14:paraId="19D31D1C" w14:textId="007D6B02" w:rsidR="005354AB" w:rsidRDefault="009A4B84">
            <w:pPr>
              <w:rPr>
                <w:rFonts w:eastAsia="Malgun Gothic"/>
                <w:lang w:eastAsia="ko-KR"/>
              </w:rPr>
            </w:pPr>
            <w:r>
              <w:rPr>
                <w:rFonts w:eastAsia="Malgun Gothic"/>
                <w:lang w:eastAsia="ko-KR"/>
              </w:rPr>
              <w:t>Qualcomm</w:t>
            </w:r>
          </w:p>
        </w:tc>
        <w:tc>
          <w:tcPr>
            <w:tcW w:w="1739" w:type="dxa"/>
          </w:tcPr>
          <w:p w14:paraId="19D31D1D" w14:textId="357E3E08" w:rsidR="005354AB" w:rsidRDefault="0053250C">
            <w:pPr>
              <w:rPr>
                <w:rFonts w:eastAsia="Malgun Gothic"/>
                <w:lang w:eastAsia="ko-KR"/>
              </w:rPr>
            </w:pPr>
            <w:r>
              <w:rPr>
                <w:rFonts w:eastAsia="Malgun Gothic"/>
                <w:lang w:eastAsia="ko-KR"/>
              </w:rPr>
              <w:t>Yes with comments</w:t>
            </w:r>
          </w:p>
        </w:tc>
        <w:tc>
          <w:tcPr>
            <w:tcW w:w="6480" w:type="dxa"/>
          </w:tcPr>
          <w:p w14:paraId="342553E8" w14:textId="1B2E96C3" w:rsidR="00AD6BD0" w:rsidRDefault="00F43C24">
            <w:r>
              <w:t xml:space="preserve">RRC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22AF1B47"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21" w14:textId="1A3AA6CB" w:rsidR="005354AB" w:rsidRPr="00AD6225" w:rsidRDefault="00AD6225">
            <w:pPr>
              <w:rPr>
                <w:rFonts w:eastAsiaTheme="minorEastAsia"/>
              </w:rPr>
            </w:pPr>
            <w:r>
              <w:rPr>
                <w:rFonts w:eastAsiaTheme="minorEastAsia" w:hint="eastAsia"/>
              </w:rPr>
              <w:t>A</w:t>
            </w:r>
            <w:r>
              <w:rPr>
                <w:rFonts w:eastAsiaTheme="minorEastAsia"/>
              </w:rPr>
              <w:t>gree</w:t>
            </w:r>
          </w:p>
        </w:tc>
        <w:tc>
          <w:tcPr>
            <w:tcW w:w="6480" w:type="dxa"/>
          </w:tcPr>
          <w:p w14:paraId="19D31D22" w14:textId="455ABF0F" w:rsidR="005354AB" w:rsidRPr="00AD6225" w:rsidRDefault="00AD6225">
            <w:pPr>
              <w:rPr>
                <w:rFonts w:eastAsiaTheme="minorEastAsia"/>
              </w:rPr>
            </w:pPr>
            <w:r>
              <w:rPr>
                <w:rFonts w:eastAsiaTheme="minorEastAsia" w:hint="eastAsia"/>
              </w:rPr>
              <w:t>S</w:t>
            </w:r>
            <w:r>
              <w:rPr>
                <w:rFonts w:eastAsiaTheme="minorEastAsia"/>
              </w:rPr>
              <w:t>emi-static RRC configuration is enough.</w:t>
            </w:r>
          </w:p>
        </w:tc>
      </w:tr>
      <w:tr w:rsidR="00E26D0E" w14:paraId="19D31D27" w14:textId="77777777">
        <w:tc>
          <w:tcPr>
            <w:tcW w:w="1496" w:type="dxa"/>
          </w:tcPr>
          <w:p w14:paraId="19D31D24" w14:textId="7C07AABB" w:rsidR="00E26D0E" w:rsidRDefault="00E26D0E" w:rsidP="00E26D0E">
            <w:pPr>
              <w:rPr>
                <w:rFonts w:eastAsia="宋体"/>
                <w:lang w:val="en-US"/>
              </w:rPr>
            </w:pPr>
            <w:r>
              <w:rPr>
                <w:lang w:eastAsia="sv-SE"/>
              </w:rPr>
              <w:t>Nokia</w:t>
            </w:r>
          </w:p>
        </w:tc>
        <w:tc>
          <w:tcPr>
            <w:tcW w:w="1739" w:type="dxa"/>
          </w:tcPr>
          <w:p w14:paraId="19D31D25" w14:textId="4D2DB93A" w:rsidR="00E26D0E" w:rsidRDefault="00E26D0E" w:rsidP="00E26D0E">
            <w:pPr>
              <w:rPr>
                <w:rFonts w:eastAsia="宋体"/>
                <w:lang w:val="en-US"/>
              </w:rPr>
            </w:pPr>
            <w:r>
              <w:rPr>
                <w:lang w:eastAsia="sv-SE"/>
              </w:rPr>
              <w:t>Agree</w:t>
            </w:r>
          </w:p>
        </w:tc>
        <w:tc>
          <w:tcPr>
            <w:tcW w:w="6480" w:type="dxa"/>
          </w:tcPr>
          <w:p w14:paraId="19D31D26" w14:textId="77777777" w:rsidR="00E26D0E" w:rsidRDefault="00E26D0E" w:rsidP="00E26D0E">
            <w:pPr>
              <w:rPr>
                <w:rFonts w:eastAsiaTheme="minorEastAsia"/>
              </w:rPr>
            </w:pPr>
          </w:p>
        </w:tc>
      </w:tr>
      <w:tr w:rsidR="00E26D0E" w14:paraId="4414F1C6" w14:textId="77777777">
        <w:tc>
          <w:tcPr>
            <w:tcW w:w="1496" w:type="dxa"/>
          </w:tcPr>
          <w:p w14:paraId="129F39D9" w14:textId="77777777" w:rsidR="00E26D0E" w:rsidRDefault="00E26D0E">
            <w:pPr>
              <w:rPr>
                <w:rFonts w:eastAsia="宋体"/>
                <w:lang w:val="en-US"/>
              </w:rPr>
            </w:pPr>
          </w:p>
        </w:tc>
        <w:tc>
          <w:tcPr>
            <w:tcW w:w="1739" w:type="dxa"/>
          </w:tcPr>
          <w:p w14:paraId="017AE31F" w14:textId="77777777" w:rsidR="00E26D0E" w:rsidRDefault="00E26D0E">
            <w:pPr>
              <w:rPr>
                <w:rFonts w:eastAsia="宋体"/>
                <w:lang w:val="en-US"/>
              </w:rPr>
            </w:pPr>
          </w:p>
        </w:tc>
        <w:tc>
          <w:tcPr>
            <w:tcW w:w="6480" w:type="dxa"/>
          </w:tcPr>
          <w:p w14:paraId="6267D2F5" w14:textId="77777777" w:rsidR="00E26D0E" w:rsidRDefault="00E26D0E">
            <w:pPr>
              <w:rPr>
                <w:rFonts w:eastAsiaTheme="minorEastAsia"/>
              </w:rPr>
            </w:pPr>
          </w:p>
        </w:tc>
      </w:tr>
    </w:tbl>
    <w:p w14:paraId="19D31D28" w14:textId="77777777" w:rsidR="005354AB" w:rsidRDefault="005354AB">
      <w:pPr>
        <w:ind w:left="1440" w:hanging="1440"/>
      </w:pPr>
    </w:p>
    <w:p w14:paraId="19D31D29" w14:textId="77777777" w:rsidR="005354AB" w:rsidRDefault="00051901">
      <w:r>
        <w:t>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(e.g. for a high reliability HARQ process, NDI indicating new transmission before UE-</w:t>
      </w:r>
      <w:proofErr w:type="spellStart"/>
      <w:r>
        <w:t>gNB</w:t>
      </w:r>
      <w:proofErr w:type="spellEnd"/>
      <w:r>
        <w:t xml:space="preserve"> RTT, or for low-latency HARQ process NDI indicating retransmission after UE-</w:t>
      </w:r>
      <w:proofErr w:type="spellStart"/>
      <w:r>
        <w:t>gNB</w:t>
      </w:r>
      <w:proofErr w:type="spellEnd"/>
      <w:r>
        <w:t xml:space="preserve"> RTT). In this case, UE behaviour is to be determined.</w:t>
      </w:r>
    </w:p>
    <w:p w14:paraId="19D31D2A" w14:textId="77777777" w:rsidR="005354AB" w:rsidRDefault="00051901">
      <w:pPr>
        <w:ind w:left="1440" w:hanging="1440"/>
        <w:rPr>
          <w:b/>
          <w:bCs/>
        </w:rPr>
      </w:pPr>
      <w:r>
        <w:rPr>
          <w:b/>
          <w:lang w:eastAsia="sv-SE"/>
        </w:rPr>
        <w:t>Question 3:</w:t>
      </w:r>
      <w:r>
        <w:tab/>
      </w:r>
      <w:r>
        <w:rPr>
          <w:b/>
          <w:bCs/>
        </w:rPr>
        <w:t>If a HARQ process is configured with an UL HARQ retransmission state and UE receives grant with an unexpected NDI value (e.g. for a high reliability HARQ process, NDI indicating new transmission before UE-</w:t>
      </w:r>
      <w:proofErr w:type="spellStart"/>
      <w:r>
        <w:rPr>
          <w:b/>
          <w:bCs/>
        </w:rPr>
        <w:t>gNB</w:t>
      </w:r>
      <w:proofErr w:type="spellEnd"/>
      <w:r>
        <w:rPr>
          <w:b/>
          <w:bCs/>
        </w:rPr>
        <w:t xml:space="preserve"> RTT), what is preferred UE behaviour?</w:t>
      </w:r>
    </w:p>
    <w:p w14:paraId="19D31D2B"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0" w:name="OLE_LINK6"/>
      <w:bookmarkStart w:id="1" w:name="OLE_LINK7"/>
      <w:r>
        <w:rPr>
          <w:rFonts w:ascii="Arial" w:hAnsi="Arial" w:cs="Arial"/>
          <w:b/>
          <w:bCs/>
          <w:sz w:val="20"/>
          <w:szCs w:val="20"/>
          <w:lang w:val="en-GB"/>
        </w:rPr>
        <w:t>act as</w:t>
      </w:r>
      <w:bookmarkEnd w:id="0"/>
      <w:bookmarkEnd w:id="1"/>
      <w:r>
        <w:rPr>
          <w:rFonts w:ascii="Arial" w:hAnsi="Arial" w:cs="Arial"/>
          <w:b/>
          <w:bCs/>
          <w:sz w:val="20"/>
          <w:szCs w:val="20"/>
          <w:lang w:val="en-GB"/>
        </w:rPr>
        <w:t xml:space="preserve"> indicated in the grant/assignment (as in legacy);</w:t>
      </w:r>
    </w:p>
    <w:p w14:paraId="19D31D2C"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UE shall ignore UL grant;</w:t>
      </w:r>
    </w:p>
    <w:p w14:paraId="19D31D2D" w14:textId="77777777" w:rsidR="005354AB" w:rsidRDefault="00051901">
      <w:pPr>
        <w:pStyle w:val="ListParagraph"/>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等线"/>
              </w:rPr>
            </w:pPr>
            <w:r>
              <w:rPr>
                <w:rFonts w:eastAsiaTheme="minorEastAsia" w:hint="eastAsia"/>
              </w:rPr>
              <w:t>1</w:t>
            </w:r>
          </w:p>
        </w:tc>
        <w:tc>
          <w:tcPr>
            <w:tcW w:w="6480" w:type="dxa"/>
          </w:tcPr>
          <w:p w14:paraId="19D31D44" w14:textId="77777777" w:rsidR="005354AB" w:rsidRDefault="00051901">
            <w:pPr>
              <w:rPr>
                <w:rFonts w:eastAsia="等线"/>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等线"/>
              </w:rPr>
            </w:pPr>
            <w:r>
              <w:rPr>
                <w:lang w:eastAsia="sv-SE"/>
              </w:rPr>
              <w:t>Samsung</w:t>
            </w:r>
          </w:p>
        </w:tc>
        <w:tc>
          <w:tcPr>
            <w:tcW w:w="1739" w:type="dxa"/>
          </w:tcPr>
          <w:p w14:paraId="19D31D4B" w14:textId="77777777" w:rsidR="005354AB" w:rsidRDefault="00051901">
            <w:pPr>
              <w:rPr>
                <w:rFonts w:eastAsia="等线"/>
              </w:rPr>
            </w:pPr>
            <w:r>
              <w:rPr>
                <w:lang w:eastAsia="sv-SE"/>
              </w:rPr>
              <w:t>Option1 and see comments.</w:t>
            </w:r>
          </w:p>
        </w:tc>
        <w:tc>
          <w:tcPr>
            <w:tcW w:w="6480" w:type="dxa"/>
          </w:tcPr>
          <w:p w14:paraId="19D31D4C" w14:textId="77777777" w:rsidR="005354AB" w:rsidRDefault="00051901">
            <w:pPr>
              <w:rPr>
                <w:rFonts w:eastAsia="等线"/>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等线"/>
              </w:rPr>
              <w:t>Panasonic</w:t>
            </w:r>
          </w:p>
        </w:tc>
        <w:tc>
          <w:tcPr>
            <w:tcW w:w="1739" w:type="dxa"/>
          </w:tcPr>
          <w:p w14:paraId="19D31D4F" w14:textId="77777777" w:rsidR="005354AB" w:rsidRDefault="00051901">
            <w:pPr>
              <w:rPr>
                <w:rFonts w:eastAsiaTheme="minorEastAsia"/>
              </w:rPr>
            </w:pPr>
            <w:proofErr w:type="spellStart"/>
            <w:r>
              <w:rPr>
                <w:rFonts w:eastAsia="等线"/>
              </w:rPr>
              <w:t>Opttion</w:t>
            </w:r>
            <w:proofErr w:type="spellEnd"/>
            <w:r>
              <w:rPr>
                <w:rFonts w:eastAsia="等线"/>
              </w:rPr>
              <w:t xml:space="preserve"> 1</w:t>
            </w:r>
          </w:p>
        </w:tc>
        <w:tc>
          <w:tcPr>
            <w:tcW w:w="6480" w:type="dxa"/>
          </w:tcPr>
          <w:p w14:paraId="19D31D50" w14:textId="77777777" w:rsidR="005354AB" w:rsidRDefault="00051901">
            <w:pPr>
              <w:rPr>
                <w:rFonts w:eastAsiaTheme="minorEastAsia"/>
              </w:rPr>
            </w:pPr>
            <w:r>
              <w:rPr>
                <w:rFonts w:eastAsia="等线"/>
              </w:rPr>
              <w:t xml:space="preserve">UE can simply follow the </w:t>
            </w:r>
            <w:proofErr w:type="spellStart"/>
            <w:r>
              <w:rPr>
                <w:rFonts w:eastAsia="等线"/>
              </w:rPr>
              <w:t>instraction</w:t>
            </w:r>
            <w:proofErr w:type="spellEnd"/>
            <w:r>
              <w:rPr>
                <w:rFonts w:eastAsia="等线"/>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Malgun Gothic"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Malgun Gothic"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w:t>
            </w:r>
            <w:proofErr w:type="spellStart"/>
            <w:r>
              <w:rPr>
                <w:lang w:eastAsia="sv-SE"/>
              </w:rPr>
              <w:t>gNB</w:t>
            </w:r>
            <w:proofErr w:type="spellEnd"/>
            <w:r>
              <w:rPr>
                <w:lang w:eastAsia="sv-SE"/>
              </w:rPr>
              <w:t xml:space="preserve"> for example a DCI decoding error in UE, HARQ feedback decoding error in </w:t>
            </w:r>
            <w:proofErr w:type="spellStart"/>
            <w:r>
              <w:rPr>
                <w:lang w:eastAsia="sv-SE"/>
              </w:rPr>
              <w:lastRenderedPageBreak/>
              <w:t>gNB</w:t>
            </w:r>
            <w:proofErr w:type="spellEnd"/>
            <w:r>
              <w:rPr>
                <w:lang w:eastAsia="sv-SE"/>
              </w:rPr>
              <w:t xml:space="preserve">, DRX state mismatch between UE and </w:t>
            </w:r>
            <w:proofErr w:type="spellStart"/>
            <w:r>
              <w:rPr>
                <w:lang w:eastAsia="sv-SE"/>
              </w:rPr>
              <w:t>gNB</w:t>
            </w:r>
            <w:proofErr w:type="spellEnd"/>
            <w:r>
              <w:rPr>
                <w:lang w:eastAsia="sv-SE"/>
              </w:rPr>
              <w:t xml:space="preserve"> making the UE mis a 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等线"/>
              </w:rPr>
            </w:pPr>
            <w:r>
              <w:rPr>
                <w:rFonts w:eastAsia="等线"/>
              </w:rPr>
              <w:lastRenderedPageBreak/>
              <w:t>Apple</w:t>
            </w:r>
          </w:p>
        </w:tc>
        <w:tc>
          <w:tcPr>
            <w:tcW w:w="1739" w:type="dxa"/>
          </w:tcPr>
          <w:p w14:paraId="19D31D5D" w14:textId="77777777" w:rsidR="005354AB" w:rsidRDefault="00051901">
            <w:pPr>
              <w:rPr>
                <w:rFonts w:eastAsia="等线"/>
              </w:rPr>
            </w:pPr>
            <w:r>
              <w:rPr>
                <w:rFonts w:eastAsia="等线"/>
              </w:rPr>
              <w:t>Option 1</w:t>
            </w:r>
          </w:p>
        </w:tc>
        <w:tc>
          <w:tcPr>
            <w:tcW w:w="6480" w:type="dxa"/>
          </w:tcPr>
          <w:p w14:paraId="19D31D5E" w14:textId="77777777" w:rsidR="005354AB" w:rsidRDefault="00051901">
            <w:pPr>
              <w:rPr>
                <w:rFonts w:eastAsia="等线"/>
              </w:rPr>
            </w:pPr>
            <w:r>
              <w:rPr>
                <w:rFonts w:eastAsia="等线"/>
              </w:rPr>
              <w:t>Same view as mentioned by some of the other colleagues.</w:t>
            </w:r>
          </w:p>
        </w:tc>
      </w:tr>
      <w:tr w:rsidR="005354AB" w14:paraId="19D31D63" w14:textId="77777777">
        <w:tc>
          <w:tcPr>
            <w:tcW w:w="1496" w:type="dxa"/>
          </w:tcPr>
          <w:p w14:paraId="19D31D60" w14:textId="77777777" w:rsidR="005354AB" w:rsidRDefault="00051901">
            <w:pPr>
              <w:rPr>
                <w:rFonts w:eastAsia="宋体"/>
                <w:lang w:val="en-US" w:eastAsia="ko-KR"/>
              </w:rPr>
            </w:pPr>
            <w:r>
              <w:rPr>
                <w:rFonts w:eastAsia="宋体" w:hint="eastAsia"/>
                <w:lang w:val="en-US"/>
              </w:rPr>
              <w:t>ZTE</w:t>
            </w:r>
          </w:p>
        </w:tc>
        <w:tc>
          <w:tcPr>
            <w:tcW w:w="1739" w:type="dxa"/>
          </w:tcPr>
          <w:p w14:paraId="19D31D61" w14:textId="77777777" w:rsidR="005354AB" w:rsidRDefault="00051901">
            <w:pPr>
              <w:rPr>
                <w:rFonts w:eastAsia="等线"/>
                <w:lang w:val="en-US"/>
              </w:rPr>
            </w:pPr>
            <w:r>
              <w:rPr>
                <w:rFonts w:eastAsia="等线" w:hint="eastAsia"/>
                <w:lang w:val="en-US"/>
              </w:rPr>
              <w:t>Option 1</w:t>
            </w:r>
          </w:p>
        </w:tc>
        <w:tc>
          <w:tcPr>
            <w:tcW w:w="6480" w:type="dxa"/>
          </w:tcPr>
          <w:p w14:paraId="19D31D62" w14:textId="77777777" w:rsidR="005354AB" w:rsidRDefault="00051901">
            <w:pPr>
              <w:rPr>
                <w:rFonts w:eastAsia="等线"/>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Malgun Gothic"/>
                <w:lang w:eastAsia="ko-KR"/>
              </w:rPr>
            </w:pPr>
            <w:proofErr w:type="spellStart"/>
            <w:r>
              <w:rPr>
                <w:rFonts w:eastAsia="Malgun Gothic"/>
                <w:lang w:eastAsia="ko-KR"/>
              </w:rPr>
              <w:t>Qulcomm</w:t>
            </w:r>
            <w:proofErr w:type="spellEnd"/>
          </w:p>
        </w:tc>
        <w:tc>
          <w:tcPr>
            <w:tcW w:w="1739" w:type="dxa"/>
          </w:tcPr>
          <w:p w14:paraId="19D31D65" w14:textId="091AE4F7" w:rsidR="005354AB" w:rsidRDefault="00091920">
            <w:pPr>
              <w:rPr>
                <w:rFonts w:eastAsia="Malgun Gothic"/>
                <w:lang w:eastAsia="ko-KR"/>
              </w:rPr>
            </w:pPr>
            <w:r>
              <w:rPr>
                <w:rFonts w:eastAsia="Malgun Gothic"/>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w:t>
            </w:r>
            <w:r w:rsidRPr="00485B3B">
              <w:rPr>
                <w:highlight w:val="yellow"/>
                <w:lang w:eastAsia="ko-KR"/>
              </w:rPr>
              <w:t>is expected by the MAC entity</w:t>
            </w:r>
            <w:r w:rsidRPr="004E548E">
              <w:rPr>
                <w:lang w:eastAsia="ko-KR"/>
              </w:rPr>
              <w:t>;</w:t>
            </w:r>
          </w:p>
          <w:p w14:paraId="19D31D66" w14:textId="7B1B18D4" w:rsidR="00960FC9" w:rsidRDefault="00960FC9"/>
        </w:tc>
      </w:tr>
      <w:tr w:rsidR="005354AB" w14:paraId="19D31D6B" w14:textId="77777777">
        <w:tc>
          <w:tcPr>
            <w:tcW w:w="1496" w:type="dxa"/>
          </w:tcPr>
          <w:p w14:paraId="19D31D68" w14:textId="26606C72"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69" w14:textId="76DA3701" w:rsidR="005354AB" w:rsidRPr="00AD6225" w:rsidRDefault="00AD6225">
            <w:pPr>
              <w:rPr>
                <w:rFonts w:eastAsiaTheme="minorEastAsia"/>
              </w:rPr>
            </w:pPr>
            <w:r>
              <w:rPr>
                <w:rFonts w:eastAsiaTheme="minorEastAsia" w:hint="eastAsia"/>
              </w:rPr>
              <w:t>O</w:t>
            </w:r>
            <w:r>
              <w:rPr>
                <w:rFonts w:eastAsiaTheme="minorEastAsia"/>
              </w:rPr>
              <w:t>ption 1</w:t>
            </w:r>
          </w:p>
        </w:tc>
        <w:tc>
          <w:tcPr>
            <w:tcW w:w="6480" w:type="dxa"/>
          </w:tcPr>
          <w:p w14:paraId="19D31D6A" w14:textId="677E6F0C" w:rsidR="005354AB" w:rsidRDefault="00AD6225" w:rsidP="00125344">
            <w:pPr>
              <w:rPr>
                <w:lang w:eastAsia="sv-SE"/>
              </w:rPr>
            </w:pPr>
            <w:r>
              <w:rPr>
                <w:rFonts w:eastAsiaTheme="minorEastAsia"/>
              </w:rPr>
              <w:t xml:space="preserve">It’s up to </w:t>
            </w:r>
            <w:proofErr w:type="spellStart"/>
            <w:r>
              <w:rPr>
                <w:rFonts w:eastAsiaTheme="minorEastAsia"/>
              </w:rPr>
              <w:t>gNB</w:t>
            </w:r>
            <w:proofErr w:type="spellEnd"/>
            <w:r>
              <w:rPr>
                <w:rFonts w:eastAsiaTheme="minorEastAsia"/>
              </w:rPr>
              <w:t xml:space="preserve"> to schedule the uplink </w:t>
            </w:r>
            <w:r w:rsidR="00125344">
              <w:rPr>
                <w:rFonts w:eastAsiaTheme="minorEastAsia"/>
              </w:rPr>
              <w:t>tr</w:t>
            </w:r>
            <w:r>
              <w:rPr>
                <w:rFonts w:eastAsiaTheme="minorEastAsia"/>
              </w:rPr>
              <w:t>ansmission.</w:t>
            </w:r>
            <w:r w:rsidR="00125344">
              <w:rPr>
                <w:rFonts w:eastAsiaTheme="minorEastAsia"/>
              </w:rPr>
              <w:t xml:space="preserve"> If UE ignore the UL grant, it means UE is out of control of </w:t>
            </w:r>
            <w:proofErr w:type="spellStart"/>
            <w:r w:rsidR="00125344">
              <w:rPr>
                <w:rFonts w:eastAsiaTheme="minorEastAsia"/>
              </w:rPr>
              <w:t>gNB</w:t>
            </w:r>
            <w:proofErr w:type="spellEnd"/>
            <w:r w:rsidR="00125344">
              <w:rPr>
                <w:rFonts w:eastAsiaTheme="minorEastAsia"/>
              </w:rPr>
              <w:t>.</w:t>
            </w:r>
          </w:p>
        </w:tc>
      </w:tr>
      <w:tr w:rsidR="00E26D0E" w14:paraId="19D31D6F" w14:textId="77777777">
        <w:tc>
          <w:tcPr>
            <w:tcW w:w="1496" w:type="dxa"/>
          </w:tcPr>
          <w:p w14:paraId="19D31D6C" w14:textId="7FD2C842" w:rsidR="00E26D0E" w:rsidRDefault="00E26D0E" w:rsidP="00E26D0E">
            <w:pPr>
              <w:rPr>
                <w:rFonts w:eastAsia="宋体"/>
                <w:lang w:val="en-US"/>
              </w:rPr>
            </w:pPr>
            <w:r>
              <w:rPr>
                <w:lang w:eastAsia="sv-SE"/>
              </w:rPr>
              <w:t>Nokia</w:t>
            </w:r>
          </w:p>
        </w:tc>
        <w:tc>
          <w:tcPr>
            <w:tcW w:w="1739" w:type="dxa"/>
          </w:tcPr>
          <w:p w14:paraId="19D31D6D" w14:textId="545983A3" w:rsidR="00E26D0E" w:rsidRDefault="00E26D0E" w:rsidP="00E26D0E">
            <w:pPr>
              <w:rPr>
                <w:rFonts w:eastAsia="宋体"/>
                <w:lang w:val="en-US"/>
              </w:rPr>
            </w:pPr>
            <w:r>
              <w:rPr>
                <w:lang w:eastAsia="sv-SE"/>
              </w:rPr>
              <w:t>Option1</w:t>
            </w:r>
          </w:p>
        </w:tc>
        <w:tc>
          <w:tcPr>
            <w:tcW w:w="6480" w:type="dxa"/>
          </w:tcPr>
          <w:p w14:paraId="19D31D6E" w14:textId="091BE134" w:rsidR="00E26D0E" w:rsidRDefault="00E26D0E" w:rsidP="00E26D0E">
            <w:pPr>
              <w:rPr>
                <w:rFonts w:eastAsiaTheme="minorEastAsia"/>
              </w:rPr>
            </w:pPr>
            <w:r>
              <w:rPr>
                <w:lang w:eastAsia="sv-SE"/>
              </w:rPr>
              <w:t xml:space="preserve">In any case, UE shall follow the DCI grant for retransmission instead of the </w:t>
            </w:r>
            <w:proofErr w:type="spellStart"/>
            <w:r>
              <w:rPr>
                <w:lang w:eastAsia="sv-SE"/>
              </w:rPr>
              <w:t>the</w:t>
            </w:r>
            <w:proofErr w:type="spellEnd"/>
            <w:r>
              <w:rPr>
                <w:lang w:eastAsia="sv-SE"/>
              </w:rPr>
              <w:t xml:space="preserve"> UL retransmission state. It is NW implementation to guarantee the alignment between DCI grant and RRC indicated </w:t>
            </w:r>
            <w:proofErr w:type="spellStart"/>
            <w:r>
              <w:rPr>
                <w:lang w:eastAsia="sv-SE"/>
              </w:rPr>
              <w:t>retx</w:t>
            </w:r>
            <w:proofErr w:type="spellEnd"/>
            <w:r>
              <w:rPr>
                <w:lang w:eastAsia="sv-SE"/>
              </w:rPr>
              <w:t xml:space="preserve"> state. </w:t>
            </w:r>
          </w:p>
        </w:tc>
      </w:tr>
      <w:tr w:rsidR="00E26D0E" w14:paraId="30F271AD" w14:textId="77777777">
        <w:tc>
          <w:tcPr>
            <w:tcW w:w="1496" w:type="dxa"/>
          </w:tcPr>
          <w:p w14:paraId="215C6378" w14:textId="77777777" w:rsidR="00E26D0E" w:rsidRDefault="00E26D0E">
            <w:pPr>
              <w:rPr>
                <w:rFonts w:eastAsia="宋体"/>
                <w:lang w:val="en-US"/>
              </w:rPr>
            </w:pPr>
          </w:p>
        </w:tc>
        <w:tc>
          <w:tcPr>
            <w:tcW w:w="1739" w:type="dxa"/>
          </w:tcPr>
          <w:p w14:paraId="7060C3D0" w14:textId="77777777" w:rsidR="00E26D0E" w:rsidRDefault="00E26D0E">
            <w:pPr>
              <w:rPr>
                <w:rFonts w:eastAsia="宋体"/>
                <w:lang w:val="en-US"/>
              </w:rPr>
            </w:pPr>
          </w:p>
        </w:tc>
        <w:tc>
          <w:tcPr>
            <w:tcW w:w="6480" w:type="dxa"/>
          </w:tcPr>
          <w:p w14:paraId="4B44FEDE" w14:textId="77777777" w:rsidR="00E26D0E" w:rsidRDefault="00E26D0E">
            <w:pPr>
              <w:rPr>
                <w:rFonts w:eastAsiaTheme="minorEastAsia"/>
              </w:rPr>
            </w:pPr>
          </w:p>
        </w:tc>
      </w:tr>
    </w:tbl>
    <w:p w14:paraId="19D31D70" w14:textId="77777777" w:rsidR="005354AB" w:rsidRDefault="005354AB">
      <w:pPr>
        <w:ind w:left="1440" w:hanging="1440"/>
      </w:pPr>
    </w:p>
    <w:p w14:paraId="19D31D71" w14:textId="77777777" w:rsidR="005354AB" w:rsidRDefault="00051901">
      <w:r>
        <w:t>In RAN2#114e, a compromise proposal was suggested by the vice chair which allows both semi-</w:t>
      </w:r>
      <w:proofErr w:type="spellStart"/>
      <w:r>
        <w:t>staitc</w:t>
      </w:r>
      <w:proofErr w:type="spellEnd"/>
      <w:r>
        <w:t xml:space="preserve"> configuration of HARQ process(es) and legacy behaviour via configuration. In [AT114-e][103][NTN]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(i.e. as in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等线"/>
              </w:rPr>
            </w:pPr>
          </w:p>
        </w:tc>
        <w:tc>
          <w:tcPr>
            <w:tcW w:w="6480" w:type="dxa"/>
          </w:tcPr>
          <w:p w14:paraId="19D31D89" w14:textId="77777777" w:rsidR="005354AB" w:rsidRDefault="00051901">
            <w:pPr>
              <w:rPr>
                <w:rFonts w:eastAsia="等线"/>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等线"/>
              </w:rPr>
            </w:pPr>
            <w:r>
              <w:rPr>
                <w:lang w:eastAsia="sv-SE"/>
              </w:rPr>
              <w:lastRenderedPageBreak/>
              <w:t>Samsung</w:t>
            </w:r>
          </w:p>
        </w:tc>
        <w:tc>
          <w:tcPr>
            <w:tcW w:w="1739" w:type="dxa"/>
          </w:tcPr>
          <w:p w14:paraId="19D31D90" w14:textId="77777777" w:rsidR="005354AB" w:rsidRDefault="00051901">
            <w:pPr>
              <w:rPr>
                <w:rFonts w:eastAsia="等线"/>
              </w:rPr>
            </w:pPr>
            <w:r>
              <w:rPr>
                <w:lang w:eastAsia="sv-SE"/>
              </w:rPr>
              <w:t>Agree, but see comments.</w:t>
            </w:r>
          </w:p>
        </w:tc>
        <w:tc>
          <w:tcPr>
            <w:tcW w:w="6480" w:type="dxa"/>
          </w:tcPr>
          <w:p w14:paraId="19D31D91" w14:textId="77777777" w:rsidR="005354AB" w:rsidRDefault="00051901">
            <w:pPr>
              <w:rPr>
                <w:rFonts w:eastAsia="等线"/>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等线"/>
              </w:rPr>
              <w:t>Panasonic</w:t>
            </w:r>
          </w:p>
        </w:tc>
        <w:tc>
          <w:tcPr>
            <w:tcW w:w="1739" w:type="dxa"/>
          </w:tcPr>
          <w:p w14:paraId="19D31D94" w14:textId="77777777" w:rsidR="005354AB" w:rsidRDefault="00051901">
            <w:pPr>
              <w:rPr>
                <w:rFonts w:eastAsiaTheme="minorEastAsia"/>
              </w:rPr>
            </w:pPr>
            <w:r>
              <w:rPr>
                <w:rFonts w:eastAsia="等线"/>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Malgun Gothic" w:hint="eastAsia"/>
                <w:lang w:eastAsia="ko-KR"/>
              </w:rPr>
              <w:t>LG</w:t>
            </w:r>
          </w:p>
        </w:tc>
        <w:tc>
          <w:tcPr>
            <w:tcW w:w="1739" w:type="dxa"/>
          </w:tcPr>
          <w:p w14:paraId="19D31D98" w14:textId="77777777" w:rsidR="005354AB" w:rsidRDefault="00051901">
            <w:pPr>
              <w:rPr>
                <w:rFonts w:eastAsiaTheme="minorEastAsia"/>
              </w:rPr>
            </w:pPr>
            <w:r>
              <w:rPr>
                <w:rFonts w:eastAsia="Malgun Gothic"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Malgun Gothic"/>
                <w:lang w:eastAsia="ko-KR"/>
              </w:rPr>
            </w:pPr>
            <w:r>
              <w:rPr>
                <w:rFonts w:eastAsia="Malgun Gothic"/>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宋体"/>
                <w:lang w:val="en-US" w:eastAsia="ko-KR"/>
              </w:rPr>
            </w:pPr>
            <w:r>
              <w:rPr>
                <w:rFonts w:eastAsia="宋体" w:hint="eastAsia"/>
                <w:lang w:val="en-US"/>
              </w:rPr>
              <w:t>ZTE</w:t>
            </w:r>
          </w:p>
        </w:tc>
        <w:tc>
          <w:tcPr>
            <w:tcW w:w="1739" w:type="dxa"/>
          </w:tcPr>
          <w:p w14:paraId="19D31DA4" w14:textId="77777777" w:rsidR="005354AB" w:rsidRDefault="00051901">
            <w:pPr>
              <w:rPr>
                <w:rFonts w:eastAsia="等线"/>
                <w:lang w:val="en-US" w:eastAsia="ko-KR"/>
              </w:rPr>
            </w:pPr>
            <w:r>
              <w:rPr>
                <w:rFonts w:eastAsia="等线" w:hint="eastAsia"/>
                <w:lang w:val="en-US"/>
              </w:rPr>
              <w:t>Agree</w:t>
            </w:r>
          </w:p>
        </w:tc>
        <w:tc>
          <w:tcPr>
            <w:tcW w:w="6480" w:type="dxa"/>
          </w:tcPr>
          <w:p w14:paraId="19D31DA5" w14:textId="77777777" w:rsidR="005354AB" w:rsidRDefault="005354AB">
            <w:pPr>
              <w:rPr>
                <w:rFonts w:eastAsia="等线"/>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r>
              <w:rPr>
                <w:b/>
                <w:bCs/>
              </w:rPr>
              <w:t xml:space="preserve">if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23A49181" w:rsidR="005354AB" w:rsidRDefault="00ED6CFB">
            <w:pPr>
              <w:rPr>
                <w:rFonts w:eastAsia="宋体"/>
                <w:lang w:val="en-US"/>
              </w:rPr>
            </w:pPr>
            <w:proofErr w:type="spellStart"/>
            <w:r>
              <w:rPr>
                <w:rFonts w:eastAsia="宋体" w:hint="eastAsia"/>
                <w:lang w:val="en-US"/>
              </w:rPr>
              <w:t>S</w:t>
            </w:r>
            <w:r>
              <w:rPr>
                <w:rFonts w:eastAsia="宋体"/>
                <w:lang w:val="en-US"/>
              </w:rPr>
              <w:t>preadtrum</w:t>
            </w:r>
            <w:proofErr w:type="spellEnd"/>
          </w:p>
        </w:tc>
        <w:tc>
          <w:tcPr>
            <w:tcW w:w="1739" w:type="dxa"/>
          </w:tcPr>
          <w:p w14:paraId="19D31DAC" w14:textId="432F362A" w:rsidR="005354AB" w:rsidRDefault="00ED6CFB">
            <w:pPr>
              <w:rPr>
                <w:rFonts w:eastAsia="宋体"/>
                <w:lang w:val="en-US"/>
              </w:rPr>
            </w:pPr>
            <w:r>
              <w:rPr>
                <w:rFonts w:eastAsia="宋体"/>
                <w:lang w:val="en-US"/>
              </w:rPr>
              <w:t>Agree</w:t>
            </w:r>
          </w:p>
        </w:tc>
        <w:tc>
          <w:tcPr>
            <w:tcW w:w="6480" w:type="dxa"/>
          </w:tcPr>
          <w:p w14:paraId="19D31DAD" w14:textId="77777777" w:rsidR="005354AB" w:rsidRDefault="005354AB">
            <w:pPr>
              <w:rPr>
                <w:rFonts w:eastAsiaTheme="minorEastAsia"/>
              </w:rPr>
            </w:pPr>
          </w:p>
        </w:tc>
      </w:tr>
      <w:tr w:rsidR="00E26D0E" w14:paraId="67B62C4A" w14:textId="77777777">
        <w:tc>
          <w:tcPr>
            <w:tcW w:w="1496" w:type="dxa"/>
          </w:tcPr>
          <w:p w14:paraId="6664A1E6" w14:textId="55434B01" w:rsidR="00E26D0E" w:rsidRDefault="00E26D0E" w:rsidP="00E26D0E">
            <w:pPr>
              <w:rPr>
                <w:rFonts w:eastAsia="宋体" w:hint="eastAsia"/>
                <w:lang w:val="en-US"/>
              </w:rPr>
            </w:pPr>
            <w:r>
              <w:rPr>
                <w:lang w:eastAsia="sv-SE"/>
              </w:rPr>
              <w:t>Nokia</w:t>
            </w:r>
          </w:p>
        </w:tc>
        <w:tc>
          <w:tcPr>
            <w:tcW w:w="1739" w:type="dxa"/>
          </w:tcPr>
          <w:p w14:paraId="3DA3DCB5" w14:textId="11A13D55" w:rsidR="00E26D0E" w:rsidRDefault="00E26D0E" w:rsidP="00E26D0E">
            <w:pPr>
              <w:rPr>
                <w:rFonts w:eastAsia="宋体"/>
                <w:lang w:val="en-US"/>
              </w:rPr>
            </w:pPr>
            <w:r>
              <w:rPr>
                <w:lang w:eastAsia="sv-SE"/>
              </w:rPr>
              <w:t>Agree</w:t>
            </w:r>
          </w:p>
        </w:tc>
        <w:tc>
          <w:tcPr>
            <w:tcW w:w="6480" w:type="dxa"/>
          </w:tcPr>
          <w:p w14:paraId="5256D1A9" w14:textId="77777777" w:rsidR="00E26D0E" w:rsidRDefault="00E26D0E" w:rsidP="00E26D0E">
            <w:pPr>
              <w:rPr>
                <w:rFonts w:eastAsiaTheme="minorEastAsia"/>
              </w:rPr>
            </w:pPr>
          </w:p>
        </w:tc>
      </w:tr>
    </w:tbl>
    <w:p w14:paraId="19D31DAF" w14:textId="77777777" w:rsidR="005354AB" w:rsidRDefault="005354AB"/>
    <w:p w14:paraId="19D31DB0" w14:textId="77777777" w:rsidR="005354AB" w:rsidRDefault="00051901">
      <w:pPr>
        <w:pStyle w:val="Heading2"/>
      </w:pPr>
      <w:r>
        <w:t>Details of new mapping restriction</w:t>
      </w:r>
    </w:p>
    <w:p w14:paraId="19D31DB1" w14:textId="77777777" w:rsidR="005354AB" w:rsidRDefault="00051901">
      <w:r>
        <w:t>From the agreement in RAN2#115e, it is currently FFS how an LCH is mapped to one or more HARQ process(es):</w:t>
      </w:r>
    </w:p>
    <w:p w14:paraId="19D31DB2" w14:textId="77777777" w:rsidR="005354AB" w:rsidRDefault="00051901">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w:t>
      </w:r>
      <w:proofErr w:type="gramStart"/>
      <w:r>
        <w:t>general</w:t>
      </w:r>
      <w:proofErr w:type="gramEnd"/>
      <w:r>
        <w:t xml:space="preserve"> there are two methods proposed to map LCH to one or more HARQ process(es): directly to a HARQ process, or indirectly via mapping to an UL HARQ retransmission state. A simplified example of each can be seen below:</w:t>
      </w:r>
    </w:p>
    <w:p w14:paraId="19D31DB4" w14:textId="77777777" w:rsidR="005354AB" w:rsidRDefault="00051901">
      <w:r>
        <w:rPr>
          <w:noProof/>
          <w:lang w:val="en-US"/>
        </w:rPr>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process(es).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QoS requirements, the UE will be prevented from multiplexing data from that LCH due to the LCP restriction. </w:t>
      </w:r>
    </w:p>
    <w:p w14:paraId="19D31DB7" w14:textId="77777777" w:rsidR="005354AB" w:rsidRDefault="00051901">
      <w:r>
        <w:lastRenderedPageBreak/>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w:t>
      </w:r>
      <w:proofErr w:type="spellStart"/>
      <w:r>
        <w:t>fo</w:t>
      </w:r>
      <w:proofErr w:type="spellEnd"/>
      <w:r>
        <w:t xml:space="preserve"> </w:t>
      </w:r>
      <w:proofErr w:type="spellStart"/>
      <w:r>
        <w:rPr>
          <w:i/>
          <w:iCs/>
        </w:rPr>
        <w:t>drx</w:t>
      </w:r>
      <w:proofErr w:type="spellEnd"/>
      <w:r>
        <w:rPr>
          <w:i/>
          <w:iCs/>
        </w:rPr>
        <w:t>-HARQ-RTT-</w:t>
      </w:r>
      <w:proofErr w:type="spellStart"/>
      <w:r>
        <w:rPr>
          <w:i/>
          <w:iCs/>
        </w:rPr>
        <w:t>TimerUL</w:t>
      </w:r>
      <w:proofErr w:type="spellEnd"/>
      <w:r>
        <w:t>).</w:t>
      </w:r>
    </w:p>
    <w:p w14:paraId="19D31DB8" w14:textId="77777777" w:rsidR="005354AB" w:rsidRDefault="00051901">
      <w:pPr>
        <w:ind w:left="1440" w:hanging="1440"/>
        <w:rPr>
          <w:b/>
          <w:bCs/>
        </w:rPr>
      </w:pPr>
      <w:r>
        <w:rPr>
          <w:b/>
          <w:lang w:eastAsia="sv-SE"/>
        </w:rPr>
        <w:t>Question 5:</w:t>
      </w:r>
      <w:r>
        <w:tab/>
      </w:r>
      <w:r>
        <w:rPr>
          <w:b/>
          <w:bCs/>
        </w:rPr>
        <w:t>Which of the following methods do you support for new mapping rule?:</w:t>
      </w:r>
    </w:p>
    <w:p w14:paraId="19D31DB9"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14:paraId="19D31DBA"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only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等线"/>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等线"/>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等线"/>
              </w:rPr>
            </w:pPr>
            <w:r>
              <w:rPr>
                <w:lang w:eastAsia="sv-SE"/>
              </w:rPr>
              <w:t>Samsung</w:t>
            </w:r>
          </w:p>
        </w:tc>
        <w:tc>
          <w:tcPr>
            <w:tcW w:w="1739" w:type="dxa"/>
          </w:tcPr>
          <w:p w14:paraId="19D31DDB" w14:textId="77777777" w:rsidR="005354AB" w:rsidRDefault="00051901">
            <w:pPr>
              <w:rPr>
                <w:rFonts w:eastAsia="等线"/>
              </w:rPr>
            </w:pPr>
            <w:r>
              <w:rPr>
                <w:lang w:eastAsia="sv-SE"/>
              </w:rPr>
              <w:t>Option1</w:t>
            </w:r>
          </w:p>
        </w:tc>
        <w:tc>
          <w:tcPr>
            <w:tcW w:w="6480" w:type="dxa"/>
          </w:tcPr>
          <w:p w14:paraId="19D31DDC" w14:textId="77777777" w:rsidR="005354AB" w:rsidRDefault="00051901">
            <w:pPr>
              <w:rPr>
                <w:rFonts w:eastAsia="等线"/>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等线"/>
              </w:rPr>
              <w:t>Panasonic</w:t>
            </w:r>
          </w:p>
        </w:tc>
        <w:tc>
          <w:tcPr>
            <w:tcW w:w="1739" w:type="dxa"/>
          </w:tcPr>
          <w:p w14:paraId="19D31DDF" w14:textId="77777777" w:rsidR="005354AB" w:rsidRDefault="00051901">
            <w:pPr>
              <w:rPr>
                <w:rFonts w:eastAsiaTheme="minorEastAsia"/>
              </w:rPr>
            </w:pPr>
            <w:r>
              <w:rPr>
                <w:rFonts w:eastAsia="等线"/>
              </w:rPr>
              <w:t>Option 2</w:t>
            </w:r>
          </w:p>
        </w:tc>
        <w:tc>
          <w:tcPr>
            <w:tcW w:w="6480" w:type="dxa"/>
          </w:tcPr>
          <w:p w14:paraId="19D31DE0" w14:textId="77777777" w:rsidR="005354AB" w:rsidRDefault="00051901">
            <w:pPr>
              <w:rPr>
                <w:rFonts w:eastAsiaTheme="minorEastAsia"/>
              </w:rPr>
            </w:pPr>
            <w:r>
              <w:rPr>
                <w:rFonts w:eastAsia="等线"/>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Malgun Gothic" w:hint="eastAsia"/>
                <w:lang w:eastAsia="ko-KR"/>
              </w:rPr>
              <w:t>LG</w:t>
            </w:r>
          </w:p>
        </w:tc>
        <w:tc>
          <w:tcPr>
            <w:tcW w:w="1739" w:type="dxa"/>
          </w:tcPr>
          <w:p w14:paraId="19D31DE3" w14:textId="77777777" w:rsidR="005354AB" w:rsidRDefault="00051901">
            <w:pPr>
              <w:rPr>
                <w:rFonts w:eastAsiaTheme="minorEastAsia"/>
              </w:rPr>
            </w:pPr>
            <w:r>
              <w:rPr>
                <w:rFonts w:eastAsia="Malgun Gothic" w:hint="eastAsia"/>
                <w:lang w:eastAsia="ko-KR"/>
              </w:rPr>
              <w:t>Option 1</w:t>
            </w:r>
          </w:p>
        </w:tc>
        <w:tc>
          <w:tcPr>
            <w:tcW w:w="6480" w:type="dxa"/>
          </w:tcPr>
          <w:p w14:paraId="19D31DE4" w14:textId="77777777" w:rsidR="005354AB" w:rsidRDefault="00051901">
            <w:pPr>
              <w:rPr>
                <w:rFonts w:eastAsiaTheme="minorEastAsia"/>
              </w:rPr>
            </w:pPr>
            <w:r>
              <w:rPr>
                <w:rFonts w:eastAsia="Malgun Gothic" w:hint="eastAsia"/>
                <w:lang w:eastAsia="ko-KR"/>
              </w:rPr>
              <w:t>Option 1 is simpler than Option 2</w:t>
            </w:r>
            <w:r>
              <w:rPr>
                <w:rFonts w:eastAsia="Malgun Gothic"/>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Probably there will only be two HARQ processes that are reused before a full HARQ RTT has elapsed. Thus either we do “2” or we can do</w:t>
            </w:r>
          </w:p>
          <w:p w14:paraId="19D31DE9" w14:textId="77777777" w:rsidR="005354AB" w:rsidRDefault="00051901">
            <w:pPr>
              <w:rPr>
                <w:lang w:eastAsia="sv-SE"/>
              </w:rPr>
            </w:pPr>
            <w:r>
              <w:rPr>
                <w:lang w:eastAsia="sv-SE"/>
              </w:rPr>
              <w:t xml:space="preserve">“Option 3 other: An LCH can optionally be mapped to one or more forbidden HARQ process(es)” </w:t>
            </w:r>
          </w:p>
          <w:p w14:paraId="19D31DEA" w14:textId="77777777" w:rsidR="005354AB" w:rsidRDefault="00051901">
            <w:pPr>
              <w:rPr>
                <w:lang w:eastAsia="sv-SE"/>
              </w:rPr>
            </w:pPr>
            <w:r>
              <w:rPr>
                <w:lang w:eastAsia="sv-SE"/>
              </w:rPr>
              <w:t xml:space="preserve">because “1” will require a longer list of </w:t>
            </w:r>
            <w:proofErr w:type="gramStart"/>
            <w:r>
              <w:rPr>
                <w:lang w:eastAsia="sv-SE"/>
              </w:rPr>
              <w:t>HP</w:t>
            </w:r>
            <w:proofErr w:type="gramEnd"/>
            <w:r>
              <w:rPr>
                <w:lang w:eastAsia="sv-SE"/>
              </w:rPr>
              <w:t xml:space="preserve">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等线"/>
              </w:rPr>
            </w:pPr>
            <w:r>
              <w:rPr>
                <w:rFonts w:eastAsia="等线"/>
              </w:rPr>
              <w:t>Apple</w:t>
            </w:r>
          </w:p>
        </w:tc>
        <w:tc>
          <w:tcPr>
            <w:tcW w:w="1739" w:type="dxa"/>
          </w:tcPr>
          <w:p w14:paraId="19D31DEE" w14:textId="77777777" w:rsidR="005354AB" w:rsidRDefault="00051901">
            <w:pPr>
              <w:rPr>
                <w:rFonts w:eastAsia="等线"/>
              </w:rPr>
            </w:pPr>
            <w:r>
              <w:rPr>
                <w:rFonts w:eastAsia="等线"/>
              </w:rPr>
              <w:t>Option 2</w:t>
            </w:r>
          </w:p>
        </w:tc>
        <w:tc>
          <w:tcPr>
            <w:tcW w:w="6480" w:type="dxa"/>
          </w:tcPr>
          <w:p w14:paraId="19D31DEF" w14:textId="77777777" w:rsidR="005354AB" w:rsidRDefault="00051901">
            <w:pPr>
              <w:rPr>
                <w:rFonts w:eastAsia="等线"/>
              </w:rPr>
            </w:pPr>
            <w:r>
              <w:rPr>
                <w:rFonts w:eastAsia="等线"/>
              </w:rPr>
              <w:t>Prefer this for the flexibility it provides.</w:t>
            </w:r>
          </w:p>
        </w:tc>
      </w:tr>
      <w:tr w:rsidR="005354AB" w14:paraId="19D31DF4" w14:textId="77777777">
        <w:tc>
          <w:tcPr>
            <w:tcW w:w="1496" w:type="dxa"/>
          </w:tcPr>
          <w:p w14:paraId="19D31DF1" w14:textId="77777777" w:rsidR="005354AB" w:rsidRDefault="00051901">
            <w:pPr>
              <w:rPr>
                <w:rFonts w:eastAsia="宋体"/>
                <w:lang w:val="en-US" w:eastAsia="ko-KR"/>
              </w:rPr>
            </w:pPr>
            <w:r>
              <w:rPr>
                <w:rFonts w:eastAsia="宋体" w:hint="eastAsia"/>
                <w:lang w:val="en-US"/>
              </w:rPr>
              <w:t>ZTE</w:t>
            </w:r>
          </w:p>
        </w:tc>
        <w:tc>
          <w:tcPr>
            <w:tcW w:w="1739" w:type="dxa"/>
          </w:tcPr>
          <w:p w14:paraId="19D31DF2" w14:textId="77777777" w:rsidR="005354AB" w:rsidRDefault="005354AB">
            <w:pPr>
              <w:rPr>
                <w:rFonts w:eastAsia="等线"/>
                <w:lang w:val="en-US"/>
              </w:rPr>
            </w:pPr>
          </w:p>
        </w:tc>
        <w:tc>
          <w:tcPr>
            <w:tcW w:w="6480" w:type="dxa"/>
          </w:tcPr>
          <w:p w14:paraId="19D31DF3" w14:textId="77777777" w:rsidR="005354AB" w:rsidRDefault="00051901">
            <w:pPr>
              <w:rPr>
                <w:rFonts w:eastAsia="等线"/>
                <w:lang w:val="en-US"/>
              </w:rPr>
            </w:pPr>
            <w:r>
              <w:rPr>
                <w:rFonts w:eastAsia="等线"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Malgun Gothic"/>
                <w:lang w:eastAsia="ko-KR"/>
              </w:rPr>
            </w:pPr>
            <w:r>
              <w:rPr>
                <w:rFonts w:eastAsia="Malgun Gothic"/>
                <w:lang w:eastAsia="ko-KR"/>
              </w:rPr>
              <w:t>Qualcomm</w:t>
            </w:r>
          </w:p>
        </w:tc>
        <w:tc>
          <w:tcPr>
            <w:tcW w:w="1739" w:type="dxa"/>
          </w:tcPr>
          <w:p w14:paraId="19D31DF6" w14:textId="391751B1" w:rsidR="005354AB" w:rsidRDefault="00317E7E">
            <w:pPr>
              <w:rPr>
                <w:rFonts w:eastAsia="Malgun Gothic"/>
                <w:lang w:eastAsia="ko-KR"/>
              </w:rPr>
            </w:pPr>
            <w:r>
              <w:rPr>
                <w:rFonts w:eastAsia="Malgun Gothic"/>
                <w:lang w:eastAsia="ko-KR"/>
              </w:rPr>
              <w:t xml:space="preserve">Option </w:t>
            </w:r>
            <w:r w:rsidR="00C65406">
              <w:rPr>
                <w:rFonts w:eastAsia="Malgun Gothic"/>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process ID to HARQ process group is needed.</w:t>
            </w:r>
          </w:p>
        </w:tc>
      </w:tr>
      <w:tr w:rsidR="005354AB" w14:paraId="19D31DFC" w14:textId="77777777">
        <w:tc>
          <w:tcPr>
            <w:tcW w:w="1496" w:type="dxa"/>
          </w:tcPr>
          <w:p w14:paraId="19D31DF9" w14:textId="275C4A67" w:rsidR="005354AB"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FA" w14:textId="48079DE1" w:rsidR="005354AB"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19D31DFB" w14:textId="2CC6DF5E" w:rsidR="005354AB" w:rsidRPr="00DC2019" w:rsidRDefault="00DC2019" w:rsidP="00A834CF">
            <w:pPr>
              <w:rPr>
                <w:rFonts w:eastAsiaTheme="minorEastAsia"/>
              </w:rPr>
            </w:pPr>
            <w:r>
              <w:rPr>
                <w:rFonts w:eastAsiaTheme="minorEastAsia"/>
              </w:rPr>
              <w:t xml:space="preserve">Option 2 is simple. The </w:t>
            </w:r>
            <w:r w:rsidR="00EE66EC">
              <w:rPr>
                <w:rFonts w:eastAsiaTheme="minorEastAsia"/>
              </w:rPr>
              <w:t xml:space="preserve">mapping between HARQ process and </w:t>
            </w:r>
            <w:r>
              <w:rPr>
                <w:rFonts w:eastAsiaTheme="minorEastAsia"/>
              </w:rPr>
              <w:t>HARQ retransmission state is an independent issue.</w:t>
            </w:r>
          </w:p>
        </w:tc>
      </w:tr>
      <w:tr w:rsidR="00E26D0E" w14:paraId="19D31E00" w14:textId="77777777">
        <w:tc>
          <w:tcPr>
            <w:tcW w:w="1496" w:type="dxa"/>
          </w:tcPr>
          <w:p w14:paraId="19D31DFD" w14:textId="05A0E217" w:rsidR="00E26D0E" w:rsidRDefault="00E26D0E" w:rsidP="00E26D0E">
            <w:pPr>
              <w:rPr>
                <w:rFonts w:eastAsia="宋体"/>
                <w:lang w:val="en-US"/>
              </w:rPr>
            </w:pPr>
            <w:r>
              <w:rPr>
                <w:lang w:eastAsia="sv-SE"/>
              </w:rPr>
              <w:lastRenderedPageBreak/>
              <w:t>Nokia</w:t>
            </w:r>
          </w:p>
        </w:tc>
        <w:tc>
          <w:tcPr>
            <w:tcW w:w="1739" w:type="dxa"/>
          </w:tcPr>
          <w:p w14:paraId="19D31DFE" w14:textId="080E40CF" w:rsidR="00E26D0E" w:rsidRDefault="00E26D0E" w:rsidP="00E26D0E">
            <w:pPr>
              <w:rPr>
                <w:rFonts w:eastAsia="宋体"/>
                <w:lang w:val="en-US"/>
              </w:rPr>
            </w:pPr>
            <w:r>
              <w:rPr>
                <w:lang w:eastAsia="sv-SE"/>
              </w:rPr>
              <w:t>Option2</w:t>
            </w:r>
          </w:p>
        </w:tc>
        <w:tc>
          <w:tcPr>
            <w:tcW w:w="6480" w:type="dxa"/>
          </w:tcPr>
          <w:p w14:paraId="19D31DFF" w14:textId="25D8FE5F" w:rsidR="00E26D0E" w:rsidRDefault="00E26D0E" w:rsidP="00E26D0E">
            <w:pPr>
              <w:rPr>
                <w:rFonts w:eastAsiaTheme="minorEastAsia"/>
              </w:rPr>
            </w:pPr>
            <w:r>
              <w:rPr>
                <w:lang w:eastAsia="sv-SE"/>
              </w:rPr>
              <w:t>We think both Option1 and Option2 can work for LCP. However, Option2 is necessary for DRX setting.</w:t>
            </w:r>
          </w:p>
        </w:tc>
      </w:tr>
    </w:tbl>
    <w:p w14:paraId="19D31E01" w14:textId="77777777" w:rsidR="005354AB" w:rsidRDefault="005354AB">
      <w:pPr>
        <w:ind w:left="1440" w:hanging="1440"/>
      </w:pPr>
    </w:p>
    <w:p w14:paraId="19D31E02" w14:textId="77777777" w:rsidR="005354AB" w:rsidRDefault="00051901">
      <w:r>
        <w:t xml:space="preserve">In the agreement from RAN2#115e, it is also stated that if no RRC configuration is provided (i.e.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14:paraId="19D31E04" w14:textId="77777777" w:rsidR="005354AB" w:rsidRDefault="00051901">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等线"/>
              </w:rPr>
            </w:pPr>
            <w:r>
              <w:rPr>
                <w:rFonts w:eastAsiaTheme="minorEastAsia"/>
              </w:rPr>
              <w:t>Yes</w:t>
            </w:r>
          </w:p>
        </w:tc>
        <w:tc>
          <w:tcPr>
            <w:tcW w:w="6480" w:type="dxa"/>
          </w:tcPr>
          <w:p w14:paraId="19D31E1C" w14:textId="77777777" w:rsidR="005354AB" w:rsidRDefault="00051901">
            <w:pPr>
              <w:rPr>
                <w:rFonts w:eastAsia="等线"/>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等线"/>
              </w:rPr>
            </w:pPr>
            <w:r>
              <w:rPr>
                <w:lang w:eastAsia="sv-SE"/>
              </w:rPr>
              <w:t>Samsung</w:t>
            </w:r>
          </w:p>
        </w:tc>
        <w:tc>
          <w:tcPr>
            <w:tcW w:w="1739" w:type="dxa"/>
          </w:tcPr>
          <w:p w14:paraId="19D31E23" w14:textId="77777777" w:rsidR="005354AB" w:rsidRDefault="00051901">
            <w:pPr>
              <w:rPr>
                <w:rFonts w:eastAsia="等线"/>
              </w:rPr>
            </w:pPr>
            <w:r>
              <w:rPr>
                <w:lang w:eastAsia="sv-SE"/>
              </w:rPr>
              <w:t>Disagree</w:t>
            </w:r>
          </w:p>
        </w:tc>
        <w:tc>
          <w:tcPr>
            <w:tcW w:w="6480" w:type="dxa"/>
          </w:tcPr>
          <w:p w14:paraId="19D31E24" w14:textId="77777777" w:rsidR="005354AB" w:rsidRDefault="00051901">
            <w:pPr>
              <w:rPr>
                <w:rFonts w:eastAsia="等线"/>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等线"/>
              </w:rPr>
              <w:t>Panasonic</w:t>
            </w:r>
          </w:p>
        </w:tc>
        <w:tc>
          <w:tcPr>
            <w:tcW w:w="1739" w:type="dxa"/>
          </w:tcPr>
          <w:p w14:paraId="19D31E27" w14:textId="77777777" w:rsidR="005354AB" w:rsidRDefault="00051901">
            <w:pPr>
              <w:rPr>
                <w:rFonts w:eastAsiaTheme="minorEastAsia"/>
              </w:rPr>
            </w:pPr>
            <w:r>
              <w:rPr>
                <w:rFonts w:eastAsia="等线"/>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Malgun Gothic"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Malgun Gothic"/>
                <w:lang w:eastAsia="ko-KR"/>
              </w:rPr>
            </w:pPr>
            <w:r>
              <w:rPr>
                <w:rFonts w:eastAsia="Malgun Gothic"/>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宋体"/>
                <w:lang w:val="en-US" w:eastAsia="ko-KR"/>
              </w:rPr>
            </w:pPr>
            <w:r>
              <w:rPr>
                <w:rFonts w:eastAsia="宋体" w:hint="eastAsia"/>
                <w:lang w:val="en-US"/>
              </w:rPr>
              <w:t>ZTE</w:t>
            </w:r>
          </w:p>
        </w:tc>
        <w:tc>
          <w:tcPr>
            <w:tcW w:w="1739" w:type="dxa"/>
          </w:tcPr>
          <w:p w14:paraId="19D31E37" w14:textId="77777777" w:rsidR="005354AB" w:rsidRDefault="00051901">
            <w:pPr>
              <w:rPr>
                <w:rFonts w:eastAsia="等线"/>
                <w:lang w:val="en-US"/>
              </w:rPr>
            </w:pPr>
            <w:r>
              <w:rPr>
                <w:rFonts w:eastAsia="等线" w:hint="eastAsia"/>
                <w:lang w:val="en-US"/>
              </w:rPr>
              <w:t>Agree</w:t>
            </w:r>
          </w:p>
        </w:tc>
        <w:tc>
          <w:tcPr>
            <w:tcW w:w="6480" w:type="dxa"/>
          </w:tcPr>
          <w:p w14:paraId="19D31E38" w14:textId="77777777" w:rsidR="005354AB" w:rsidRDefault="005354AB">
            <w:pPr>
              <w:rPr>
                <w:rFonts w:eastAsia="等线"/>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DC2019" w14:paraId="0AD2AFFD" w14:textId="77777777">
        <w:tc>
          <w:tcPr>
            <w:tcW w:w="1496" w:type="dxa"/>
          </w:tcPr>
          <w:p w14:paraId="26926C01" w14:textId="04AAE098"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461DDB" w14:textId="0CCD6874"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4EF43CF0" w14:textId="7D4A9C92" w:rsidR="00DC2019" w:rsidRPr="00DC2019" w:rsidRDefault="00DC2019">
            <w:pPr>
              <w:rPr>
                <w:rFonts w:eastAsiaTheme="minorEastAsia"/>
              </w:rPr>
            </w:pPr>
          </w:p>
        </w:tc>
      </w:tr>
      <w:tr w:rsidR="00E26D0E" w14:paraId="19D31E41" w14:textId="77777777">
        <w:tc>
          <w:tcPr>
            <w:tcW w:w="1496" w:type="dxa"/>
          </w:tcPr>
          <w:p w14:paraId="19D31E3E" w14:textId="58E59BFF" w:rsidR="00E26D0E" w:rsidRDefault="00E26D0E" w:rsidP="00E26D0E">
            <w:pPr>
              <w:rPr>
                <w:rFonts w:eastAsia="宋体"/>
                <w:lang w:val="en-US"/>
              </w:rPr>
            </w:pPr>
            <w:r>
              <w:rPr>
                <w:lang w:eastAsia="sv-SE"/>
              </w:rPr>
              <w:t>Nokia</w:t>
            </w:r>
          </w:p>
        </w:tc>
        <w:tc>
          <w:tcPr>
            <w:tcW w:w="1739" w:type="dxa"/>
          </w:tcPr>
          <w:p w14:paraId="19D31E3F" w14:textId="7B9E7547" w:rsidR="00E26D0E" w:rsidRDefault="00E26D0E" w:rsidP="00E26D0E">
            <w:pPr>
              <w:rPr>
                <w:rFonts w:eastAsia="宋体"/>
                <w:lang w:val="en-US"/>
              </w:rPr>
            </w:pPr>
            <w:r>
              <w:rPr>
                <w:lang w:eastAsia="sv-SE"/>
              </w:rPr>
              <w:t>Agree</w:t>
            </w:r>
          </w:p>
        </w:tc>
        <w:tc>
          <w:tcPr>
            <w:tcW w:w="6480" w:type="dxa"/>
          </w:tcPr>
          <w:p w14:paraId="19D31E40" w14:textId="77777777" w:rsidR="00E26D0E" w:rsidRDefault="00E26D0E" w:rsidP="00E26D0E">
            <w:pPr>
              <w:rPr>
                <w:rFonts w:eastAsiaTheme="minorEastAsia"/>
              </w:rPr>
            </w:pPr>
          </w:p>
        </w:tc>
      </w:tr>
    </w:tbl>
    <w:p w14:paraId="19D31E42" w14:textId="77777777" w:rsidR="005354AB" w:rsidRDefault="005354AB">
      <w:pPr>
        <w:rPr>
          <w:b/>
          <w:bCs/>
        </w:rPr>
      </w:pPr>
    </w:p>
    <w:p w14:paraId="19D31E43" w14:textId="77777777" w:rsidR="005354AB" w:rsidRDefault="00051901">
      <w:pPr>
        <w:pStyle w:val="Heading1"/>
      </w:pPr>
      <w:r>
        <w:lastRenderedPageBreak/>
        <w:t>DRX-HARQ-RTT-</w:t>
      </w:r>
      <w:proofErr w:type="spellStart"/>
      <w:r>
        <w:t>TimerUL</w:t>
      </w:r>
      <w:proofErr w:type="spellEnd"/>
    </w:p>
    <w:p w14:paraId="19D31E44" w14:textId="77777777" w:rsidR="005354AB" w:rsidRDefault="00051901">
      <w:pPr>
        <w:pStyle w:val="Heading2"/>
      </w:pPr>
      <w:proofErr w:type="spellStart"/>
      <w:r>
        <w:t>Drx</w:t>
      </w:r>
      <w:proofErr w:type="spellEnd"/>
      <w:r>
        <w:t>-HARQ-RTT-</w:t>
      </w:r>
      <w:proofErr w:type="spellStart"/>
      <w:r>
        <w:t>TimerUL</w:t>
      </w:r>
      <w:proofErr w:type="spellEnd"/>
    </w:p>
    <w:p w14:paraId="19D31E45" w14:textId="77777777" w:rsidR="005354AB" w:rsidRDefault="00051901">
      <w:r>
        <w:t xml:space="preserve">In RAN2#113e it was agreed that in NTN, the </w:t>
      </w:r>
      <w:proofErr w:type="spellStart"/>
      <w:r>
        <w:rPr>
          <w:i/>
          <w:iCs/>
        </w:rPr>
        <w:t>drx</w:t>
      </w:r>
      <w:proofErr w:type="spellEnd"/>
      <w:r>
        <w:rPr>
          <w:i/>
          <w:iCs/>
        </w:rPr>
        <w:t>-HARQ-RTT-</w:t>
      </w:r>
      <w:proofErr w:type="spellStart"/>
      <w:r>
        <w:rPr>
          <w:i/>
          <w:iCs/>
        </w:rPr>
        <w: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14:paraId="19D31E47" w14:textId="77777777" w:rsidR="005354AB" w:rsidRDefault="00051901">
      <w:r>
        <w:t>Nearly all companies contributing to this topic [1, 10, 11, 14, 15, 17, 20]</w:t>
      </w:r>
      <w:r>
        <w:rPr>
          <w:b/>
          <w:bCs/>
        </w:rPr>
        <w:t xml:space="preserve"> </w:t>
      </w:r>
      <w:r>
        <w:t xml:space="preserve">propose to support only two behaviours. This section presents a summary of company views regarding support of setting the </w:t>
      </w:r>
      <w:proofErr w:type="spellStart"/>
      <w:r>
        <w:rPr>
          <w:i/>
          <w:iCs/>
        </w:rPr>
        <w:t>drx</w:t>
      </w:r>
      <w:proofErr w:type="spellEnd"/>
      <w:r>
        <w:rPr>
          <w:i/>
          <w:iCs/>
        </w:rPr>
        <w:t>-HARQ-RTT-</w:t>
      </w:r>
      <w:proofErr w:type="spellStart"/>
      <w:r>
        <w:rPr>
          <w:i/>
          <w:iCs/>
        </w:rPr>
        <w:t>TimerUL</w:t>
      </w:r>
      <w:proofErr w:type="spellEnd"/>
      <w:r>
        <w:t xml:space="preserve"> to zero vs. not starting the timer.</w:t>
      </w:r>
    </w:p>
    <w:p w14:paraId="19D31E48" w14:textId="77777777" w:rsidR="005354AB" w:rsidRDefault="00051901">
      <w:r>
        <w:rPr>
          <w:b/>
          <w:bCs/>
        </w:rPr>
        <w:t xml:space="preserve">Timer not started </w:t>
      </w:r>
      <w:r>
        <w:t>[1, 4, 11, 14, 15, 20]</w:t>
      </w:r>
    </w:p>
    <w:p w14:paraId="19D31E49" w14:textId="77777777" w:rsidR="005354AB" w:rsidRDefault="00051901">
      <w:proofErr w:type="spellStart"/>
      <w:r>
        <w:t>Proponenents</w:t>
      </w:r>
      <w:proofErr w:type="spellEnd"/>
      <w:r>
        <w:t xml:space="preserve"> of not starting the </w:t>
      </w:r>
      <w:proofErr w:type="spellStart"/>
      <w:r>
        <w:rPr>
          <w:i/>
          <w:iCs/>
        </w:rPr>
        <w:t>drx</w:t>
      </w:r>
      <w:proofErr w:type="spellEnd"/>
      <w:r>
        <w:rPr>
          <w:i/>
          <w:iCs/>
        </w:rPr>
        <w:t>-HARQ-RTT-</w:t>
      </w:r>
      <w:proofErr w:type="spellStart"/>
      <w:r>
        <w:rPr>
          <w:i/>
          <w:iCs/>
        </w:rPr>
        <w: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drx-InactivityTimer</w:t>
      </w:r>
      <w:proofErr w:type="spellEnd"/>
      <w:r>
        <w:t xml:space="preserve"> or </w:t>
      </w:r>
      <w:proofErr w:type="spellStart"/>
      <w:r>
        <w:rPr>
          <w:i/>
          <w:iCs/>
        </w:rPr>
        <w:t>drx-onDurationTimer</w:t>
      </w:r>
      <w:proofErr w:type="spellEnd"/>
      <w:r>
        <w:t xml:space="preserve"> [15]. Additional arguments are that not starting the timer is aligned with behaviour for </w:t>
      </w:r>
      <w:proofErr w:type="spellStart"/>
      <w:r>
        <w:rPr>
          <w:i/>
          <w:iCs/>
        </w:rPr>
        <w:t>drx</w:t>
      </w:r>
      <w:proofErr w:type="spellEnd"/>
      <w:r>
        <w:rPr>
          <w:i/>
          <w:iCs/>
        </w:rPr>
        <w:t>-HARQ-RTT-</w:t>
      </w:r>
      <w:proofErr w:type="spellStart"/>
      <w:r>
        <w:rPr>
          <w:i/>
          <w:iCs/>
        </w:rPr>
        <w: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TimerUL</w:t>
      </w:r>
      <w:proofErr w:type="spellEnd"/>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impact it is proposed to reuse the same principle here that only one value for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[3, 10, 17]</w:t>
      </w:r>
    </w:p>
    <w:p w14:paraId="19D31E4B" w14:textId="77777777" w:rsidR="005354AB" w:rsidRDefault="00051901">
      <w:pPr>
        <w:rPr>
          <w:rFonts w:eastAsia="Malgun Gothic" w:cs="Arial"/>
          <w:lang w:eastAsia="ko-KR"/>
        </w:rPr>
      </w:pPr>
      <w:r>
        <w:t xml:space="preserve">In addition to less specification impact [3] the key motivation for setting the </w:t>
      </w:r>
      <w:proofErr w:type="spellStart"/>
      <w:r>
        <w:rPr>
          <w:i/>
          <w:iCs/>
        </w:rPr>
        <w:t>drx</w:t>
      </w:r>
      <w:proofErr w:type="spellEnd"/>
      <w:r>
        <w:rPr>
          <w:i/>
          <w:iCs/>
        </w:rPr>
        <w:t>-HARQ-RTT-</w:t>
      </w:r>
      <w:proofErr w:type="spellStart"/>
      <w:r>
        <w:rPr>
          <w:i/>
          <w:iCs/>
        </w:rPr>
        <w:t>TimerUL</w:t>
      </w:r>
      <w:proofErr w:type="spellEnd"/>
      <w:r>
        <w:t xml:space="preserve"> is to facilitate reception of blind retransmission grant. According to [10], reliance on the DRX inactivity timer to 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mentions that </w:t>
      </w:r>
      <w:r>
        <w:rPr>
          <w:rFonts w:eastAsia="Malgun Gothic"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14:paraId="19D31E4C" w14:textId="77777777" w:rsidR="005354AB" w:rsidRDefault="00051901">
      <w:pPr>
        <w:rPr>
          <w:rFonts w:eastAsia="Malgun Gothic" w:cs="Arial"/>
          <w:lang w:eastAsia="ko-KR"/>
        </w:rPr>
      </w:pPr>
      <w:r>
        <w:t xml:space="preserve">To summarize: nearly all companies contributing to this topic </w:t>
      </w:r>
      <w:r>
        <w:rPr>
          <w:rFonts w:eastAsia="Malgun Gothic" w:cs="Arial"/>
          <w:lang w:eastAsia="ko-KR"/>
        </w:rPr>
        <w:t xml:space="preserve">propose that only two </w:t>
      </w:r>
      <w:proofErr w:type="spellStart"/>
      <w:r>
        <w:rPr>
          <w:i/>
          <w:iCs/>
        </w:rPr>
        <w:t>drx</w:t>
      </w:r>
      <w:proofErr w:type="spellEnd"/>
      <w:r>
        <w:rPr>
          <w:i/>
          <w:iCs/>
        </w:rPr>
        <w:t>-HARQ-RTT-</w:t>
      </w:r>
      <w:proofErr w:type="spellStart"/>
      <w:r>
        <w:rPr>
          <w:i/>
          <w:iCs/>
        </w:rPr>
        <w:t>TimerUL</w:t>
      </w:r>
      <w:proofErr w:type="spellEnd"/>
      <w:r>
        <w:t xml:space="preserve"> behaviours are supported. All support offset to timer length as one option, and twice as many companies support option 3 (timer disabled). In pre-meeting email discussion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w:t>
      </w:r>
      <w:proofErr w:type="spellEnd"/>
      <w:r>
        <w:rPr>
          <w:b/>
          <w:bCs/>
          <w:i/>
          <w:iCs/>
        </w:rPr>
        <w:t>-HARQ-RTT-</w:t>
      </w:r>
      <w:proofErr w:type="spellStart"/>
      <w:r>
        <w:rPr>
          <w:b/>
          <w:bCs/>
          <w:i/>
          <w:iCs/>
        </w:rPr>
        <w:t>TimerUL</w:t>
      </w:r>
      <w:proofErr w:type="spellEnd"/>
      <w:r>
        <w:rPr>
          <w:b/>
          <w:bCs/>
        </w:rPr>
        <w:t xml:space="preserve"> in NTN per HARQ process: 1) Timer length is extended by offset; 2) Timer disabled (i.e. not started)?</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timer(which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lastRenderedPageBreak/>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等线"/>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等线"/>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等线"/>
              </w:rPr>
            </w:pPr>
            <w:r>
              <w:rPr>
                <w:lang w:eastAsia="sv-SE"/>
              </w:rPr>
              <w:t>Samsung</w:t>
            </w:r>
          </w:p>
        </w:tc>
        <w:tc>
          <w:tcPr>
            <w:tcW w:w="1739" w:type="dxa"/>
          </w:tcPr>
          <w:p w14:paraId="19D31E6B" w14:textId="77777777" w:rsidR="005354AB" w:rsidRDefault="00051901">
            <w:pPr>
              <w:rPr>
                <w:rFonts w:eastAsia="等线"/>
              </w:rPr>
            </w:pPr>
            <w:r>
              <w:rPr>
                <w:lang w:eastAsia="sv-SE"/>
              </w:rPr>
              <w:t>Agree</w:t>
            </w:r>
          </w:p>
        </w:tc>
        <w:tc>
          <w:tcPr>
            <w:tcW w:w="6480" w:type="dxa"/>
          </w:tcPr>
          <w:p w14:paraId="19D31E6C" w14:textId="77777777" w:rsidR="005354AB" w:rsidRDefault="005354AB">
            <w:pPr>
              <w:rPr>
                <w:rFonts w:eastAsia="等线"/>
              </w:rPr>
            </w:pPr>
          </w:p>
        </w:tc>
      </w:tr>
      <w:tr w:rsidR="005354AB" w14:paraId="19D31E71" w14:textId="77777777">
        <w:tc>
          <w:tcPr>
            <w:tcW w:w="1496" w:type="dxa"/>
          </w:tcPr>
          <w:p w14:paraId="19D31E6E" w14:textId="77777777" w:rsidR="005354AB" w:rsidRDefault="00051901">
            <w:pPr>
              <w:rPr>
                <w:rFonts w:eastAsiaTheme="minorEastAsia"/>
              </w:rPr>
            </w:pPr>
            <w:r>
              <w:rPr>
                <w:rFonts w:eastAsia="等线"/>
              </w:rPr>
              <w:t>Panasonic</w:t>
            </w:r>
          </w:p>
        </w:tc>
        <w:tc>
          <w:tcPr>
            <w:tcW w:w="1739" w:type="dxa"/>
          </w:tcPr>
          <w:p w14:paraId="19D31E6F" w14:textId="77777777" w:rsidR="005354AB" w:rsidRDefault="00051901">
            <w:pPr>
              <w:rPr>
                <w:rFonts w:eastAsiaTheme="minorEastAsia"/>
              </w:rPr>
            </w:pPr>
            <w:r>
              <w:rPr>
                <w:rFonts w:eastAsia="等线"/>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Malgun Gothic" w:hint="eastAsia"/>
                <w:lang w:eastAsia="ko-KR"/>
              </w:rPr>
              <w:t>LG</w:t>
            </w:r>
          </w:p>
        </w:tc>
        <w:tc>
          <w:tcPr>
            <w:tcW w:w="1739" w:type="dxa"/>
          </w:tcPr>
          <w:p w14:paraId="19D31E73" w14:textId="77777777" w:rsidR="005354AB" w:rsidRDefault="00051901">
            <w:pPr>
              <w:rPr>
                <w:rFonts w:eastAsiaTheme="minorEastAsia"/>
              </w:rPr>
            </w:pPr>
            <w:r>
              <w:rPr>
                <w:rFonts w:eastAsia="Malgun Gothic" w:hint="eastAsia"/>
                <w:lang w:eastAsia="ko-KR"/>
              </w:rPr>
              <w:t>Disagree</w:t>
            </w:r>
          </w:p>
        </w:tc>
        <w:tc>
          <w:tcPr>
            <w:tcW w:w="6480" w:type="dxa"/>
          </w:tcPr>
          <w:p w14:paraId="19D31E74" w14:textId="77777777" w:rsidR="005354AB" w:rsidRDefault="00051901">
            <w:pPr>
              <w:rPr>
                <w:rFonts w:eastAsia="Malgun Gothic"/>
                <w:lang w:eastAsia="ko-KR"/>
              </w:rPr>
            </w:pPr>
            <w:r>
              <w:rPr>
                <w:rFonts w:eastAsia="Malgun Gothic"/>
                <w:lang w:eastAsia="ko-KR"/>
              </w:rPr>
              <w:t xml:space="preserve">As commented in </w:t>
            </w:r>
            <w:proofErr w:type="spellStart"/>
            <w:r>
              <w:rPr>
                <w:rFonts w:eastAsia="Malgun Gothic"/>
                <w:lang w:eastAsia="ko-KR"/>
              </w:rPr>
              <w:t>Qx</w:t>
            </w:r>
            <w:proofErr w:type="spellEnd"/>
            <w:r>
              <w:rPr>
                <w:rFonts w:eastAsia="Malgun Gothic"/>
                <w:lang w:eastAsia="ko-KR"/>
              </w:rPr>
              <w:t xml:space="preserve">, considering that the requirement of the reliability in NTN, the blind retransmission should be supported. If we go Option 2 (not started),  the blind retransmission may not be supported. </w:t>
            </w:r>
          </w:p>
          <w:p w14:paraId="19D31E75" w14:textId="77777777" w:rsidR="005354AB" w:rsidRDefault="00051901">
            <w:pPr>
              <w:rPr>
                <w:rFonts w:eastAsiaTheme="minorEastAsia"/>
              </w:rPr>
            </w:pPr>
            <w:r>
              <w:rPr>
                <w:rFonts w:eastAsia="Malgun Gothic"/>
                <w:lang w:eastAsia="ko-KR"/>
              </w:rPr>
              <w:t xml:space="preserve">Of course, the </w:t>
            </w:r>
            <w:proofErr w:type="spellStart"/>
            <w:r>
              <w:rPr>
                <w:rFonts w:eastAsia="Malgun Gothic"/>
                <w:lang w:eastAsia="ko-KR"/>
              </w:rPr>
              <w:t>drx-InactivityTimer</w:t>
            </w:r>
            <w:proofErr w:type="spellEnd"/>
            <w:r>
              <w:rPr>
                <w:rFonts w:eastAsia="Malgun Gothic"/>
                <w:lang w:eastAsia="ko-KR"/>
              </w:rPr>
              <w:t xml:space="preserve"> can be used for blind retransmission. However, as commented by Xiaomi, </w:t>
            </w:r>
            <w:proofErr w:type="spellStart"/>
            <w:r>
              <w:rPr>
                <w:rFonts w:eastAsia="Malgun Gothic"/>
                <w:lang w:eastAsia="ko-KR"/>
              </w:rPr>
              <w:t>drx-InactivityTimer</w:t>
            </w:r>
            <w:proofErr w:type="spellEnd"/>
            <w:r>
              <w:rPr>
                <w:rFonts w:eastAsia="Malgun Gothic"/>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time period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Malgun Gothic"/>
                <w:lang w:eastAsia="ko-KR"/>
              </w:rPr>
            </w:pPr>
            <w:r>
              <w:rPr>
                <w:rFonts w:eastAsia="Malgun Gothic"/>
                <w:lang w:eastAsia="ko-KR"/>
              </w:rPr>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宋体"/>
                <w:lang w:val="en-US" w:eastAsia="ko-KR"/>
              </w:rPr>
            </w:pPr>
            <w:r>
              <w:rPr>
                <w:rFonts w:eastAsia="宋体" w:hint="eastAsia"/>
                <w:lang w:val="en-US"/>
              </w:rPr>
              <w:t>ZTE</w:t>
            </w:r>
          </w:p>
        </w:tc>
        <w:tc>
          <w:tcPr>
            <w:tcW w:w="1739" w:type="dxa"/>
          </w:tcPr>
          <w:p w14:paraId="19D31E81" w14:textId="77777777" w:rsidR="005354AB" w:rsidRDefault="00051901">
            <w:pPr>
              <w:rPr>
                <w:rFonts w:eastAsia="等线"/>
                <w:lang w:val="en-US" w:eastAsia="ko-KR"/>
              </w:rPr>
            </w:pPr>
            <w:r>
              <w:rPr>
                <w:rFonts w:eastAsia="等线" w:hint="eastAsia"/>
                <w:lang w:val="en-US"/>
              </w:rPr>
              <w:t>Agree</w:t>
            </w:r>
          </w:p>
        </w:tc>
        <w:tc>
          <w:tcPr>
            <w:tcW w:w="6480" w:type="dxa"/>
          </w:tcPr>
          <w:p w14:paraId="19D31E82" w14:textId="77777777" w:rsidR="005354AB" w:rsidRDefault="005354AB">
            <w:pPr>
              <w:rPr>
                <w:rFonts w:eastAsia="等线"/>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DC2019" w14:paraId="31EFF892" w14:textId="77777777">
        <w:tc>
          <w:tcPr>
            <w:tcW w:w="1496" w:type="dxa"/>
          </w:tcPr>
          <w:p w14:paraId="418C13CD" w14:textId="7A8D779F"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5E08719" w14:textId="70A56235"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01ABABF1" w14:textId="77777777" w:rsidR="00DC2019" w:rsidRDefault="00DC2019">
            <w:pPr>
              <w:rPr>
                <w:lang w:eastAsia="sv-SE"/>
              </w:rPr>
            </w:pPr>
          </w:p>
        </w:tc>
      </w:tr>
      <w:tr w:rsidR="00E26D0E" w14:paraId="19D31E8B" w14:textId="77777777">
        <w:tc>
          <w:tcPr>
            <w:tcW w:w="1496" w:type="dxa"/>
          </w:tcPr>
          <w:p w14:paraId="19D31E88" w14:textId="00CA7E85" w:rsidR="00E26D0E" w:rsidRDefault="00E26D0E" w:rsidP="00E26D0E">
            <w:pPr>
              <w:rPr>
                <w:rFonts w:eastAsia="宋体"/>
                <w:lang w:val="en-US"/>
              </w:rPr>
            </w:pPr>
            <w:r>
              <w:rPr>
                <w:lang w:eastAsia="sv-SE"/>
              </w:rPr>
              <w:t>Nokia</w:t>
            </w:r>
          </w:p>
        </w:tc>
        <w:tc>
          <w:tcPr>
            <w:tcW w:w="1739" w:type="dxa"/>
          </w:tcPr>
          <w:p w14:paraId="19D31E89" w14:textId="7364549C" w:rsidR="00E26D0E" w:rsidRDefault="00E26D0E" w:rsidP="00E26D0E">
            <w:pPr>
              <w:rPr>
                <w:rFonts w:eastAsia="宋体"/>
                <w:lang w:val="en-US"/>
              </w:rPr>
            </w:pPr>
            <w:r>
              <w:rPr>
                <w:lang w:eastAsia="sv-SE"/>
              </w:rPr>
              <w:t>Agree</w:t>
            </w:r>
          </w:p>
        </w:tc>
        <w:tc>
          <w:tcPr>
            <w:tcW w:w="6480" w:type="dxa"/>
          </w:tcPr>
          <w:p w14:paraId="19D31E8A" w14:textId="77777777" w:rsidR="00E26D0E" w:rsidRDefault="00E26D0E" w:rsidP="00E26D0E">
            <w:pPr>
              <w:rPr>
                <w:rFonts w:eastAsiaTheme="minorEastAsia"/>
              </w:rPr>
            </w:pPr>
          </w:p>
        </w:tc>
      </w:tr>
    </w:tbl>
    <w:p w14:paraId="19D31E8C" w14:textId="77777777" w:rsidR="005354AB" w:rsidRDefault="005354AB"/>
    <w:p w14:paraId="19D31E8D" w14:textId="77777777" w:rsidR="005354AB" w:rsidRDefault="00051901">
      <w:pPr>
        <w:pStyle w:val="Heading2"/>
      </w:pPr>
      <w:r>
        <w:t xml:space="preserve">Configuration of </w:t>
      </w:r>
      <w:proofErr w:type="spellStart"/>
      <w:r>
        <w:t>drx</w:t>
      </w:r>
      <w:proofErr w:type="spellEnd"/>
      <w:r>
        <w:t>-HARQ-RTT-</w:t>
      </w:r>
      <w:proofErr w:type="spellStart"/>
      <w:r>
        <w: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w:t>
      </w:r>
      <w:proofErr w:type="spellEnd"/>
      <w:r>
        <w:rPr>
          <w:i/>
          <w:iCs/>
        </w:rPr>
        <w:t>-HARQ-RTT-</w:t>
      </w:r>
      <w:proofErr w:type="spellStart"/>
      <w:r>
        <w:rPr>
          <w:i/>
          <w:iCs/>
        </w:rPr>
        <w: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w:t>
      </w:r>
      <w:r>
        <w:rPr>
          <w:i/>
          <w:iCs/>
          <w:color w:val="FF0000"/>
        </w:rPr>
        <w:t>FFS if this 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additionally proposes that when this new signal is not present, legacy behaviour for </w:t>
      </w:r>
      <w:proofErr w:type="spellStart"/>
      <w:r>
        <w:t>drx</w:t>
      </w:r>
      <w:proofErr w:type="spellEnd"/>
      <w:r>
        <w:t>-HARQ-RTT-</w:t>
      </w:r>
      <w:proofErr w:type="spellStart"/>
      <w:r>
        <w:t>TimerUL</w:t>
      </w:r>
      <w:proofErr w:type="spellEnd"/>
      <w:r>
        <w:t xml:space="preserve"> apply, </w:t>
      </w:r>
      <w:r>
        <w:lastRenderedPageBreak/>
        <w:t xml:space="preserve">whereas [17] proposes that network should explicitly configure the </w:t>
      </w:r>
      <w:proofErr w:type="spellStart"/>
      <w:r>
        <w:t>drx</w:t>
      </w:r>
      <w:proofErr w:type="spellEnd"/>
      <w:r>
        <w:t>-HARQ-RTT-</w:t>
      </w:r>
      <w:proofErr w:type="spellStart"/>
      <w:r>
        <w: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and [20] propose that the </w:t>
      </w:r>
      <w:proofErr w:type="spellStart"/>
      <w:r>
        <w:rPr>
          <w:i/>
          <w:iCs/>
        </w:rPr>
        <w:t>drx</w:t>
      </w:r>
      <w:proofErr w:type="spellEnd"/>
      <w:r>
        <w:rPr>
          <w:i/>
          <w:iCs/>
        </w:rPr>
        <w:t>-HARQ-RTT-</w:t>
      </w:r>
      <w:proofErr w:type="spellStart"/>
      <w:r>
        <w:rPr>
          <w:i/>
          <w:iCs/>
        </w:rPr>
        <w:t>TimerUL</w:t>
      </w:r>
      <w:proofErr w:type="spellEnd"/>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2" w:name="OLE_LINK9"/>
      <w:bookmarkStart w:id="3" w:name="OLE_LINK8"/>
      <w:proofErr w:type="spellStart"/>
      <w:r>
        <w:rPr>
          <w:b/>
          <w:bCs/>
          <w:i/>
          <w:iCs/>
        </w:rPr>
        <w:t>drx</w:t>
      </w:r>
      <w:proofErr w:type="spellEnd"/>
      <w:r>
        <w:rPr>
          <w:b/>
          <w:bCs/>
          <w:i/>
          <w:iCs/>
        </w:rPr>
        <w:t>-HARQ-RTT-</w:t>
      </w:r>
      <w:proofErr w:type="spellStart"/>
      <w:r>
        <w:rPr>
          <w:b/>
          <w:bCs/>
          <w:i/>
          <w:iCs/>
        </w:rPr>
        <w:t>TimerUL</w:t>
      </w:r>
      <w:proofErr w:type="spellEnd"/>
      <w:r>
        <w:rPr>
          <w:b/>
          <w:bCs/>
        </w:rPr>
        <w:t xml:space="preserve"> behaviour</w:t>
      </w:r>
      <w:bookmarkEnd w:id="2"/>
      <w:bookmarkEnd w:id="3"/>
      <w:r>
        <w:rPr>
          <w:b/>
          <w:bCs/>
        </w:rPr>
        <w:t xml:space="preserve">?: </w:t>
      </w:r>
    </w:p>
    <w:p w14:paraId="19D31E96"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Explicit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configured per HARQ process via dedicated RRC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 xml:space="preserve">Implicit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Both;</w:t>
      </w:r>
    </w:p>
    <w:p w14:paraId="19D31E99" w14:textId="77777777" w:rsidR="005354AB" w:rsidRDefault="00051901">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等线"/>
              </w:rPr>
            </w:pPr>
            <w:r>
              <w:rPr>
                <w:rFonts w:eastAsiaTheme="minorEastAsia" w:hint="eastAsia"/>
              </w:rPr>
              <w:t>2</w:t>
            </w:r>
          </w:p>
        </w:tc>
        <w:tc>
          <w:tcPr>
            <w:tcW w:w="6480" w:type="dxa"/>
          </w:tcPr>
          <w:p w14:paraId="19D31EB0" w14:textId="77777777" w:rsidR="005354AB" w:rsidRDefault="00051901">
            <w:pPr>
              <w:rPr>
                <w:rFonts w:eastAsia="等线"/>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等线"/>
              </w:rPr>
            </w:pPr>
            <w:r>
              <w:rPr>
                <w:lang w:eastAsia="sv-SE"/>
              </w:rPr>
              <w:t>Samsung</w:t>
            </w:r>
          </w:p>
        </w:tc>
        <w:tc>
          <w:tcPr>
            <w:tcW w:w="1739" w:type="dxa"/>
          </w:tcPr>
          <w:p w14:paraId="19D31EB7" w14:textId="77777777" w:rsidR="005354AB" w:rsidRDefault="00051901">
            <w:pPr>
              <w:rPr>
                <w:rFonts w:eastAsia="等线"/>
              </w:rPr>
            </w:pPr>
            <w:r>
              <w:rPr>
                <w:lang w:eastAsia="sv-SE"/>
              </w:rPr>
              <w:t>Option1</w:t>
            </w:r>
          </w:p>
        </w:tc>
        <w:tc>
          <w:tcPr>
            <w:tcW w:w="6480" w:type="dxa"/>
          </w:tcPr>
          <w:p w14:paraId="19D31EB8" w14:textId="77777777" w:rsidR="005354AB" w:rsidRDefault="00051901">
            <w:pPr>
              <w:rPr>
                <w:rFonts w:eastAsia="等线"/>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等线"/>
              </w:rPr>
              <w:t>Panasonic</w:t>
            </w:r>
          </w:p>
        </w:tc>
        <w:tc>
          <w:tcPr>
            <w:tcW w:w="1739" w:type="dxa"/>
          </w:tcPr>
          <w:p w14:paraId="19D31EBB" w14:textId="77777777" w:rsidR="005354AB" w:rsidRDefault="00051901">
            <w:pPr>
              <w:rPr>
                <w:rFonts w:eastAsiaTheme="minorEastAsia"/>
              </w:rPr>
            </w:pPr>
            <w:r>
              <w:rPr>
                <w:rFonts w:eastAsia="等线"/>
              </w:rPr>
              <w:t>Option 2</w:t>
            </w:r>
          </w:p>
        </w:tc>
        <w:tc>
          <w:tcPr>
            <w:tcW w:w="6480" w:type="dxa"/>
          </w:tcPr>
          <w:p w14:paraId="19D31EBC" w14:textId="77777777" w:rsidR="005354AB" w:rsidRDefault="00051901">
            <w:pPr>
              <w:rPr>
                <w:rFonts w:eastAsiaTheme="minorEastAsia"/>
              </w:rPr>
            </w:pPr>
            <w:r>
              <w:rPr>
                <w:rFonts w:eastAsia="等线"/>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Malgun Gothic" w:hint="eastAsia"/>
                <w:lang w:eastAsia="ko-KR"/>
              </w:rPr>
              <w:t>LG</w:t>
            </w:r>
          </w:p>
        </w:tc>
        <w:tc>
          <w:tcPr>
            <w:tcW w:w="1739" w:type="dxa"/>
          </w:tcPr>
          <w:p w14:paraId="19D31EBF" w14:textId="77777777" w:rsidR="005354AB" w:rsidRDefault="00051901">
            <w:pPr>
              <w:rPr>
                <w:rFonts w:eastAsiaTheme="minorEastAsia"/>
              </w:rPr>
            </w:pPr>
            <w:r>
              <w:rPr>
                <w:rFonts w:eastAsia="Malgun Gothic" w:hint="eastAsia"/>
                <w:lang w:eastAsia="ko-KR"/>
              </w:rPr>
              <w:t>Option 1</w:t>
            </w:r>
          </w:p>
        </w:tc>
        <w:tc>
          <w:tcPr>
            <w:tcW w:w="6480" w:type="dxa"/>
          </w:tcPr>
          <w:p w14:paraId="19D31EC0" w14:textId="77777777" w:rsidR="005354AB" w:rsidRDefault="00051901">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Malgun Gothic"/>
                <w:lang w:eastAsia="ko-KR"/>
              </w:rPr>
            </w:pPr>
            <w:r>
              <w:rPr>
                <w:rFonts w:eastAsia="Malgun Gothic"/>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宋体"/>
                <w:lang w:val="en-US" w:eastAsia="ko-KR"/>
              </w:rPr>
            </w:pPr>
            <w:r>
              <w:rPr>
                <w:rFonts w:eastAsia="宋体" w:hint="eastAsia"/>
                <w:lang w:val="en-US"/>
              </w:rPr>
              <w:t>ZTE</w:t>
            </w:r>
          </w:p>
        </w:tc>
        <w:tc>
          <w:tcPr>
            <w:tcW w:w="1739" w:type="dxa"/>
          </w:tcPr>
          <w:p w14:paraId="19D31ECB" w14:textId="77777777" w:rsidR="005354AB" w:rsidRDefault="00051901">
            <w:pPr>
              <w:rPr>
                <w:rFonts w:eastAsia="等线"/>
                <w:lang w:val="en-US" w:eastAsia="ko-KR"/>
              </w:rPr>
            </w:pPr>
            <w:r>
              <w:rPr>
                <w:rFonts w:eastAsia="等线" w:hint="eastAsia"/>
                <w:lang w:val="en-US"/>
              </w:rPr>
              <w:t>Option 1</w:t>
            </w:r>
          </w:p>
        </w:tc>
        <w:tc>
          <w:tcPr>
            <w:tcW w:w="6480" w:type="dxa"/>
          </w:tcPr>
          <w:p w14:paraId="19D31ECC" w14:textId="77777777" w:rsidR="005354AB" w:rsidRDefault="00051901">
            <w:pPr>
              <w:rPr>
                <w:rFonts w:eastAsia="等线"/>
                <w:lang w:val="en-US"/>
              </w:rPr>
            </w:pPr>
            <w:r>
              <w:rPr>
                <w:rFonts w:eastAsia="等线" w:hint="eastAsia"/>
                <w:lang w:val="en-US"/>
              </w:rPr>
              <w:t>How NW configures the HARQ group shall be explicitly indicated, we don</w:t>
            </w:r>
            <w:r>
              <w:rPr>
                <w:rFonts w:eastAsia="等线"/>
                <w:lang w:val="en-US"/>
              </w:rPr>
              <w:t>’</w:t>
            </w:r>
            <w:r>
              <w:rPr>
                <w:rFonts w:eastAsia="等线"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r>
              <w:t>configuration between HARQ process ID to HARQ process group.</w:t>
            </w:r>
          </w:p>
          <w:p w14:paraId="19D31ED0" w14:textId="41A033B5" w:rsidR="00B01637" w:rsidRDefault="00B01637" w:rsidP="00204FE0">
            <w:pPr>
              <w:rPr>
                <w:lang w:eastAsia="sv-SE"/>
              </w:rPr>
            </w:pPr>
            <w:r>
              <w:t>This is sufficient.</w:t>
            </w:r>
          </w:p>
        </w:tc>
      </w:tr>
      <w:tr w:rsidR="00DC2019" w14:paraId="6823FFD0" w14:textId="77777777">
        <w:tc>
          <w:tcPr>
            <w:tcW w:w="1496" w:type="dxa"/>
          </w:tcPr>
          <w:p w14:paraId="41DE9521" w14:textId="434C9BD4"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30BF359" w14:textId="52098297" w:rsidR="00DC2019"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4C836770" w14:textId="77777777" w:rsidR="00DC2019" w:rsidRDefault="00DC2019" w:rsidP="00204FE0">
            <w:pPr>
              <w:rPr>
                <w:lang w:eastAsia="sv-SE"/>
              </w:rPr>
            </w:pPr>
          </w:p>
        </w:tc>
      </w:tr>
      <w:tr w:rsidR="00E26D0E" w14:paraId="19D31ED5" w14:textId="77777777">
        <w:tc>
          <w:tcPr>
            <w:tcW w:w="1496" w:type="dxa"/>
          </w:tcPr>
          <w:p w14:paraId="19D31ED2" w14:textId="7C787650" w:rsidR="00E26D0E" w:rsidRDefault="00E26D0E" w:rsidP="00E26D0E">
            <w:pPr>
              <w:rPr>
                <w:rFonts w:eastAsia="宋体"/>
                <w:lang w:val="en-US"/>
              </w:rPr>
            </w:pPr>
            <w:r>
              <w:rPr>
                <w:lang w:eastAsia="sv-SE"/>
              </w:rPr>
              <w:lastRenderedPageBreak/>
              <w:t>Nokia</w:t>
            </w:r>
          </w:p>
        </w:tc>
        <w:tc>
          <w:tcPr>
            <w:tcW w:w="1739" w:type="dxa"/>
          </w:tcPr>
          <w:p w14:paraId="19D31ED3" w14:textId="345FCA7B" w:rsidR="00E26D0E" w:rsidRDefault="00E26D0E" w:rsidP="00E26D0E">
            <w:pPr>
              <w:rPr>
                <w:rFonts w:eastAsia="宋体"/>
                <w:lang w:val="en-US"/>
              </w:rPr>
            </w:pPr>
            <w:r>
              <w:rPr>
                <w:lang w:eastAsia="sv-SE"/>
              </w:rPr>
              <w:t>Option2</w:t>
            </w:r>
          </w:p>
        </w:tc>
        <w:tc>
          <w:tcPr>
            <w:tcW w:w="6480" w:type="dxa"/>
          </w:tcPr>
          <w:p w14:paraId="19D31ED4" w14:textId="59E7AE6B" w:rsidR="00E26D0E" w:rsidRDefault="00E26D0E" w:rsidP="00E26D0E">
            <w:pPr>
              <w:rPr>
                <w:rFonts w:eastAsiaTheme="minorEastAsia"/>
              </w:rPr>
            </w:pPr>
            <w:r>
              <w:rPr>
                <w:lang w:eastAsia="sv-SE"/>
              </w:rPr>
              <w:t>Since UL HARQ retransmission state can be used by both LCP and DRX timer setting, we prefer to option2 to save RRC signalling.</w:t>
            </w:r>
          </w:p>
        </w:tc>
      </w:tr>
    </w:tbl>
    <w:p w14:paraId="19D31ED6" w14:textId="77777777" w:rsidR="005354AB" w:rsidRDefault="005354AB"/>
    <w:p w14:paraId="19D31ED7" w14:textId="77777777" w:rsidR="005354AB" w:rsidRDefault="00051901">
      <w:r>
        <w:t xml:space="preserve">In pre-meeting email discussion, Proposal 8 attempted to clarify default </w:t>
      </w:r>
      <w:proofErr w:type="spellStart"/>
      <w:r>
        <w:rPr>
          <w:i/>
          <w:iCs/>
        </w:rPr>
        <w:t>drx</w:t>
      </w:r>
      <w:proofErr w:type="spellEnd"/>
      <w:r>
        <w:rPr>
          <w:i/>
          <w:iCs/>
        </w:rPr>
        <w:t>-HARQ-RTT-</w:t>
      </w:r>
      <w:proofErr w:type="spellStart"/>
      <w:r>
        <w:rPr>
          <w:i/>
          <w:iCs/>
        </w:rPr>
        <w: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process(es) not configured with an UL HARQ retransmission state, </w:t>
      </w:r>
      <w:proofErr w:type="spellStart"/>
      <w:r>
        <w:rPr>
          <w:b/>
          <w:bCs/>
          <w:i/>
          <w:iCs/>
        </w:rPr>
        <w:t>drx</w:t>
      </w:r>
      <w:proofErr w:type="spellEnd"/>
      <w:r>
        <w:rPr>
          <w:b/>
          <w:bCs/>
          <w:i/>
          <w:iCs/>
        </w:rPr>
        <w:t>-HARQ-RTT-</w:t>
      </w:r>
      <w:proofErr w:type="spellStart"/>
      <w:r>
        <w:rPr>
          <w:b/>
          <w:bCs/>
          <w:i/>
          <w:iCs/>
        </w:rPr>
        <w: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TableGrid"/>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等线"/>
              </w:rPr>
            </w:pPr>
            <w:r>
              <w:rPr>
                <w:rFonts w:eastAsiaTheme="minorEastAsia"/>
              </w:rPr>
              <w:t>Yes</w:t>
            </w:r>
          </w:p>
        </w:tc>
        <w:tc>
          <w:tcPr>
            <w:tcW w:w="6480" w:type="dxa"/>
          </w:tcPr>
          <w:p w14:paraId="19D31EEF" w14:textId="77777777" w:rsidR="005354AB" w:rsidRDefault="00051901">
            <w:pPr>
              <w:rPr>
                <w:rFonts w:eastAsia="等线"/>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等线"/>
              </w:rPr>
            </w:pPr>
            <w:r>
              <w:rPr>
                <w:lang w:eastAsia="sv-SE"/>
              </w:rPr>
              <w:t>Samsung</w:t>
            </w:r>
          </w:p>
        </w:tc>
        <w:tc>
          <w:tcPr>
            <w:tcW w:w="1739" w:type="dxa"/>
          </w:tcPr>
          <w:p w14:paraId="19D31EF6" w14:textId="77777777" w:rsidR="005354AB" w:rsidRDefault="00051901">
            <w:pPr>
              <w:rPr>
                <w:rFonts w:eastAsia="等线"/>
              </w:rPr>
            </w:pPr>
            <w:r>
              <w:rPr>
                <w:lang w:eastAsia="sv-SE"/>
              </w:rPr>
              <w:t>Agree, but see comments.</w:t>
            </w:r>
          </w:p>
        </w:tc>
        <w:tc>
          <w:tcPr>
            <w:tcW w:w="6480" w:type="dxa"/>
          </w:tcPr>
          <w:p w14:paraId="19D31EF7" w14:textId="77777777" w:rsidR="005354AB" w:rsidRDefault="00051901">
            <w:pPr>
              <w:rPr>
                <w:rFonts w:eastAsia="等线"/>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等线"/>
              </w:rPr>
              <w:t>Panasonic</w:t>
            </w:r>
          </w:p>
        </w:tc>
        <w:tc>
          <w:tcPr>
            <w:tcW w:w="1739" w:type="dxa"/>
          </w:tcPr>
          <w:p w14:paraId="19D31EFA" w14:textId="77777777" w:rsidR="005354AB" w:rsidRDefault="00051901">
            <w:pPr>
              <w:rPr>
                <w:rFonts w:eastAsiaTheme="minorEastAsia"/>
              </w:rPr>
            </w:pPr>
            <w:r>
              <w:rPr>
                <w:rFonts w:eastAsia="等线"/>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Malgun Gothic" w:hint="eastAsia"/>
                <w:lang w:eastAsia="ko-KR"/>
              </w:rPr>
              <w:t>LG</w:t>
            </w:r>
          </w:p>
        </w:tc>
        <w:tc>
          <w:tcPr>
            <w:tcW w:w="1739" w:type="dxa"/>
          </w:tcPr>
          <w:p w14:paraId="19D31EFE" w14:textId="77777777" w:rsidR="005354AB" w:rsidRDefault="00051901">
            <w:pPr>
              <w:rPr>
                <w:rFonts w:eastAsiaTheme="minorEastAsia"/>
              </w:rPr>
            </w:pPr>
            <w:r>
              <w:rPr>
                <w:rFonts w:eastAsia="Malgun Gothic"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Malgun Gothic"/>
                <w:lang w:eastAsia="ko-KR"/>
              </w:rPr>
            </w:pPr>
            <w:r>
              <w:rPr>
                <w:rFonts w:eastAsia="Malgun Gothic"/>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宋体"/>
                <w:lang w:val="en-US" w:eastAsia="ko-KR"/>
              </w:rPr>
            </w:pPr>
            <w:r>
              <w:rPr>
                <w:rFonts w:eastAsia="宋体" w:hint="eastAsia"/>
                <w:lang w:val="en-US"/>
              </w:rPr>
              <w:t xml:space="preserve">ZTE </w:t>
            </w:r>
          </w:p>
        </w:tc>
        <w:tc>
          <w:tcPr>
            <w:tcW w:w="1739" w:type="dxa"/>
          </w:tcPr>
          <w:p w14:paraId="19D31F0A" w14:textId="77777777" w:rsidR="005354AB" w:rsidRDefault="00051901">
            <w:pPr>
              <w:rPr>
                <w:rFonts w:eastAsia="等线"/>
                <w:lang w:val="en-US" w:eastAsia="ko-KR"/>
              </w:rPr>
            </w:pPr>
            <w:r>
              <w:rPr>
                <w:rFonts w:eastAsia="等线" w:hint="eastAsia"/>
                <w:lang w:val="en-US"/>
              </w:rPr>
              <w:t>Yes</w:t>
            </w:r>
          </w:p>
        </w:tc>
        <w:tc>
          <w:tcPr>
            <w:tcW w:w="6480" w:type="dxa"/>
          </w:tcPr>
          <w:p w14:paraId="19D31F0B" w14:textId="77777777" w:rsidR="005354AB" w:rsidRDefault="005354AB">
            <w:pPr>
              <w:rPr>
                <w:rFonts w:eastAsia="等线"/>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DC2019" w14:paraId="336F5D63" w14:textId="77777777">
        <w:tc>
          <w:tcPr>
            <w:tcW w:w="1496" w:type="dxa"/>
          </w:tcPr>
          <w:p w14:paraId="6F9EB3FD" w14:textId="49DFA50D"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66BEBB8" w14:textId="2F7ABE0E"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653EC097" w14:textId="77777777" w:rsidR="00DC2019" w:rsidRDefault="00DC2019">
            <w:pPr>
              <w:rPr>
                <w:lang w:eastAsia="sv-SE"/>
              </w:rPr>
            </w:pPr>
          </w:p>
        </w:tc>
      </w:tr>
      <w:tr w:rsidR="00E26D0E" w14:paraId="19D31F14" w14:textId="77777777">
        <w:tc>
          <w:tcPr>
            <w:tcW w:w="1496" w:type="dxa"/>
          </w:tcPr>
          <w:p w14:paraId="19D31F11" w14:textId="7863B0D3" w:rsidR="00E26D0E" w:rsidRDefault="00E26D0E" w:rsidP="00E26D0E">
            <w:pPr>
              <w:rPr>
                <w:rFonts w:eastAsia="宋体"/>
                <w:lang w:val="en-US"/>
              </w:rPr>
            </w:pPr>
            <w:r>
              <w:rPr>
                <w:lang w:eastAsia="sv-SE"/>
              </w:rPr>
              <w:t>Nokia</w:t>
            </w:r>
          </w:p>
        </w:tc>
        <w:tc>
          <w:tcPr>
            <w:tcW w:w="1739" w:type="dxa"/>
          </w:tcPr>
          <w:p w14:paraId="19D31F12" w14:textId="2383821E" w:rsidR="00E26D0E" w:rsidRDefault="00E26D0E" w:rsidP="00E26D0E">
            <w:pPr>
              <w:rPr>
                <w:rFonts w:eastAsia="宋体"/>
                <w:lang w:val="en-US"/>
              </w:rPr>
            </w:pPr>
            <w:r>
              <w:rPr>
                <w:lang w:eastAsia="sv-SE"/>
              </w:rPr>
              <w:t>Agree</w:t>
            </w:r>
          </w:p>
        </w:tc>
        <w:tc>
          <w:tcPr>
            <w:tcW w:w="6480" w:type="dxa"/>
          </w:tcPr>
          <w:p w14:paraId="19D31F13" w14:textId="77777777" w:rsidR="00E26D0E" w:rsidRDefault="00E26D0E" w:rsidP="00E26D0E">
            <w:pPr>
              <w:rPr>
                <w:rFonts w:eastAsiaTheme="minorEastAsia"/>
              </w:rPr>
            </w:pPr>
          </w:p>
        </w:tc>
      </w:tr>
    </w:tbl>
    <w:p w14:paraId="19D31F15" w14:textId="77777777" w:rsidR="005354AB" w:rsidRDefault="005354AB"/>
    <w:p w14:paraId="19D31F16" w14:textId="77777777" w:rsidR="005354AB" w:rsidRDefault="00051901">
      <w:pPr>
        <w:pStyle w:val="Heading1"/>
      </w:pPr>
      <w:r>
        <w:t>Summary</w:t>
      </w:r>
    </w:p>
    <w:p w14:paraId="19D31F17"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8" w14:textId="77777777" w:rsidR="005354AB" w:rsidRDefault="00051901">
      <w:pPr>
        <w:pStyle w:val="Heading1"/>
      </w:pPr>
      <w:r>
        <w:t>Conclusion</w:t>
      </w:r>
    </w:p>
    <w:p w14:paraId="19D31F19"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A" w14:textId="77777777" w:rsidR="005354AB" w:rsidRDefault="00051901">
      <w:pPr>
        <w:pStyle w:val="Heading1"/>
      </w:pPr>
      <w:r>
        <w:t>References</w:t>
      </w:r>
    </w:p>
    <w:p w14:paraId="19D31F1B" w14:textId="77777777" w:rsidR="005354AB" w:rsidRDefault="00A53E69">
      <w:pPr>
        <w:pStyle w:val="Reference"/>
      </w:pPr>
      <w:hyperlink r:id="rId13" w:history="1">
        <w:r w:rsidR="00051901">
          <w:rPr>
            <w:rStyle w:val="Hyperlink"/>
            <w:sz w:val="18"/>
            <w:szCs w:val="18"/>
          </w:rPr>
          <w:t>R2-2107076</w:t>
        </w:r>
      </w:hyperlink>
      <w:r w:rsidR="00051901">
        <w:tab/>
        <w:t>Discussion on UL HARQ retransmission in NTN – OPPO</w:t>
      </w:r>
    </w:p>
    <w:p w14:paraId="19D31F1C" w14:textId="77777777" w:rsidR="005354AB" w:rsidRDefault="00A53E69">
      <w:pPr>
        <w:pStyle w:val="Reference"/>
      </w:pPr>
      <w:hyperlink r:id="rId14" w:history="1">
        <w:r w:rsidR="00051901">
          <w:rPr>
            <w:rStyle w:val="Hyperlink"/>
            <w:sz w:val="18"/>
            <w:szCs w:val="18"/>
          </w:rPr>
          <w:t>R2-2107315</w:t>
        </w:r>
      </w:hyperlink>
      <w:r w:rsidR="00051901">
        <w:tab/>
        <w:t>Discussion on HARQ Aspects and UL Scheduling Enhancement in NTN – CATT</w:t>
      </w:r>
    </w:p>
    <w:p w14:paraId="19D31F1D" w14:textId="77777777" w:rsidR="005354AB" w:rsidRDefault="00A53E69">
      <w:pPr>
        <w:pStyle w:val="Reference"/>
      </w:pPr>
      <w:hyperlink r:id="rId15" w:history="1">
        <w:r w:rsidR="00051901">
          <w:rPr>
            <w:rStyle w:val="Hyperlink"/>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A53E69">
      <w:pPr>
        <w:pStyle w:val="Reference"/>
      </w:pPr>
      <w:hyperlink r:id="rId16" w:history="1">
        <w:r w:rsidR="00051901">
          <w:rPr>
            <w:rStyle w:val="Hyperlink"/>
            <w:sz w:val="18"/>
            <w:szCs w:val="18"/>
          </w:rPr>
          <w:t>R2-2107449</w:t>
        </w:r>
      </w:hyperlink>
      <w:r w:rsidR="00051901">
        <w:tab/>
        <w:t>Impact on DRX timers with UL/DL HARQ enhancement in NTN – vivo</w:t>
      </w:r>
    </w:p>
    <w:p w14:paraId="19D31F1F" w14:textId="77777777" w:rsidR="005354AB" w:rsidRDefault="00A53E69">
      <w:pPr>
        <w:pStyle w:val="Reference"/>
      </w:pPr>
      <w:hyperlink r:id="rId17" w:history="1">
        <w:r w:rsidR="00051901">
          <w:rPr>
            <w:rStyle w:val="Hyperlink"/>
            <w:sz w:val="18"/>
            <w:szCs w:val="18"/>
          </w:rPr>
          <w:t>R2-2107450</w:t>
        </w:r>
      </w:hyperlink>
      <w:r w:rsidR="00051901">
        <w:tab/>
        <w:t>Impact on LCP with disabled UL HARQ retransmission in NTN – vivo</w:t>
      </w:r>
    </w:p>
    <w:p w14:paraId="19D31F20" w14:textId="77777777" w:rsidR="005354AB" w:rsidRDefault="00A53E69">
      <w:pPr>
        <w:pStyle w:val="Reference"/>
      </w:pPr>
      <w:hyperlink r:id="rId18" w:history="1">
        <w:r w:rsidR="00051901">
          <w:rPr>
            <w:rStyle w:val="Hyperlink"/>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A53E69">
      <w:pPr>
        <w:pStyle w:val="Reference"/>
      </w:pPr>
      <w:hyperlink r:id="rId19" w:history="1">
        <w:r w:rsidR="00051901">
          <w:rPr>
            <w:rStyle w:val="Hyperlink"/>
            <w:sz w:val="18"/>
            <w:szCs w:val="18"/>
          </w:rPr>
          <w:t>R2-2107632</w:t>
        </w:r>
      </w:hyperlink>
      <w:r w:rsidR="00051901">
        <w:tab/>
        <w:t>HARQ Management and LCP Restrictions in NTN – Apple</w:t>
      </w:r>
    </w:p>
    <w:p w14:paraId="19D31F22" w14:textId="77777777" w:rsidR="005354AB" w:rsidRDefault="00A53E69">
      <w:pPr>
        <w:pStyle w:val="Reference"/>
      </w:pPr>
      <w:hyperlink r:id="rId20" w:history="1">
        <w:r w:rsidR="00051901">
          <w:rPr>
            <w:rStyle w:val="Hyperlink"/>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A53E69">
      <w:pPr>
        <w:pStyle w:val="Reference"/>
      </w:pPr>
      <w:hyperlink r:id="rId21" w:history="1">
        <w:r w:rsidR="00051901">
          <w:rPr>
            <w:rStyle w:val="Hyperlink"/>
            <w:sz w:val="18"/>
            <w:szCs w:val="18"/>
          </w:rPr>
          <w:t>R2-2107909</w:t>
        </w:r>
      </w:hyperlink>
      <w:r w:rsidR="00051901">
        <w:tab/>
        <w:t>BSR with configured 2-step RACH and CG – Lenovo, Motorola Mobility</w:t>
      </w:r>
    </w:p>
    <w:p w14:paraId="19D31F24" w14:textId="77777777" w:rsidR="005354AB" w:rsidRDefault="00A53E69">
      <w:pPr>
        <w:pStyle w:val="Reference"/>
      </w:pPr>
      <w:hyperlink r:id="rId22" w:history="1">
        <w:r w:rsidR="00051901">
          <w:rPr>
            <w:rStyle w:val="Hyperlink"/>
            <w:sz w:val="18"/>
            <w:szCs w:val="18"/>
          </w:rPr>
          <w:t>R2-2107986</w:t>
        </w:r>
      </w:hyperlink>
      <w:r w:rsidR="00051901">
        <w:tab/>
        <w:t>Consideration on HARQ aspects – Beijing Xiaomi Mobile Software</w:t>
      </w:r>
    </w:p>
    <w:p w14:paraId="19D31F25" w14:textId="77777777" w:rsidR="005354AB" w:rsidRDefault="00A53E69">
      <w:pPr>
        <w:pStyle w:val="Reference"/>
      </w:pPr>
      <w:hyperlink r:id="rId23" w:history="1">
        <w:r w:rsidR="00051901">
          <w:rPr>
            <w:rStyle w:val="Hyperlink"/>
            <w:sz w:val="18"/>
            <w:szCs w:val="18"/>
          </w:rPr>
          <w:t>R2-2108115</w:t>
        </w:r>
      </w:hyperlink>
      <w:r w:rsidR="00051901">
        <w:tab/>
        <w:t>Discussion on remaining MAC issues for NR NTN – Nokia, Nokia Shanghai Bell</w:t>
      </w:r>
    </w:p>
    <w:p w14:paraId="19D31F26" w14:textId="77777777" w:rsidR="005354AB" w:rsidRDefault="00A53E69">
      <w:pPr>
        <w:pStyle w:val="Reference"/>
      </w:pPr>
      <w:hyperlink r:id="rId24" w:history="1">
        <w:r w:rsidR="00051901">
          <w:rPr>
            <w:rStyle w:val="Hyperlink"/>
            <w:sz w:val="18"/>
            <w:szCs w:val="18"/>
          </w:rPr>
          <w:t>R2-2108318</w:t>
        </w:r>
      </w:hyperlink>
      <w:r w:rsidR="00051901">
        <w:tab/>
        <w:t>On disabling uplink HARQ retransmission and associated LCP impacts – MediaTek Inc.</w:t>
      </w:r>
    </w:p>
    <w:p w14:paraId="19D31F27" w14:textId="77777777" w:rsidR="005354AB" w:rsidRDefault="00A53E69">
      <w:pPr>
        <w:pStyle w:val="Reference"/>
      </w:pPr>
      <w:hyperlink r:id="rId25" w:history="1">
        <w:r w:rsidR="00051901">
          <w:rPr>
            <w:rStyle w:val="Hyperlink"/>
            <w:sz w:val="18"/>
            <w:szCs w:val="18"/>
          </w:rPr>
          <w:t>R2-2108319</w:t>
        </w:r>
      </w:hyperlink>
      <w:r w:rsidR="00051901">
        <w:tab/>
        <w:t>Round trip delay offset for configured grant timer – MediaTek Inc</w:t>
      </w:r>
    </w:p>
    <w:p w14:paraId="19D31F28" w14:textId="77777777" w:rsidR="005354AB" w:rsidRDefault="00A53E69">
      <w:pPr>
        <w:pStyle w:val="Reference"/>
      </w:pPr>
      <w:hyperlink r:id="rId26" w:history="1">
        <w:r w:rsidR="00051901">
          <w:rPr>
            <w:rStyle w:val="Hyperlink"/>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A53E69">
      <w:pPr>
        <w:pStyle w:val="Reference"/>
      </w:pPr>
      <w:hyperlink r:id="rId27" w:history="1">
        <w:r w:rsidR="00051901">
          <w:rPr>
            <w:rStyle w:val="Hyperlink"/>
            <w:sz w:val="18"/>
            <w:szCs w:val="18"/>
          </w:rPr>
          <w:t>R2-2108452</w:t>
        </w:r>
      </w:hyperlink>
      <w:r w:rsidR="00051901">
        <w:tab/>
        <w:t>On DRX, LCP, HARQ, SR/BSR, and configured scheduling – Ericsson</w:t>
      </w:r>
    </w:p>
    <w:p w14:paraId="19D31F2A" w14:textId="77777777" w:rsidR="005354AB" w:rsidRDefault="00A53E69">
      <w:pPr>
        <w:pStyle w:val="Reference"/>
      </w:pPr>
      <w:hyperlink r:id="rId28" w:history="1">
        <w:r w:rsidR="00051901">
          <w:rPr>
            <w:rStyle w:val="Hyperlink"/>
            <w:sz w:val="18"/>
            <w:szCs w:val="18"/>
          </w:rPr>
          <w:t>R2-2108544</w:t>
        </w:r>
      </w:hyperlink>
      <w:r w:rsidR="00051901">
        <w:tab/>
        <w:t>Discussion on LCP Restrictions and CG Impact in NTN – CMCC</w:t>
      </w:r>
    </w:p>
    <w:p w14:paraId="19D31F2B" w14:textId="77777777" w:rsidR="005354AB" w:rsidRDefault="00A53E69">
      <w:pPr>
        <w:pStyle w:val="Reference"/>
      </w:pPr>
      <w:hyperlink r:id="rId29" w:history="1">
        <w:r w:rsidR="00051901">
          <w:rPr>
            <w:rStyle w:val="Hyperlink"/>
            <w:sz w:val="18"/>
            <w:szCs w:val="18"/>
          </w:rPr>
          <w:t>R2-2108608</w:t>
        </w:r>
      </w:hyperlink>
      <w:r w:rsidR="00051901">
        <w:tab/>
        <w:t>Discussion on other MAC aspects – LG Electronics Inc.</w:t>
      </w:r>
    </w:p>
    <w:p w14:paraId="19D31F2C" w14:textId="77777777" w:rsidR="005354AB" w:rsidRDefault="00A53E69">
      <w:pPr>
        <w:pStyle w:val="Reference"/>
      </w:pPr>
      <w:hyperlink r:id="rId30" w:history="1">
        <w:r w:rsidR="00051901">
          <w:rPr>
            <w:rStyle w:val="Hyperlink"/>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A53E69">
      <w:pPr>
        <w:pStyle w:val="Reference"/>
      </w:pPr>
      <w:hyperlink r:id="rId31" w:history="1">
        <w:r w:rsidR="00051901">
          <w:rPr>
            <w:rStyle w:val="Hyperlink"/>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A53E69">
      <w:pPr>
        <w:pStyle w:val="Reference"/>
      </w:pPr>
      <w:hyperlink r:id="rId32" w:history="1">
        <w:r w:rsidR="00051901">
          <w:rPr>
            <w:rStyle w:val="Hyperlink"/>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A53E69">
      <w:pPr>
        <w:pStyle w:val="Reference"/>
      </w:pPr>
      <w:hyperlink r:id="rId33" w:history="1">
        <w:r w:rsidR="00051901">
          <w:rPr>
            <w:rStyle w:val="Hyperlink"/>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A53E69">
      <w:pPr>
        <w:pStyle w:val="Reference"/>
      </w:pPr>
      <w:hyperlink r:id="rId34" w:history="1">
        <w:r w:rsidR="00051901">
          <w:rPr>
            <w:rStyle w:val="Hyperlink"/>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A53E69">
      <w:pPr>
        <w:pStyle w:val="Reference"/>
      </w:pPr>
      <w:hyperlink r:id="rId35" w:history="1">
        <w:r w:rsidR="00051901">
          <w:rPr>
            <w:rStyle w:val="Hyperlink"/>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8AC77" w14:textId="77777777" w:rsidR="00A53E69" w:rsidRDefault="00A53E69">
      <w:pPr>
        <w:spacing w:after="0"/>
      </w:pPr>
      <w:r>
        <w:separator/>
      </w:r>
    </w:p>
  </w:endnote>
  <w:endnote w:type="continuationSeparator" w:id="0">
    <w:p w14:paraId="34275A0C" w14:textId="77777777" w:rsidR="00A53E69" w:rsidRDefault="00A53E69">
      <w:pPr>
        <w:spacing w:after="0"/>
      </w:pPr>
      <w:r>
        <w:continuationSeparator/>
      </w:r>
    </w:p>
  </w:endnote>
  <w:endnote w:type="continuationNotice" w:id="1">
    <w:p w14:paraId="3FB64CFB" w14:textId="77777777" w:rsidR="00A53E69" w:rsidRDefault="00A53E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1F34" w14:textId="76B507BB" w:rsidR="000D3504" w:rsidRDefault="000D35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66EC">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66EC">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E758C" w14:textId="77777777" w:rsidR="00A53E69" w:rsidRDefault="00A53E69">
      <w:pPr>
        <w:spacing w:after="0"/>
      </w:pPr>
      <w:r>
        <w:separator/>
      </w:r>
    </w:p>
  </w:footnote>
  <w:footnote w:type="continuationSeparator" w:id="0">
    <w:p w14:paraId="45F3EA1D" w14:textId="77777777" w:rsidR="00A53E69" w:rsidRDefault="00A53E69">
      <w:pPr>
        <w:spacing w:after="0"/>
      </w:pPr>
      <w:r>
        <w:continuationSeparator/>
      </w:r>
    </w:p>
  </w:footnote>
  <w:footnote w:type="continuationNotice" w:id="1">
    <w:p w14:paraId="166C7D22" w14:textId="77777777" w:rsidR="00A53E69" w:rsidRDefault="00A53E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4CC"/>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66AC80-8C16-4A32-B859-2E466B5BC8A5}">
  <ds:schemaRefs>
    <ds:schemaRef ds:uri="http://schemas.openxmlformats.org/officeDocument/2006/bibliography"/>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6371</Words>
  <Characters>36315</Characters>
  <Application>Microsoft Office Word</Application>
  <DocSecurity>0</DocSecurity>
  <Lines>302</Lines>
  <Paragraphs>85</Paragraphs>
  <ScaleCrop>false</ScaleCrop>
  <Company>InterDigital</Company>
  <LinksUpToDate>false</LinksUpToDate>
  <CharactersWithSpaces>42601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Ping Yuan</cp:lastModifiedBy>
  <cp:revision>7</cp:revision>
  <dcterms:created xsi:type="dcterms:W3CDTF">2021-08-19T02:11:00Z</dcterms:created>
  <dcterms:modified xsi:type="dcterms:W3CDTF">2021-08-19T03:53:00Z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