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F77B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0" w:name="OLE_LINK58"/>
      <w:bookmarkStart w:id="1" w:name="OLE_LINK57"/>
      <w:r>
        <w:rPr>
          <w:rFonts w:ascii="Arial" w:hAnsi="Arial" w:cs="Arial"/>
          <w:b/>
          <w:sz w:val="24"/>
          <w:szCs w:val="24"/>
        </w:rPr>
        <w:t>3GPP TSG RAN WG2#115-e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R2-210xxxx</w:t>
      </w:r>
    </w:p>
    <w:p w14:paraId="48AAEDCB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Online, 16-27 August 2021</w:t>
      </w:r>
    </w:p>
    <w:p w14:paraId="607162DB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A4AC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 </w:t>
      </w:r>
      <w:r>
        <w:rPr>
          <w:rFonts w:ascii="Arial" w:hAnsi="Arial" w:cs="Arial"/>
          <w:bCs/>
          <w:sz w:val="22"/>
          <w:szCs w:val="22"/>
        </w:rPr>
        <w:t>Reply LS to RAN2 on reduction of service interruption during intra-donor IAB-node migration</w:t>
      </w:r>
    </w:p>
    <w:p w14:paraId="4F44226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2"/>
    <w:bookmarkEnd w:id="3"/>
    <w:bookmarkEnd w:id="4"/>
    <w:p w14:paraId="03E9203E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NR_IAB_enh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-Core</w:t>
      </w:r>
    </w:p>
    <w:p w14:paraId="218694EF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0C6752" w14:textId="77777777" w:rsidR="00077CD0" w:rsidRDefault="00FA64A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AT&amp;T [will be RAN2]</w:t>
      </w:r>
    </w:p>
    <w:p w14:paraId="4DE48E1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p w14:paraId="542C6911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6C7810D" w14:textId="77777777" w:rsidR="00077CD0" w:rsidRDefault="00077CD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EAE9B53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B89A38F" w14:textId="77777777" w:rsidR="00077CD0" w:rsidRDefault="00FA64A2">
      <w:p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  <w:lang w:eastAsia="zh-CN"/>
        </w:rPr>
        <w:t>Milap</w:t>
      </w:r>
      <w:proofErr w:type="spellEnd"/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zh-CN"/>
        </w:rPr>
        <w:t>Majmundar</w:t>
      </w:r>
      <w:proofErr w:type="spellEnd"/>
    </w:p>
    <w:p w14:paraId="2A5467B6" w14:textId="77777777" w:rsidR="00077CD0" w:rsidRDefault="00FA64A2">
      <w:pPr>
        <w:spacing w:after="60"/>
        <w:rPr>
          <w:rFonts w:ascii="Arial" w:hAnsi="Arial" w:cs="Arial"/>
          <w:b/>
          <w:bCs/>
          <w:sz w:val="22"/>
          <w:szCs w:val="22"/>
          <w:lang w:val="de-DE" w:eastAsia="zh-CN"/>
        </w:rPr>
      </w:pPr>
      <w:r>
        <w:rPr>
          <w:rFonts w:ascii="Arial" w:hAnsi="Arial" w:cs="Arial" w:hint="eastAsia"/>
          <w:b/>
          <w:bCs/>
          <w:sz w:val="22"/>
          <w:szCs w:val="22"/>
          <w:lang w:val="de-DE" w:eastAsia="zh-CN"/>
        </w:rPr>
        <w:t>E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>-mail Address:</w:t>
      </w:r>
      <w:r>
        <w:rPr>
          <w:rFonts w:ascii="Arial" w:hAnsi="Arial" w:cs="Arial"/>
          <w:b/>
          <w:bCs/>
          <w:sz w:val="22"/>
          <w:szCs w:val="22"/>
          <w:lang w:val="de-DE" w:eastAsia="zh-CN"/>
        </w:rPr>
        <w:tab/>
        <w:t>milap.majmundar@att.com</w:t>
      </w:r>
    </w:p>
    <w:p w14:paraId="031B84E4" w14:textId="77777777" w:rsidR="00077CD0" w:rsidRDefault="00077CD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1C5D526" w14:textId="77777777" w:rsidR="00077CD0" w:rsidRDefault="00FA64A2">
      <w:pPr>
        <w:pStyle w:val="Heading1"/>
      </w:pPr>
      <w:r>
        <w:t>1</w:t>
      </w:r>
      <w:r>
        <w:tab/>
        <w:t>Overall description</w:t>
      </w:r>
    </w:p>
    <w:p w14:paraId="2D8F0719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thanks RAN3 for their LS on reduction of service interruption during intra-donor IAB-node migration (R2-2106948), which has been noted. RAN2 understands that RAN3 is discussing two solutions for reduction of service interruption, where the transfer of</w:t>
      </w: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for TNL migration of a descendent IAB node occurs over the source path. </w:t>
      </w:r>
    </w:p>
    <w:p w14:paraId="631010F6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commentRangeStart w:id="7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For Solution 1, the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 for TNL migration of a descendent node IAB-MT is withheld by this descendant node’s parent IAB-DU, and it is deliver</w:t>
      </w: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ed only when a condition is satisfied. </w:t>
      </w:r>
    </w:p>
    <w:p w14:paraId="7A67A71F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For Solution 2, the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 for TNL migration of the descendant-node IAB-MT is buffered by the descendent-node’s IAB-MT itself, and it is executed only when an indication is received from the paren</w:t>
      </w:r>
      <w:r>
        <w:rPr>
          <w:rFonts w:ascii="Arial" w:eastAsia="等线" w:hAnsi="Arial" w:cs="Arial"/>
          <w:sz w:val="20"/>
          <w:szCs w:val="20"/>
          <w:lang w:val="en-GB" w:eastAsia="zh-CN"/>
        </w:rPr>
        <w:t>t IAB-DU.</w:t>
      </w:r>
      <w:commentRangeEnd w:id="7"/>
      <w:r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7"/>
      </w:r>
    </w:p>
    <w:p w14:paraId="0580BE1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provides the following feedback to RAN3 regarding Solutions 1 and 2:</w:t>
      </w:r>
    </w:p>
    <w:p w14:paraId="3709470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bookmarkStart w:id="8" w:name="_Hlk80538689"/>
      <w:r>
        <w:rPr>
          <w:rFonts w:ascii="Arial" w:eastAsia="等线" w:hAnsi="Arial" w:cs="Arial"/>
          <w:sz w:val="20"/>
          <w:szCs w:val="20"/>
          <w:lang w:val="en-GB" w:eastAsia="zh-CN"/>
        </w:rPr>
        <w:t>Solution 1:</w:t>
      </w:r>
    </w:p>
    <w:bookmarkEnd w:id="8"/>
    <w:p w14:paraId="79F6CD1A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Solution 1 has no impact on RAN2 for the success case described in the LS from RAN3. </w:t>
      </w:r>
    </w:p>
    <w:p w14:paraId="0C275E6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observes that there are other aspects of Solution 1 requiring further discussion, such as IAB-node migration failure case, or the case with additional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messages to same child IAB-MT. </w:t>
      </w:r>
    </w:p>
    <w:p w14:paraId="5D5E385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emphasizes that for solution 1,</w:t>
      </w:r>
      <w:commentRangeStart w:id="9"/>
      <w:commentRangeStart w:id="10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the PDCP SN </w:t>
      </w:r>
      <w:r>
        <w:rPr>
          <w:rFonts w:ascii="Arial" w:eastAsia="等线" w:hAnsi="Arial" w:cs="Arial"/>
          <w:sz w:val="20"/>
          <w:szCs w:val="20"/>
          <w:lang w:val="en-GB" w:eastAsia="zh-CN"/>
        </w:rPr>
        <w:t>order cannot be disrupted, i.e., it is not possible to discard a RRC Reconfiguration message.</w:t>
      </w:r>
      <w:commentRangeEnd w:id="9"/>
      <w:r>
        <w:commentReference w:id="9"/>
      </w:r>
      <w:commentRangeEnd w:id="10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10"/>
      </w:r>
    </w:p>
    <w:p w14:paraId="15D0D43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Solution 2:</w:t>
      </w:r>
    </w:p>
    <w:p w14:paraId="076AD81F" w14:textId="77777777" w:rsidR="00077CD0" w:rsidRDefault="00FA64A2">
      <w:pPr>
        <w:pStyle w:val="NormalWeb"/>
        <w:numPr>
          <w:ilvl w:val="0"/>
          <w:numId w:val="7"/>
        </w:numPr>
        <w:snapToGrid w:val="0"/>
        <w:spacing w:before="0" w:beforeAutospacing="0" w:after="120" w:afterAutospacing="0"/>
        <w:ind w:left="72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expects the following impact for Solution 2:</w:t>
      </w:r>
    </w:p>
    <w:p w14:paraId="28F1CAF8" w14:textId="77777777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Impact to RRC specification (38.331):</w:t>
      </w:r>
    </w:p>
    <w:p w14:paraId="5F045E4A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Indication for conditional execution to be added to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</w:t>
      </w:r>
      <w:r>
        <w:rPr>
          <w:rFonts w:ascii="Arial" w:eastAsia="等线" w:hAnsi="Arial" w:cs="Arial"/>
          <w:sz w:val="20"/>
          <w:szCs w:val="20"/>
          <w:lang w:val="en-GB" w:eastAsia="zh-CN"/>
        </w:rPr>
        <w:t>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</w:t>
      </w:r>
    </w:p>
    <w:p w14:paraId="45A220B0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ASN.1 amendment needed for buffered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</w:p>
    <w:p w14:paraId="77CCD7AD" w14:textId="77777777" w:rsidR="00077CD0" w:rsidRPr="00254ECB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</w:pPr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 xml:space="preserve">Procedures for the child IAB-node to potentially discard the buffered </w:t>
      </w:r>
      <w:proofErr w:type="spellStart"/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>RRCReconfiguration</w:t>
      </w:r>
      <w:proofErr w:type="spellEnd"/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>, e.g., in case the parent IAB-node fails the migration (e.g., new action upon reception of B</w:t>
      </w:r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>H RLF indication)</w:t>
      </w:r>
    </w:p>
    <w:p w14:paraId="087AFC97" w14:textId="77777777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L1/L2 indication (e.g. new BAP control PDU) sent by the migrated parent IAB-node DU to the descendant IAB-node MT to trigger the execution of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at the child IAB-node MT. </w:t>
      </w:r>
    </w:p>
    <w:p w14:paraId="7138E054" w14:textId="77777777" w:rsidR="00077CD0" w:rsidRDefault="00FA64A2">
      <w:pPr>
        <w:pStyle w:val="NormalWeb"/>
        <w:numPr>
          <w:ilvl w:val="0"/>
          <w:numId w:val="7"/>
        </w:numPr>
        <w:snapToGrid w:val="0"/>
        <w:spacing w:after="120" w:afterAutospacing="0"/>
        <w:ind w:left="72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observes that there are other aspects of </w:t>
      </w: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Solution 2 requiring further discussion, such as </w:t>
      </w:r>
      <w:commentRangeStart w:id="11"/>
      <w:r>
        <w:rPr>
          <w:rFonts w:ascii="Arial" w:eastAsia="等线" w:hAnsi="Arial" w:cs="Arial"/>
          <w:sz w:val="20"/>
          <w:szCs w:val="20"/>
          <w:lang w:val="en-GB" w:eastAsia="zh-CN"/>
        </w:rPr>
        <w:t>IAB-node migration failure case</w:t>
      </w:r>
      <w:commentRangeEnd w:id="11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11"/>
      </w:r>
      <w:r>
        <w:rPr>
          <w:rFonts w:ascii="Arial" w:eastAsia="等线" w:hAnsi="Arial" w:cs="Arial"/>
          <w:sz w:val="20"/>
          <w:szCs w:val="20"/>
          <w:lang w:val="en-GB" w:eastAsia="zh-CN"/>
        </w:rPr>
        <w:t>,</w:t>
      </w:r>
      <w:commentRangeStart w:id="12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or interaction with CHO, or incompatibility with inter-CU migration</w:t>
      </w:r>
      <w:commentRangeEnd w:id="12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12"/>
      </w:r>
      <w:r>
        <w:rPr>
          <w:rFonts w:ascii="Arial" w:eastAsia="等线" w:hAnsi="Arial" w:cs="Arial"/>
          <w:sz w:val="20"/>
          <w:szCs w:val="20"/>
          <w:lang w:val="en-GB" w:eastAsia="zh-CN"/>
        </w:rPr>
        <w:t>.</w:t>
      </w:r>
    </w:p>
    <w:p w14:paraId="2E02EE8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lastRenderedPageBreak/>
        <w:t xml:space="preserve">Finally, RAN2 observes that trigger conditions for both Solution 1 (to forward withheld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</w:t>
      </w:r>
      <w:r>
        <w:rPr>
          <w:rFonts w:ascii="Arial" w:eastAsia="等线" w:hAnsi="Arial" w:cs="Arial"/>
          <w:sz w:val="20"/>
          <w:szCs w:val="20"/>
          <w:lang w:val="en-GB" w:eastAsia="zh-CN"/>
        </w:rPr>
        <w:t>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) and Solution 2 (to execute buffered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>) require further discussion.</w:t>
      </w:r>
    </w:p>
    <w:p w14:paraId="418670C3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bookmarkStart w:id="13" w:name="_GoBack"/>
      <w:bookmarkEnd w:id="13"/>
    </w:p>
    <w:p w14:paraId="5DA0C500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requests RAN3 to consider the above feedback in their discussion of solutions for reduction of service interruption during intra-donor IAB-node migration.</w:t>
      </w:r>
    </w:p>
    <w:p w14:paraId="7BB27ADF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bCs/>
          <w:sz w:val="20"/>
          <w:szCs w:val="20"/>
          <w:lang w:val="en-GB" w:eastAsia="zh-CN"/>
        </w:rPr>
      </w:pPr>
    </w:p>
    <w:p w14:paraId="0920B01B" w14:textId="77777777" w:rsidR="00077CD0" w:rsidRDefault="00FA64A2">
      <w:pPr>
        <w:pStyle w:val="Heading1"/>
      </w:pPr>
      <w:r>
        <w:t>2</w:t>
      </w:r>
      <w:r>
        <w:tab/>
        <w:t>Actio</w:t>
      </w:r>
      <w:r>
        <w:t>ns</w:t>
      </w:r>
    </w:p>
    <w:p w14:paraId="4610AF49" w14:textId="77777777" w:rsidR="00077CD0" w:rsidRDefault="00FA64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</w:rPr>
        <w:t>RAN2 kindly asks RAN3 to take note of the above.</w:t>
      </w:r>
    </w:p>
    <w:p w14:paraId="09215532" w14:textId="77777777" w:rsidR="00077CD0" w:rsidRDefault="00077CD0">
      <w:pPr>
        <w:spacing w:after="120"/>
        <w:ind w:left="993" w:hanging="993"/>
        <w:rPr>
          <w:rFonts w:ascii="Arial" w:hAnsi="Arial" w:cs="Arial"/>
        </w:rPr>
      </w:pPr>
    </w:p>
    <w:p w14:paraId="5ECE1230" w14:textId="77777777" w:rsidR="00077CD0" w:rsidRDefault="00FA64A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229CB007" w14:textId="77777777" w:rsidR="00077CD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eastAsia="zh-CN"/>
        </w:rPr>
        <w:t>TSG-RAN WG2 Meeting #116-e</w:t>
      </w:r>
      <w:r>
        <w:rPr>
          <w:rFonts w:ascii="Arial" w:hAnsi="Arial" w:cs="Arial"/>
          <w:bCs/>
          <w:lang w:eastAsia="zh-CN"/>
        </w:rPr>
        <w:tab/>
        <w:t>01 – 11 November 2021</w:t>
      </w:r>
      <w:r>
        <w:rPr>
          <w:rFonts w:ascii="Arial" w:hAnsi="Arial" w:cs="Arial"/>
          <w:bCs/>
          <w:lang w:val="de-DE"/>
        </w:rPr>
        <w:tab/>
        <w:t>E-meeting</w:t>
      </w:r>
    </w:p>
    <w:p w14:paraId="7019C84B" w14:textId="77777777" w:rsidR="00077CD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eastAsia="zh-CN"/>
        </w:rPr>
        <w:t>TSG-RAN WG2 Meeting #117</w:t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eastAsia="zh-CN"/>
        </w:rPr>
        <w:t>21 – 25 February 2022</w:t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  <w:lang w:eastAsia="zh-CN"/>
        </w:rPr>
        <w:t>Athens, GR</w:t>
      </w:r>
    </w:p>
    <w:sectPr w:rsidR="00077CD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Milap Majmundar (AT&amp;T)" w:date="2021-08-22T14:18:00Z" w:initials="MM">
    <w:p w14:paraId="4E7566DF" w14:textId="77777777" w:rsidR="00077CD0" w:rsidRDefault="00FA64A2">
      <w:pPr>
        <w:pStyle w:val="CommentText"/>
      </w:pPr>
      <w:r>
        <w:t>This description is from the incoming LS to RAN2.</w:t>
      </w:r>
    </w:p>
  </w:comment>
  <w:comment w:id="9" w:author="ZTE" w:date="2021-08-23T15:14:00Z" w:initials="ZTE">
    <w:p w14:paraId="060C555F" w14:textId="77777777" w:rsidR="00077CD0" w:rsidRDefault="00FA64A2">
      <w:pPr>
        <w:pStyle w:val="CommentText"/>
        <w:rPr>
          <w:lang w:val="en-US"/>
        </w:rPr>
      </w:pPr>
      <w:r>
        <w:rPr>
          <w:rFonts w:eastAsia="宋体" w:hint="eastAsia"/>
          <w:lang w:val="en-US" w:eastAsia="zh-CN"/>
        </w:rPr>
        <w:t xml:space="preserve">It is suggested to remove this statement. It is not clear why the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could not be discarded. RAN2 need to further discuss this.</w:t>
      </w:r>
    </w:p>
    <w:p w14:paraId="55C56879" w14:textId="77777777" w:rsidR="00077CD0" w:rsidRDefault="00FA64A2">
      <w:pPr>
        <w:pStyle w:val="CommentText"/>
      </w:pPr>
      <w:r>
        <w:rPr>
          <w:rFonts w:eastAsia="宋体" w:hint="eastAsia"/>
          <w:lang w:val="en-US" w:eastAsia="zh-CN"/>
        </w:rPr>
        <w:t xml:space="preserve">As we know, the SRB1 where the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delivers use default configuration and the con</w:t>
      </w:r>
      <w:r>
        <w:rPr>
          <w:rFonts w:eastAsia="宋体" w:hint="eastAsia"/>
          <w:lang w:val="en-US" w:eastAsia="zh-CN"/>
        </w:rPr>
        <w:t xml:space="preserve">figuration can be updated to support PDCP re-ordering timer via dedicated RRC </w:t>
      </w:r>
      <w:proofErr w:type="spellStart"/>
      <w:r>
        <w:rPr>
          <w:rFonts w:eastAsia="宋体" w:hint="eastAsia"/>
          <w:lang w:val="en-US" w:eastAsia="zh-CN"/>
        </w:rPr>
        <w:t>signalling</w:t>
      </w:r>
      <w:proofErr w:type="spellEnd"/>
      <w:r>
        <w:rPr>
          <w:rFonts w:eastAsia="宋体" w:hint="eastAsia"/>
          <w:lang w:val="en-US" w:eastAsia="zh-CN"/>
        </w:rPr>
        <w:t xml:space="preserve">. Even if one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is discarded, re-ordering timer in PDCP layer may take effect and the subsequent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could still be deli</w:t>
      </w:r>
      <w:r>
        <w:rPr>
          <w:rFonts w:eastAsia="宋体" w:hint="eastAsia"/>
          <w:lang w:val="en-US" w:eastAsia="zh-CN"/>
        </w:rPr>
        <w:t xml:space="preserve">vered to upper layer. </w:t>
      </w:r>
    </w:p>
  </w:comment>
  <w:comment w:id="10" w:author="Huawei" w:date="2021-08-23T20:41:00Z" w:initials="Huawei">
    <w:p w14:paraId="47B67874" w14:textId="4AC30936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In our understanding, a typical PDCP configuration for SRB1 is with an infinite value for the re-ordering timer, as the RRC configuration is typically with delta configuration, and the latter configuration needs to be based on the previous </w:t>
      </w:r>
      <w:r w:rsidR="00FA64A2">
        <w:rPr>
          <w:rFonts w:eastAsiaTheme="minorEastAsia"/>
          <w:lang w:eastAsia="zh-CN"/>
        </w:rPr>
        <w:t>one</w:t>
      </w:r>
      <w:r>
        <w:rPr>
          <w:rFonts w:eastAsiaTheme="minorEastAsia"/>
          <w:lang w:eastAsia="zh-CN"/>
        </w:rPr>
        <w:t>. The discard of a RRC reconfiguration message is normally unacceptable</w:t>
      </w:r>
      <w:r w:rsidR="00FA64A2">
        <w:rPr>
          <w:rFonts w:eastAsiaTheme="minorEastAsia"/>
          <w:lang w:eastAsia="zh-CN"/>
        </w:rPr>
        <w:t xml:space="preserve"> and may lead to misalignment between UE and network</w:t>
      </w:r>
      <w:r>
        <w:rPr>
          <w:rFonts w:eastAsiaTheme="minorEastAsia"/>
          <w:lang w:eastAsia="zh-CN"/>
        </w:rPr>
        <w:t>.</w:t>
      </w:r>
    </w:p>
    <w:p w14:paraId="7D452771" w14:textId="77777777" w:rsidR="00254ECB" w:rsidRDefault="00254ECB">
      <w:pPr>
        <w:pStyle w:val="CommentText"/>
        <w:rPr>
          <w:rFonts w:eastAsiaTheme="minorEastAsia"/>
          <w:lang w:eastAsia="zh-CN"/>
        </w:rPr>
      </w:pPr>
    </w:p>
    <w:p w14:paraId="0D9162BC" w14:textId="268CDA20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Moreover, we would like to add “</w:t>
      </w:r>
      <w:r>
        <w:rPr>
          <w:rFonts w:eastAsiaTheme="minorEastAsia"/>
          <w:lang w:eastAsia="zh-CN"/>
        </w:rPr>
        <w:t>Or send any other RRC message after the buffered RRC Reconfiguration message using SRB1</w:t>
      </w:r>
      <w:r>
        <w:rPr>
          <w:rFonts w:eastAsiaTheme="minorEastAsia"/>
          <w:lang w:eastAsia="zh-CN"/>
        </w:rPr>
        <w:t>” at the end</w:t>
      </w:r>
      <w:r w:rsidR="00FA64A2">
        <w:rPr>
          <w:rFonts w:eastAsiaTheme="minorEastAsia"/>
          <w:lang w:eastAsia="zh-CN"/>
        </w:rPr>
        <w:t xml:space="preserve"> of this sentence</w:t>
      </w:r>
      <w:r>
        <w:rPr>
          <w:rFonts w:eastAsiaTheme="minorEastAsia"/>
          <w:lang w:eastAsia="zh-CN"/>
        </w:rPr>
        <w:t>.</w:t>
      </w:r>
    </w:p>
    <w:p w14:paraId="3F772984" w14:textId="536FA83E" w:rsidR="00254ECB" w:rsidRPr="00254ECB" w:rsidRDefault="00254ECB">
      <w:pPr>
        <w:pStyle w:val="CommentText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Anyway, we are ok to discuss this if needed.</w:t>
      </w:r>
    </w:p>
  </w:comment>
  <w:comment w:id="11" w:author="Huawei" w:date="2021-08-23T20:48:00Z" w:initials="Huawei">
    <w:p w14:paraId="2E95465A" w14:textId="25D12C2B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FA64A2">
        <w:rPr>
          <w:rFonts w:eastAsiaTheme="minorEastAsia"/>
          <w:lang w:eastAsia="zh-CN"/>
        </w:rPr>
        <w:t>It seems that t</w:t>
      </w:r>
      <w:r>
        <w:rPr>
          <w:rFonts w:eastAsiaTheme="minorEastAsia"/>
          <w:lang w:eastAsia="zh-CN"/>
        </w:rPr>
        <w:t xml:space="preserve">he issue and </w:t>
      </w:r>
      <w:r w:rsidR="00FA64A2">
        <w:rPr>
          <w:rFonts w:eastAsiaTheme="minorEastAsia"/>
          <w:lang w:eastAsia="zh-CN"/>
        </w:rPr>
        <w:t xml:space="preserve">its </w:t>
      </w:r>
      <w:r>
        <w:rPr>
          <w:rFonts w:eastAsiaTheme="minorEastAsia"/>
          <w:lang w:eastAsia="zh-CN"/>
        </w:rPr>
        <w:t>solution for IAB-node migration failure has already been stated in:</w:t>
      </w:r>
    </w:p>
    <w:p w14:paraId="5699A42D" w14:textId="5F3C3A59" w:rsidR="00254ECB" w:rsidRDefault="00254ECB">
      <w:pPr>
        <w:pStyle w:val="CommentText"/>
        <w:rPr>
          <w:rFonts w:eastAsia="等线" w:cs="Arial"/>
          <w:lang w:eastAsia="zh-CN"/>
        </w:rPr>
      </w:pPr>
      <w:r w:rsidRPr="00254ECB">
        <w:rPr>
          <w:rFonts w:eastAsia="等线" w:cs="Arial"/>
          <w:highlight w:val="yellow"/>
          <w:lang w:eastAsia="zh-CN"/>
        </w:rPr>
        <w:t xml:space="preserve">Procedures for the child IAB-node to potentially discard the buffered </w:t>
      </w:r>
      <w:proofErr w:type="spellStart"/>
      <w:r w:rsidRPr="00254ECB">
        <w:rPr>
          <w:rFonts w:eastAsia="等线" w:cs="Arial"/>
          <w:highlight w:val="yellow"/>
          <w:lang w:eastAsia="zh-CN"/>
        </w:rPr>
        <w:t>RRCReconfiguration</w:t>
      </w:r>
      <w:proofErr w:type="spellEnd"/>
      <w:r w:rsidRPr="00254ECB">
        <w:rPr>
          <w:rFonts w:eastAsia="等线" w:cs="Arial"/>
          <w:highlight w:val="yellow"/>
          <w:lang w:eastAsia="zh-CN"/>
        </w:rPr>
        <w:t>, e.g., in case the parent IAB-node fails the migration (e.g., new action upon reception of BH RLF indication)</w:t>
      </w:r>
    </w:p>
    <w:p w14:paraId="6B836147" w14:textId="77777777" w:rsidR="00FA64A2" w:rsidRDefault="00FA64A2">
      <w:pPr>
        <w:pStyle w:val="CommentText"/>
        <w:rPr>
          <w:rFonts w:eastAsia="等线" w:cs="Arial"/>
          <w:lang w:eastAsia="zh-CN"/>
        </w:rPr>
      </w:pPr>
    </w:p>
    <w:p w14:paraId="2A37D5FC" w14:textId="6040D4A4" w:rsidR="00FA64A2" w:rsidRPr="00254ECB" w:rsidRDefault="00FA64A2">
      <w:pPr>
        <w:pStyle w:val="CommentText"/>
        <w:rPr>
          <w:rFonts w:eastAsiaTheme="minorEastAsia" w:hint="eastAsia"/>
          <w:lang w:eastAsia="zh-CN"/>
        </w:rPr>
      </w:pPr>
      <w:r>
        <w:rPr>
          <w:rFonts w:eastAsia="等线" w:cs="Arial"/>
          <w:lang w:eastAsia="zh-CN"/>
        </w:rPr>
        <w:t>It is better to reorganize this aspect.</w:t>
      </w:r>
    </w:p>
  </w:comment>
  <w:comment w:id="12" w:author="Huawei" w:date="2021-08-23T20:47:00Z" w:initials="Huawei">
    <w:p w14:paraId="6B966C50" w14:textId="497368AC" w:rsidR="00254ECB" w:rsidRDefault="00254ECB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These </w:t>
      </w:r>
      <w:r w:rsidR="00FA64A2">
        <w:rPr>
          <w:rFonts w:eastAsiaTheme="minorEastAsia"/>
          <w:lang w:eastAsia="zh-CN"/>
        </w:rPr>
        <w:t>seem to</w:t>
      </w:r>
      <w:r>
        <w:rPr>
          <w:rFonts w:eastAsiaTheme="minorEastAsia"/>
          <w:lang w:eastAsia="zh-CN"/>
        </w:rPr>
        <w:t xml:space="preserve"> be common issues for both </w:t>
      </w:r>
      <w:r>
        <w:rPr>
          <w:rFonts w:eastAsiaTheme="minorEastAsia"/>
          <w:lang w:eastAsia="zh-CN"/>
        </w:rPr>
        <w:t>solut</w:t>
      </w:r>
      <w:r>
        <w:rPr>
          <w:rFonts w:eastAsiaTheme="minorEastAsia"/>
          <w:lang w:eastAsia="zh-CN"/>
        </w:rPr>
        <w:t>i</w:t>
      </w:r>
      <w:r>
        <w:rPr>
          <w:rFonts w:eastAsiaTheme="minorEastAsia"/>
          <w:lang w:eastAsia="zh-CN"/>
        </w:rPr>
        <w:t>on 1</w:t>
      </w:r>
      <w:r>
        <w:rPr>
          <w:rFonts w:eastAsiaTheme="minorEastAsia"/>
          <w:lang w:eastAsia="zh-CN"/>
        </w:rPr>
        <w:t xml:space="preserve"> and solution 2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7566DF" w15:done="0"/>
  <w15:commentEx w15:paraId="55C56879" w15:done="0"/>
  <w15:commentEx w15:paraId="3F772984" w15:paraIdParent="55C56879" w15:done="0"/>
  <w15:commentEx w15:paraId="2A37D5FC" w15:done="0"/>
  <w15:commentEx w15:paraId="6B966C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F3643F"/>
    <w:multiLevelType w:val="multilevel"/>
    <w:tmpl w:val="35F364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12C0"/>
    <w:multiLevelType w:val="multilevel"/>
    <w:tmpl w:val="3D5412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860A15"/>
    <w:multiLevelType w:val="multilevel"/>
    <w:tmpl w:val="65860A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ap Majmundar (AT&amp;T)">
    <w15:person w15:author="ZTE">
      <w15:presenceInfo w15:providerId="None" w15:userId="ZTE"/>
    </w15:person>
    <w15:person w15:author="Huawei">
      <w15:presenceInfo w15:providerId="None" w15:userId="Huawei"/>
    </w15:person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E11"/>
    <w:rsid w:val="000026AB"/>
    <w:rsid w:val="00017F23"/>
    <w:rsid w:val="00031D82"/>
    <w:rsid w:val="00056D08"/>
    <w:rsid w:val="00067B47"/>
    <w:rsid w:val="00071869"/>
    <w:rsid w:val="00077CD0"/>
    <w:rsid w:val="00086667"/>
    <w:rsid w:val="00086E35"/>
    <w:rsid w:val="000872B1"/>
    <w:rsid w:val="000A0A68"/>
    <w:rsid w:val="000A1B4D"/>
    <w:rsid w:val="000A58B7"/>
    <w:rsid w:val="000C1EEC"/>
    <w:rsid w:val="000D042F"/>
    <w:rsid w:val="000D08CD"/>
    <w:rsid w:val="000F6242"/>
    <w:rsid w:val="0010162F"/>
    <w:rsid w:val="001038A5"/>
    <w:rsid w:val="00110A27"/>
    <w:rsid w:val="00125DAD"/>
    <w:rsid w:val="0012761C"/>
    <w:rsid w:val="00143A20"/>
    <w:rsid w:val="00151ED0"/>
    <w:rsid w:val="00152CBB"/>
    <w:rsid w:val="0018042E"/>
    <w:rsid w:val="00190F82"/>
    <w:rsid w:val="00192A3D"/>
    <w:rsid w:val="001D2439"/>
    <w:rsid w:val="001E2C4F"/>
    <w:rsid w:val="002017BA"/>
    <w:rsid w:val="00202BC9"/>
    <w:rsid w:val="00205F32"/>
    <w:rsid w:val="002425E7"/>
    <w:rsid w:val="00254ECB"/>
    <w:rsid w:val="00273686"/>
    <w:rsid w:val="002760EB"/>
    <w:rsid w:val="00277B44"/>
    <w:rsid w:val="0028345A"/>
    <w:rsid w:val="00283FC0"/>
    <w:rsid w:val="002A032F"/>
    <w:rsid w:val="002A49E2"/>
    <w:rsid w:val="002D2DD1"/>
    <w:rsid w:val="002D7D82"/>
    <w:rsid w:val="002E75ED"/>
    <w:rsid w:val="002F1940"/>
    <w:rsid w:val="002F3283"/>
    <w:rsid w:val="00312D23"/>
    <w:rsid w:val="00321600"/>
    <w:rsid w:val="00322641"/>
    <w:rsid w:val="00336C44"/>
    <w:rsid w:val="003538BC"/>
    <w:rsid w:val="00361D53"/>
    <w:rsid w:val="00364127"/>
    <w:rsid w:val="00364989"/>
    <w:rsid w:val="003672B6"/>
    <w:rsid w:val="00372E23"/>
    <w:rsid w:val="003757ED"/>
    <w:rsid w:val="00376D10"/>
    <w:rsid w:val="00383545"/>
    <w:rsid w:val="003905A3"/>
    <w:rsid w:val="00390763"/>
    <w:rsid w:val="00391C24"/>
    <w:rsid w:val="00391FC3"/>
    <w:rsid w:val="003A0609"/>
    <w:rsid w:val="003B5CB5"/>
    <w:rsid w:val="003C4245"/>
    <w:rsid w:val="003D6FE6"/>
    <w:rsid w:val="003E0C6B"/>
    <w:rsid w:val="003E4CC6"/>
    <w:rsid w:val="003E682A"/>
    <w:rsid w:val="003F01AB"/>
    <w:rsid w:val="003F5724"/>
    <w:rsid w:val="003F7B90"/>
    <w:rsid w:val="00405705"/>
    <w:rsid w:val="00410375"/>
    <w:rsid w:val="00414C58"/>
    <w:rsid w:val="00414E37"/>
    <w:rsid w:val="004151A7"/>
    <w:rsid w:val="0041623D"/>
    <w:rsid w:val="00433500"/>
    <w:rsid w:val="00433F71"/>
    <w:rsid w:val="00440D43"/>
    <w:rsid w:val="004676AF"/>
    <w:rsid w:val="0047586B"/>
    <w:rsid w:val="004824E7"/>
    <w:rsid w:val="00486D04"/>
    <w:rsid w:val="00492879"/>
    <w:rsid w:val="004A3CAD"/>
    <w:rsid w:val="004B06E0"/>
    <w:rsid w:val="004B6D66"/>
    <w:rsid w:val="004D1AC8"/>
    <w:rsid w:val="004E3939"/>
    <w:rsid w:val="004E5809"/>
    <w:rsid w:val="005004B0"/>
    <w:rsid w:val="00502E8E"/>
    <w:rsid w:val="00505E20"/>
    <w:rsid w:val="00510418"/>
    <w:rsid w:val="00521A31"/>
    <w:rsid w:val="00527D03"/>
    <w:rsid w:val="005302E7"/>
    <w:rsid w:val="00530E1A"/>
    <w:rsid w:val="00535C2D"/>
    <w:rsid w:val="00570074"/>
    <w:rsid w:val="00584E04"/>
    <w:rsid w:val="005A62A5"/>
    <w:rsid w:val="005B3C8E"/>
    <w:rsid w:val="005C3EF5"/>
    <w:rsid w:val="005D6371"/>
    <w:rsid w:val="005E5DDF"/>
    <w:rsid w:val="005F01B1"/>
    <w:rsid w:val="005F5037"/>
    <w:rsid w:val="005F6555"/>
    <w:rsid w:val="0060107F"/>
    <w:rsid w:val="006054A9"/>
    <w:rsid w:val="00613B57"/>
    <w:rsid w:val="0062238D"/>
    <w:rsid w:val="00622D99"/>
    <w:rsid w:val="00641134"/>
    <w:rsid w:val="006432D4"/>
    <w:rsid w:val="00643F18"/>
    <w:rsid w:val="006457F5"/>
    <w:rsid w:val="006459B4"/>
    <w:rsid w:val="006628D2"/>
    <w:rsid w:val="00664347"/>
    <w:rsid w:val="00673028"/>
    <w:rsid w:val="00690B4C"/>
    <w:rsid w:val="00691780"/>
    <w:rsid w:val="00694E9C"/>
    <w:rsid w:val="006A01BB"/>
    <w:rsid w:val="006B1D9D"/>
    <w:rsid w:val="006C37E9"/>
    <w:rsid w:val="006C7663"/>
    <w:rsid w:val="006D36C5"/>
    <w:rsid w:val="006E4363"/>
    <w:rsid w:val="006F30D2"/>
    <w:rsid w:val="006F6C6A"/>
    <w:rsid w:val="00721E52"/>
    <w:rsid w:val="00726B36"/>
    <w:rsid w:val="00730A0C"/>
    <w:rsid w:val="00751730"/>
    <w:rsid w:val="0076443B"/>
    <w:rsid w:val="00771F16"/>
    <w:rsid w:val="007A3CB1"/>
    <w:rsid w:val="007B5003"/>
    <w:rsid w:val="007C0CF6"/>
    <w:rsid w:val="007D2712"/>
    <w:rsid w:val="007D4AC6"/>
    <w:rsid w:val="007E7A9A"/>
    <w:rsid w:val="007F22BA"/>
    <w:rsid w:val="007F4F92"/>
    <w:rsid w:val="008036C0"/>
    <w:rsid w:val="00804D74"/>
    <w:rsid w:val="00814A18"/>
    <w:rsid w:val="00815373"/>
    <w:rsid w:val="00824D38"/>
    <w:rsid w:val="008259BD"/>
    <w:rsid w:val="0082765A"/>
    <w:rsid w:val="00856DD7"/>
    <w:rsid w:val="00856E9B"/>
    <w:rsid w:val="00857979"/>
    <w:rsid w:val="00864992"/>
    <w:rsid w:val="008656E5"/>
    <w:rsid w:val="008721B6"/>
    <w:rsid w:val="00877BEE"/>
    <w:rsid w:val="00881759"/>
    <w:rsid w:val="008849E9"/>
    <w:rsid w:val="008A7E14"/>
    <w:rsid w:val="008B7A29"/>
    <w:rsid w:val="008C6991"/>
    <w:rsid w:val="008D1AFD"/>
    <w:rsid w:val="008D772F"/>
    <w:rsid w:val="008F1F50"/>
    <w:rsid w:val="008F2EF4"/>
    <w:rsid w:val="008F3D7C"/>
    <w:rsid w:val="008F5666"/>
    <w:rsid w:val="00900749"/>
    <w:rsid w:val="00900E95"/>
    <w:rsid w:val="00923B94"/>
    <w:rsid w:val="00945DFA"/>
    <w:rsid w:val="0095622E"/>
    <w:rsid w:val="0096295E"/>
    <w:rsid w:val="009750C3"/>
    <w:rsid w:val="00980D02"/>
    <w:rsid w:val="0098381C"/>
    <w:rsid w:val="00984292"/>
    <w:rsid w:val="00987077"/>
    <w:rsid w:val="0099764C"/>
    <w:rsid w:val="009A0AE7"/>
    <w:rsid w:val="009A2477"/>
    <w:rsid w:val="009D05C0"/>
    <w:rsid w:val="00A07012"/>
    <w:rsid w:val="00A07225"/>
    <w:rsid w:val="00A25B32"/>
    <w:rsid w:val="00A26AC0"/>
    <w:rsid w:val="00A334CC"/>
    <w:rsid w:val="00A351C4"/>
    <w:rsid w:val="00A37E85"/>
    <w:rsid w:val="00A415F4"/>
    <w:rsid w:val="00A637FD"/>
    <w:rsid w:val="00A74303"/>
    <w:rsid w:val="00AA583E"/>
    <w:rsid w:val="00AB00F5"/>
    <w:rsid w:val="00AC0516"/>
    <w:rsid w:val="00AD114B"/>
    <w:rsid w:val="00AD2090"/>
    <w:rsid w:val="00AD2561"/>
    <w:rsid w:val="00AD4CAA"/>
    <w:rsid w:val="00AD73A9"/>
    <w:rsid w:val="00AF6CB8"/>
    <w:rsid w:val="00B0201E"/>
    <w:rsid w:val="00B03C65"/>
    <w:rsid w:val="00B04880"/>
    <w:rsid w:val="00B16AE8"/>
    <w:rsid w:val="00B3473B"/>
    <w:rsid w:val="00B52C92"/>
    <w:rsid w:val="00B56F42"/>
    <w:rsid w:val="00B60B81"/>
    <w:rsid w:val="00B62D83"/>
    <w:rsid w:val="00B850C7"/>
    <w:rsid w:val="00B9481C"/>
    <w:rsid w:val="00B97703"/>
    <w:rsid w:val="00BC49B6"/>
    <w:rsid w:val="00BD7E7C"/>
    <w:rsid w:val="00BE68FC"/>
    <w:rsid w:val="00BE71F4"/>
    <w:rsid w:val="00BF22DB"/>
    <w:rsid w:val="00C035DB"/>
    <w:rsid w:val="00C13665"/>
    <w:rsid w:val="00C137EA"/>
    <w:rsid w:val="00C26835"/>
    <w:rsid w:val="00C30D30"/>
    <w:rsid w:val="00C35B0B"/>
    <w:rsid w:val="00C459D3"/>
    <w:rsid w:val="00C570AF"/>
    <w:rsid w:val="00C64967"/>
    <w:rsid w:val="00C71EA8"/>
    <w:rsid w:val="00C80558"/>
    <w:rsid w:val="00C827FA"/>
    <w:rsid w:val="00C84B00"/>
    <w:rsid w:val="00C86CB2"/>
    <w:rsid w:val="00C92C2F"/>
    <w:rsid w:val="00C943F4"/>
    <w:rsid w:val="00C97DCC"/>
    <w:rsid w:val="00CA38BC"/>
    <w:rsid w:val="00CD0476"/>
    <w:rsid w:val="00CD05AC"/>
    <w:rsid w:val="00CD6AF0"/>
    <w:rsid w:val="00CE1501"/>
    <w:rsid w:val="00CE37E3"/>
    <w:rsid w:val="00CE390D"/>
    <w:rsid w:val="00CF3F90"/>
    <w:rsid w:val="00CF6087"/>
    <w:rsid w:val="00D17003"/>
    <w:rsid w:val="00D41D38"/>
    <w:rsid w:val="00D45B5F"/>
    <w:rsid w:val="00D465D1"/>
    <w:rsid w:val="00D80910"/>
    <w:rsid w:val="00D93561"/>
    <w:rsid w:val="00DA2386"/>
    <w:rsid w:val="00DD2070"/>
    <w:rsid w:val="00DE53C1"/>
    <w:rsid w:val="00E05FBC"/>
    <w:rsid w:val="00E20CB2"/>
    <w:rsid w:val="00E22B3E"/>
    <w:rsid w:val="00E23E15"/>
    <w:rsid w:val="00E36795"/>
    <w:rsid w:val="00E5551D"/>
    <w:rsid w:val="00E65746"/>
    <w:rsid w:val="00E65968"/>
    <w:rsid w:val="00E674DB"/>
    <w:rsid w:val="00E86CCD"/>
    <w:rsid w:val="00EA40C6"/>
    <w:rsid w:val="00EB0A26"/>
    <w:rsid w:val="00EB22D5"/>
    <w:rsid w:val="00EB2678"/>
    <w:rsid w:val="00EB2AA4"/>
    <w:rsid w:val="00EB3694"/>
    <w:rsid w:val="00ED570A"/>
    <w:rsid w:val="00ED7764"/>
    <w:rsid w:val="00F077F3"/>
    <w:rsid w:val="00F33CC2"/>
    <w:rsid w:val="00F50C15"/>
    <w:rsid w:val="00F54935"/>
    <w:rsid w:val="00F5534C"/>
    <w:rsid w:val="00F72F9A"/>
    <w:rsid w:val="00F87351"/>
    <w:rsid w:val="00FA1EDB"/>
    <w:rsid w:val="00FA64A2"/>
    <w:rsid w:val="00FB6EC3"/>
    <w:rsid w:val="00FB7F3C"/>
    <w:rsid w:val="00FC5D7E"/>
    <w:rsid w:val="00FD2C37"/>
    <w:rsid w:val="00FF70D2"/>
    <w:rsid w:val="063864B6"/>
    <w:rsid w:val="30195AB1"/>
    <w:rsid w:val="35E06FC1"/>
    <w:rsid w:val="476E71D9"/>
    <w:rsid w:val="7D4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C822EA-23CA-408F-9809-4CEA2E3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微软雅黑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微软雅黑" w:hAnsi="Tahoma"/>
      <w:sz w:val="22"/>
      <w:szCs w:val="22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Huawei</cp:lastModifiedBy>
  <cp:revision>3</cp:revision>
  <cp:lastPrinted>2021-05-27T01:53:00Z</cp:lastPrinted>
  <dcterms:created xsi:type="dcterms:W3CDTF">2021-08-23T12:50:00Z</dcterms:created>
  <dcterms:modified xsi:type="dcterms:W3CDTF">2021-08-23T12:53:00Z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