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190F8A" w:rsidP="006F7375">
            <w:pPr>
              <w:pStyle w:val="TAC"/>
              <w:spacing w:before="20" w:after="20"/>
              <w:ind w:left="57" w:right="57"/>
              <w:jc w:val="left"/>
              <w:rPr>
                <w:lang w:eastAsia="zh-CN"/>
              </w:rPr>
            </w:pPr>
            <w:hyperlink r:id="rId12" w:history="1">
              <w:r w:rsidR="006F7375" w:rsidRPr="001946DC">
                <w:rPr>
                  <w:rStyle w:val="Hyperlink"/>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r w:rsidR="00BE1FEF" w14:paraId="3B6B3FF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400D7" w14:textId="455AF806" w:rsidR="00BE1FEF" w:rsidRDefault="00BE1FEF" w:rsidP="00BE1FEF">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4C410B0D" w14:textId="4DE9D805" w:rsidR="00BE1FEF" w:rsidRDefault="00BE1FEF" w:rsidP="00BE1FEF">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7651CE7B" w14:textId="1F11097E" w:rsidR="00BE1FEF" w:rsidRDefault="00BE1FEF" w:rsidP="00BE1FEF">
            <w:pPr>
              <w:pStyle w:val="TAC"/>
              <w:spacing w:before="20" w:after="20"/>
              <w:ind w:left="57" w:right="57"/>
              <w:jc w:val="left"/>
              <w:rPr>
                <w:lang w:eastAsia="zh-CN"/>
              </w:rPr>
            </w:pPr>
            <w:r>
              <w:rPr>
                <w:lang w:eastAsia="zh-CN"/>
              </w:rPr>
              <w:t>kimba@vivo.com</w:t>
            </w:r>
          </w:p>
        </w:tc>
      </w:tr>
      <w:tr w:rsidR="00616497" w14:paraId="673821AA"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9DD5C" w14:textId="253D6B47" w:rsidR="00616497" w:rsidRDefault="00616497" w:rsidP="00616497">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33DCEAA" w14:textId="3BB2A3D4" w:rsidR="00616497" w:rsidRDefault="00616497" w:rsidP="00C3716D">
            <w:pPr>
              <w:pStyle w:val="TAC"/>
              <w:spacing w:before="20" w:after="20"/>
              <w:ind w:left="57" w:right="57"/>
              <w:jc w:val="left"/>
              <w:rPr>
                <w:lang w:eastAsia="zh-CN"/>
              </w:rPr>
            </w:pPr>
            <w:r>
              <w:rPr>
                <w:lang w:eastAsia="zh-CN"/>
              </w:rPr>
              <w:t>Jaehyuk Jang</w:t>
            </w:r>
            <w:bookmarkStart w:id="0" w:name="_GoBack"/>
            <w:bookmarkEnd w:id="0"/>
          </w:p>
        </w:tc>
        <w:tc>
          <w:tcPr>
            <w:tcW w:w="4391" w:type="dxa"/>
            <w:tcBorders>
              <w:top w:val="single" w:sz="4" w:space="0" w:color="auto"/>
              <w:left w:val="single" w:sz="4" w:space="0" w:color="auto"/>
              <w:bottom w:val="single" w:sz="4" w:space="0" w:color="auto"/>
              <w:right w:val="single" w:sz="4" w:space="0" w:color="auto"/>
            </w:tcBorders>
          </w:tcPr>
          <w:p w14:paraId="552E2B18" w14:textId="579EF99A" w:rsidR="00616497" w:rsidRDefault="00616497" w:rsidP="00616497">
            <w:pPr>
              <w:pStyle w:val="TAC"/>
              <w:spacing w:before="20" w:after="20"/>
              <w:ind w:left="57" w:right="57"/>
              <w:jc w:val="left"/>
              <w:rPr>
                <w:lang w:eastAsia="zh-CN"/>
              </w:rPr>
            </w:pPr>
            <w:r>
              <w:rPr>
                <w:lang w:eastAsia="zh-CN"/>
              </w:rPr>
              <w:t>jack.jang@samsung.com</w:t>
            </w: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RRCResumeRequest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Is there any mechanism for the source gNB/ng-eNB to know the target gNB/ng-eNB capabilities?</w:t>
            </w:r>
          </w:p>
          <w:p w14:paraId="472DEF57" w14:textId="07D8A616" w:rsidR="006D357D" w:rsidRPr="005D1FDB" w:rsidRDefault="005D1FDB" w:rsidP="006F3D41">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Heading2"/>
        <w:rPr>
          <w:lang w:eastAsia="zh-CN"/>
        </w:rPr>
      </w:pPr>
      <w:r>
        <w:rPr>
          <w:lang w:eastAsia="zh-CN"/>
        </w:rPr>
        <w:lastRenderedPageBreak/>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ListParagraph"/>
              <w:numPr>
                <w:ilvl w:val="0"/>
                <w:numId w:val="22"/>
              </w:numPr>
              <w:contextualSpacing w:val="0"/>
            </w:pPr>
          </w:p>
        </w:tc>
        <w:tc>
          <w:tcPr>
            <w:tcW w:w="2268" w:type="dxa"/>
          </w:tcPr>
          <w:p w14:paraId="464105D0" w14:textId="77777777" w:rsidR="00CB424E" w:rsidRDefault="00190F8A" w:rsidP="006F3D41">
            <w:pPr>
              <w:rPr>
                <w:lang w:eastAsia="zh-CN"/>
              </w:rPr>
            </w:pPr>
            <w:hyperlink r:id="rId13" w:tooltip="D:Documents3GPPtsg_ranWG2TSGR2_115-eDocsR2-2107299.zip" w:history="1">
              <w:r w:rsidR="00CB424E" w:rsidRPr="00E8383A">
                <w:rPr>
                  <w:rStyle w:val="Hyperlink"/>
                  <w:lang w:eastAsia="zh-CN"/>
                </w:rPr>
                <w:t>R2-2107299</w:t>
              </w:r>
            </w:hyperlink>
            <w:r w:rsidR="00CB424E" w:rsidRPr="00E8383A">
              <w:rPr>
                <w:lang w:eastAsia="zh-CN"/>
              </w:rPr>
              <w:tab/>
              <w:t>Discussion and Response on SA3 LS on new ResumeMac-I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gNB/ng-eNB</w:t>
            </w:r>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r w:rsidRPr="002B373E">
              <w:rPr>
                <w:i/>
                <w:iCs/>
              </w:rPr>
              <w:t>ResumeMac-I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echanism for the source gNB/ng-eNB to know the target gNB</w:t>
            </w:r>
            <w:r>
              <w:t>/ng-eNB</w:t>
            </w:r>
            <w:r w:rsidRPr="00C22194">
              <w:t xml:space="preserve"> capabilities?</w:t>
            </w:r>
          </w:p>
          <w:p w14:paraId="4D793BAD" w14:textId="77777777" w:rsidR="00677996" w:rsidRDefault="00677996" w:rsidP="00677996">
            <w:r w:rsidRPr="004239EB">
              <w:t>Current Xn specification does not seem to provide the full ResumeRequest message to the old gNB for it to calculate the ResumeMac-I using the new method.  Hence the new gNB needs to be updated to provide the full ResumeRequest message over Xn.</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6F3D41">
        <w:tc>
          <w:tcPr>
            <w:tcW w:w="421" w:type="dxa"/>
          </w:tcPr>
          <w:p w14:paraId="555DBD2B" w14:textId="77777777" w:rsidR="00F04A7B" w:rsidRDefault="00F04A7B" w:rsidP="006F3D41">
            <w:pPr>
              <w:pStyle w:val="ListParagraph"/>
              <w:numPr>
                <w:ilvl w:val="0"/>
                <w:numId w:val="22"/>
              </w:numPr>
              <w:contextualSpacing w:val="0"/>
            </w:pPr>
          </w:p>
        </w:tc>
        <w:tc>
          <w:tcPr>
            <w:tcW w:w="2268" w:type="dxa"/>
          </w:tcPr>
          <w:p w14:paraId="082F05B3" w14:textId="3CFB6B4C" w:rsidR="00F04A7B" w:rsidRPr="00F04A7B" w:rsidRDefault="00190F8A" w:rsidP="006F3D41">
            <w:pPr>
              <w:rPr>
                <w:lang w:val="en-US" w:eastAsia="zh-CN"/>
              </w:rPr>
            </w:pPr>
            <w:hyperlink r:id="rId14" w:tooltip="D:Documents3GPPtsg_ranWG2TSGR2_115-eDocsR2-2107483.zip" w:history="1">
              <w:r w:rsidR="00F04A7B" w:rsidRPr="00E8383A">
                <w:rPr>
                  <w:rStyle w:val="Hyperlink"/>
                  <w:lang w:eastAsia="zh-CN"/>
                </w:rPr>
                <w:t>R2-2107483</w:t>
              </w:r>
            </w:hyperlink>
            <w:r w:rsidR="00F04A7B" w:rsidRPr="00E8383A">
              <w:rPr>
                <w:lang w:eastAsia="zh-CN"/>
              </w:rPr>
              <w:tab/>
              <w:t>On the security protection of RRCResumeRequest message</w:t>
            </w:r>
            <w:r w:rsidR="00F04A7B" w:rsidRPr="00E8383A">
              <w:rPr>
                <w:lang w:eastAsia="zh-CN"/>
              </w:rPr>
              <w:tab/>
              <w:t>ZTE</w:t>
            </w:r>
            <w:r w:rsidR="00F04A7B">
              <w:rPr>
                <w:lang w:eastAsia="zh-CN"/>
              </w:rPr>
              <w:t xml:space="preserve">, </w:t>
            </w:r>
            <w:r w:rsidR="00F04A7B" w:rsidRPr="00E8383A">
              <w:rPr>
                <w:lang w:eastAsia="zh-CN"/>
              </w:rPr>
              <w:t>Sanechips</w:t>
            </w:r>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w:t>
            </w:r>
            <w:r>
              <w:t xml:space="preserve"> if both the anchor gNB and the UE support the new feature</w:t>
            </w:r>
            <w:r w:rsidRPr="000C02D5">
              <w:t>). Hence, this doesn’t need an SIB indication or a new mechanism to negotiate the capability between UE and gNB or between gNBs.</w:t>
            </w:r>
          </w:p>
        </w:tc>
      </w:tr>
      <w:tr w:rsidR="00F04A7B" w:rsidRPr="00F04A7B" w14:paraId="119A3ED9" w14:textId="77777777" w:rsidTr="006F3D41">
        <w:tc>
          <w:tcPr>
            <w:tcW w:w="421" w:type="dxa"/>
          </w:tcPr>
          <w:p w14:paraId="60295335" w14:textId="77777777" w:rsidR="00F04A7B" w:rsidRDefault="00F04A7B" w:rsidP="006F3D41">
            <w:pPr>
              <w:pStyle w:val="ListParagraph"/>
              <w:numPr>
                <w:ilvl w:val="0"/>
                <w:numId w:val="22"/>
              </w:numPr>
              <w:contextualSpacing w:val="0"/>
            </w:pPr>
          </w:p>
        </w:tc>
        <w:tc>
          <w:tcPr>
            <w:tcW w:w="2268" w:type="dxa"/>
          </w:tcPr>
          <w:p w14:paraId="2C6A1396" w14:textId="6692B1A1" w:rsidR="00F04A7B" w:rsidRPr="00E8383A" w:rsidRDefault="00190F8A" w:rsidP="006F3D41">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gNB/ng-eNB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For the gNB/ng-eNB’s capability indication, RAN2 understanding is that gNB/ng-eNB indicates its capability in both SIB1 and the RRC dedicated signaling (i.e. RRCRelease with SuspendConfig):</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When gNB/ng-eNB is the target node (i.e. the the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gNB/ng-eNB is the source node (i.e. the last serving node), it indicates the capability to UE via the RRC dedicated signaling (i.e. </w:t>
            </w:r>
            <w:r w:rsidRPr="00F04A7B">
              <w:rPr>
                <w:rFonts w:eastAsia="DengXian"/>
                <w:lang w:eastAsia="zh-CN"/>
              </w:rPr>
              <w:lastRenderedPageBreak/>
              <w:t xml:space="preserve">RRCRelease with SuspendConfig),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UE only uses the new MAC-I for RRCResumeRequest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ListParagraph"/>
              <w:numPr>
                <w:ilvl w:val="0"/>
                <w:numId w:val="22"/>
              </w:numPr>
              <w:contextualSpacing w:val="0"/>
            </w:pPr>
          </w:p>
        </w:tc>
        <w:tc>
          <w:tcPr>
            <w:tcW w:w="2268" w:type="dxa"/>
          </w:tcPr>
          <w:p w14:paraId="2D27FAF9" w14:textId="1D3856B4" w:rsidR="00CD4C30" w:rsidRPr="00E8383A" w:rsidRDefault="00190F8A" w:rsidP="006F3D41">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gNB/ng-eNB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gNB/ng-eNB to know the target gNB/ng-eNB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gNB/ng-eNB by means of Xn setup procedure, Xn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ListParagraph"/>
              <w:numPr>
                <w:ilvl w:val="0"/>
                <w:numId w:val="22"/>
              </w:numPr>
              <w:contextualSpacing w:val="0"/>
            </w:pPr>
          </w:p>
        </w:tc>
        <w:tc>
          <w:tcPr>
            <w:tcW w:w="2268" w:type="dxa"/>
          </w:tcPr>
          <w:p w14:paraId="4DFBC09D" w14:textId="711ADF9C" w:rsidR="00E479AA" w:rsidRPr="00E8383A" w:rsidRDefault="00190F8A" w:rsidP="006F3D41">
            <w:pPr>
              <w:rPr>
                <w:rFonts w:eastAsia="MS Mincho"/>
                <w:noProof/>
                <w:szCs w:val="24"/>
                <w:lang w:eastAsia="en-GB"/>
              </w:rPr>
            </w:pPr>
            <w:hyperlink r:id="rId17"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Extended MAC-I for RRCResumeRequest</w:t>
            </w:r>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gNB/ng-eNB could indicate its support in SIB1.  For the source gNB/ng-eNB, it could indicate its support in the </w:t>
            </w:r>
            <w:r w:rsidRPr="00AF5636">
              <w:rPr>
                <w:rFonts w:eastAsia="PMingLiU"/>
                <w:i/>
                <w:lang w:eastAsia="zh-TW"/>
              </w:rPr>
              <w:t>RRCRelease</w:t>
            </w:r>
            <w:r w:rsidRPr="00AF5636">
              <w:rPr>
                <w:rFonts w:eastAsia="PMingLiU"/>
                <w:lang w:eastAsia="zh-TW"/>
              </w:rPr>
              <w:t>/</w:t>
            </w:r>
            <w:r w:rsidRPr="00AF5636">
              <w:rPr>
                <w:rFonts w:eastAsia="PMingLiU"/>
                <w:i/>
                <w:lang w:eastAsia="zh-TW"/>
              </w:rPr>
              <w:t>RRCConnectionRelease</w:t>
            </w:r>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190F8A" w:rsidP="00920CDF">
            <w:pPr>
              <w:rPr>
                <w:rStyle w:val="Hyperlink"/>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RRCResumeRequest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capabilty of supporting the security enhancement for RRCResumeRequest message.</w:t>
            </w:r>
          </w:p>
        </w:tc>
      </w:tr>
      <w:tr w:rsidR="00920CDF" w:rsidRPr="00F04A7B" w14:paraId="64BAECB7" w14:textId="77777777" w:rsidTr="006F3D41">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190F8A" w:rsidP="00920CDF">
            <w:pPr>
              <w:rPr>
                <w:rStyle w:val="Hyperlink"/>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ResumeMAC-I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gNB capability indication of new type ResumeMAC-I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lastRenderedPageBreak/>
              <w:t>RRC configuration to enable the UE to use the new type ResumeMAC-I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ResumeMAC-I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UE is required to support the new ResumeMAC-I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ResumeMAC-I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r w:rsidR="00211FB5">
        <w:rPr>
          <w:lang w:val="en-US" w:eastAsia="zh-CN"/>
        </w:rPr>
        <w:t>Resume</w:t>
      </w:r>
      <w:r w:rsidR="00B1507F" w:rsidRPr="00B1507F">
        <w:rPr>
          <w:lang w:val="en-US" w:eastAsia="zh-CN"/>
        </w:rPr>
        <w:t>MAC-I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newResumeMAC-I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BCB588F" w14:textId="1F3C4B90" w:rsidR="00946208" w:rsidRDefault="00946208" w:rsidP="006F3D41">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r w:rsidR="00AD5675">
              <w:rPr>
                <w:rFonts w:hint="eastAsia"/>
                <w:lang w:val="en-US" w:eastAsia="zh-CN"/>
              </w:rPr>
              <w:t>g</w:t>
            </w:r>
            <w:r w:rsidR="00AD5675">
              <w:rPr>
                <w:lang w:val="en-US" w:eastAsia="zh-CN"/>
              </w:rPr>
              <w:t xml:space="preserve">NB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 xml:space="preserve">NB’s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X</w:t>
            </w:r>
            <w:r w:rsidR="00AD5675">
              <w:rPr>
                <w:rFonts w:hint="eastAsia"/>
                <w:lang w:val="en-US" w:eastAsia="zh-CN"/>
              </w:rPr>
              <w:t>n</w:t>
            </w:r>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NB.</w:t>
            </w:r>
          </w:p>
          <w:p w14:paraId="0FD13E1A" w14:textId="51ABC935" w:rsidR="00B16B30" w:rsidRPr="00BB0D49"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r w:rsidR="00BE1FEF" w14:paraId="61AFE0B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9AB6B1" w14:textId="261ADFE5"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5F74DA" w14:textId="700C2A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B128CCA" w14:textId="77777777" w:rsidR="00BE1FEF" w:rsidRDefault="00BE1FEF" w:rsidP="00BE1FEF">
            <w:pPr>
              <w:pStyle w:val="TAC"/>
              <w:spacing w:before="20" w:after="20"/>
              <w:ind w:left="57" w:right="57"/>
              <w:jc w:val="both"/>
              <w:rPr>
                <w:lang w:val="en-US" w:eastAsia="zh-CN"/>
              </w:rPr>
            </w:pPr>
          </w:p>
        </w:tc>
      </w:tr>
      <w:tr w:rsidR="00616497" w14:paraId="67B8E23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C73AA6" w14:textId="57ADD94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221D8F5" w14:textId="4375DF1F"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78D0300" w14:textId="1BFD900A" w:rsidR="00616497" w:rsidRDefault="00616497" w:rsidP="00616497">
            <w:pPr>
              <w:pStyle w:val="TAC"/>
              <w:spacing w:before="20" w:after="20"/>
              <w:ind w:left="57" w:right="57"/>
              <w:jc w:val="both"/>
              <w:rPr>
                <w:lang w:val="en-US" w:eastAsia="zh-CN"/>
              </w:rPr>
            </w:pPr>
            <w:r>
              <w:rPr>
                <w:lang w:eastAsia="zh-CN"/>
              </w:rPr>
              <w:t>-</w:t>
            </w: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r w:rsidR="00BE1FEF" w14:paraId="04290FE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186B2" w14:textId="5860E68E"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593D91" w14:textId="1879A9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69BDAE2" w14:textId="77777777" w:rsidR="00BE1FEF" w:rsidRDefault="00BE1FEF" w:rsidP="00BE1FEF">
            <w:pPr>
              <w:pStyle w:val="TAC"/>
              <w:spacing w:before="20" w:after="20"/>
              <w:ind w:left="57" w:right="57"/>
              <w:jc w:val="left"/>
              <w:rPr>
                <w:lang w:eastAsia="zh-CN"/>
              </w:rPr>
            </w:pPr>
          </w:p>
        </w:tc>
      </w:tr>
      <w:tr w:rsidR="00616497" w14:paraId="01AFE4A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6DBCC" w14:textId="16D2825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DB00A5" w14:textId="24DF6587"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EB49B1F" w14:textId="2946B3AD" w:rsidR="00616497" w:rsidRDefault="00616497" w:rsidP="00616497">
            <w:pPr>
              <w:pStyle w:val="TAC"/>
              <w:spacing w:before="20" w:after="20"/>
              <w:ind w:left="57" w:right="57"/>
              <w:jc w:val="left"/>
              <w:rPr>
                <w:lang w:eastAsia="zh-CN"/>
              </w:rPr>
            </w:pPr>
            <w:r>
              <w:rPr>
                <w:lang w:eastAsia="zh-CN"/>
              </w:rPr>
              <w:t>-</w:t>
            </w: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ResumeMAC-I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34340C0A" w14:textId="25756E5D"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r w:rsidR="00FA2B20">
              <w:rPr>
                <w:rFonts w:hint="eastAsia"/>
                <w:lang w:eastAsia="zh-CN"/>
              </w:rPr>
              <w:t>g</w:t>
            </w:r>
            <w:r w:rsidR="00FA2B20">
              <w:rPr>
                <w:lang w:eastAsia="zh-CN"/>
              </w:rPr>
              <w:t xml:space="preserve">NB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r w:rsidR="00FA2B20">
              <w:rPr>
                <w:rFonts w:hint="eastAsia"/>
                <w:lang w:eastAsia="zh-CN"/>
              </w:rPr>
              <w:t>g</w:t>
            </w:r>
            <w:r w:rsidR="00FA2B20">
              <w:rPr>
                <w:lang w:eastAsia="zh-CN"/>
              </w:rPr>
              <w:t>NB’</w:t>
            </w:r>
            <w:r w:rsidR="00FA2B20">
              <w:rPr>
                <w:rFonts w:hint="eastAsia"/>
                <w:lang w:eastAsia="zh-CN"/>
              </w:rPr>
              <w:t>s</w:t>
            </w:r>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r>
              <w:rPr>
                <w:lang w:eastAsia="zh-CN"/>
              </w:rPr>
              <w:t>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E49E0CD" w14:textId="3DA89577" w:rsidR="00BE5CA1" w:rsidRP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r w:rsidR="00BE1FEF" w14:paraId="2FE54EB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AC722" w14:textId="2B644DCD"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3862391" w14:textId="42097941"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C0F3EB4" w14:textId="77777777" w:rsidR="00BE1FEF" w:rsidRDefault="00BE1FEF" w:rsidP="00BE1FEF">
            <w:pPr>
              <w:pStyle w:val="TAC"/>
              <w:spacing w:before="20" w:after="20"/>
              <w:ind w:left="57" w:right="57"/>
              <w:jc w:val="both"/>
              <w:rPr>
                <w:lang w:eastAsia="zh-CN"/>
              </w:rPr>
            </w:pPr>
          </w:p>
        </w:tc>
      </w:tr>
      <w:tr w:rsidR="00616497" w14:paraId="167A70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E0C82" w14:textId="29D6C5F3"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EF27E0A" w14:textId="2F74CC3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7DA22EB" w14:textId="0385CE61" w:rsidR="00616497" w:rsidRDefault="00616497" w:rsidP="00616497">
            <w:pPr>
              <w:pStyle w:val="TAC"/>
              <w:spacing w:before="20" w:after="20"/>
              <w:ind w:left="57" w:right="57"/>
              <w:jc w:val="both"/>
              <w:rPr>
                <w:lang w:eastAsia="zh-CN"/>
              </w:rPr>
            </w:pPr>
            <w:r>
              <w:rPr>
                <w:lang w:eastAsia="zh-CN"/>
              </w:rPr>
              <w:t xml:space="preserve">Regarding ZTE's comment, even though we also think that to introduce an indication in SIB (as for Option 2) would be simple and avoid any potential issue, </w:t>
            </w:r>
            <w:r w:rsidR="00C3716D">
              <w:rPr>
                <w:lang w:eastAsia="zh-CN"/>
              </w:rPr>
              <w:t xml:space="preserve">we would like to stress that </w:t>
            </w:r>
            <w:r>
              <w:rPr>
                <w:lang w:eastAsia="zh-CN"/>
              </w:rPr>
              <w:t xml:space="preserve">such </w:t>
            </w:r>
            <w:r>
              <w:rPr>
                <w:lang w:eastAsia="zh-CN"/>
              </w:rPr>
              <w:t xml:space="preserve">details should be discussed and concluded in RAN2 </w:t>
            </w:r>
            <w:r w:rsidR="00C3716D">
              <w:rPr>
                <w:lang w:eastAsia="zh-CN"/>
              </w:rPr>
              <w:t>and/</w:t>
            </w:r>
            <w:r>
              <w:rPr>
                <w:lang w:eastAsia="zh-CN"/>
              </w:rPr>
              <w:t>or RAN3, not in SA3.</w:t>
            </w: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D422F8" w:rsidRDefault="00D422F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5CF41FDD" w14:textId="2453DAB4" w:rsidR="006F7375" w:rsidRDefault="006F7375" w:rsidP="006F7375">
            <w:pPr>
              <w:pStyle w:val="TAC"/>
              <w:spacing w:before="20" w:after="20"/>
              <w:ind w:left="57" w:right="57"/>
              <w:jc w:val="left"/>
              <w:rPr>
                <w:lang w:eastAsia="zh-CN"/>
              </w:rPr>
            </w:pPr>
            <w:r>
              <w:rPr>
                <w:lang w:eastAsia="zh-CN"/>
              </w:rPr>
              <w:t xml:space="preserve">From Q4 it would be clear that “any” gNB supporting the new </w:t>
            </w:r>
            <w:r w:rsidRPr="00006EC5">
              <w:rPr>
                <w:lang w:eastAsia="zh-CN"/>
              </w:rPr>
              <w:t>ResumeMAC-I feature</w:t>
            </w:r>
            <w:r>
              <w:rPr>
                <w:lang w:eastAsia="zh-CN"/>
              </w:rPr>
              <w:t xml:space="preserve"> would need to broadcast this support. So, the RRCRelease need not carry this information again…i.e., broadcasting is sufficient.</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r w:rsidR="00BE1FEF" w14:paraId="082FC0F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91A40A" w14:textId="27083A38"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14EDAE4" w14:textId="6285A7D9" w:rsidR="00BE1FEF" w:rsidRDefault="00BE1FEF" w:rsidP="00BE1FEF">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39302CB4" w14:textId="168C1528" w:rsidR="00BE1FEF" w:rsidRDefault="00BE1FEF" w:rsidP="00BE1FEF">
            <w:pPr>
              <w:pStyle w:val="TAC"/>
              <w:spacing w:before="20" w:after="20"/>
              <w:ind w:left="57" w:right="57"/>
              <w:jc w:val="left"/>
              <w:rPr>
                <w:lang w:eastAsia="zh-CN"/>
              </w:rPr>
            </w:pPr>
            <w:r>
              <w:t>Agree with Lenovo. If  UE  anchor gNB and target gNB support new MACI-I mechanism, the support is just broadcast and there is no need to indicated this by RRCRelease.</w:t>
            </w:r>
          </w:p>
        </w:tc>
      </w:tr>
      <w:tr w:rsidR="00616497" w14:paraId="1FC658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21AC7" w14:textId="7E4AC8D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A3A1D3B" w14:textId="1608760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5193" w14:textId="5DA4460D" w:rsidR="00616497" w:rsidRDefault="00616497" w:rsidP="00616497">
            <w:pPr>
              <w:pStyle w:val="TAC"/>
              <w:spacing w:before="20" w:after="20"/>
              <w:ind w:left="57" w:right="57"/>
              <w:jc w:val="left"/>
            </w:pPr>
            <w:r>
              <w:rPr>
                <w:lang w:eastAsia="zh-CN"/>
              </w:rPr>
              <w:t>-</w:t>
            </w: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ResumeMAC-I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he new serving gNB forwards all the associated input for the new ResumeMAC-I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r w:rsidR="00BE1FEF" w14:paraId="1AF1E57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675359" w14:textId="193FFE2C"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F55513" w14:textId="470694C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4FCD8847" w14:textId="77777777" w:rsidR="00BE1FEF" w:rsidRDefault="00BE1FEF" w:rsidP="00BE1FEF">
            <w:pPr>
              <w:pStyle w:val="TAC"/>
              <w:spacing w:before="20" w:after="20"/>
              <w:ind w:left="57" w:right="57"/>
              <w:jc w:val="left"/>
              <w:rPr>
                <w:lang w:eastAsia="zh-CN"/>
              </w:rPr>
            </w:pPr>
          </w:p>
        </w:tc>
      </w:tr>
      <w:tr w:rsidR="00616497" w14:paraId="00BC823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F2DB21" w14:textId="5680D8A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FCD85FD" w14:textId="2804F110"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A99FE44" w14:textId="60A0BD97" w:rsidR="00616497" w:rsidRDefault="00616497" w:rsidP="00616497">
            <w:pPr>
              <w:pStyle w:val="TAC"/>
              <w:spacing w:before="20" w:after="20"/>
              <w:ind w:left="57" w:right="57"/>
              <w:jc w:val="left"/>
              <w:rPr>
                <w:lang w:eastAsia="zh-CN"/>
              </w:rPr>
            </w:pPr>
            <w:r>
              <w:rPr>
                <w:lang w:eastAsia="zh-CN"/>
              </w:rPr>
              <w:t>-</w:t>
            </w: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gNB’s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MAC-I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4EA37710" w14:textId="411A0FA9"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r w:rsidR="00BE1FEF" w14:paraId="60F5C00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32B78" w14:textId="418B2381"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4F761ED" w14:textId="11DDEE2C"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17497F1" w14:textId="77777777" w:rsidR="00BE1FEF" w:rsidRDefault="00BE1FEF" w:rsidP="00BE1FEF">
            <w:pPr>
              <w:pStyle w:val="TAC"/>
              <w:spacing w:before="20" w:after="20"/>
              <w:ind w:left="57" w:right="57"/>
              <w:jc w:val="both"/>
              <w:rPr>
                <w:lang w:eastAsia="zh-CN"/>
              </w:rPr>
            </w:pPr>
          </w:p>
        </w:tc>
      </w:tr>
      <w:tr w:rsidR="00616497" w14:paraId="0D43AD2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DEAA" w14:textId="3881F72E"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DB0DE19" w14:textId="6CF465D7" w:rsidR="00616497" w:rsidRDefault="00616497" w:rsidP="00616497">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454543B7" w14:textId="76F3E9E7" w:rsidR="00616497" w:rsidRDefault="00616497" w:rsidP="00616497">
            <w:pPr>
              <w:pStyle w:val="TAC"/>
              <w:spacing w:before="20" w:after="20"/>
              <w:ind w:left="57" w:right="57"/>
              <w:jc w:val="both"/>
              <w:rPr>
                <w:lang w:eastAsia="zh-CN"/>
              </w:rPr>
            </w:pPr>
            <w:r>
              <w:rPr>
                <w:lang w:eastAsia="zh-CN"/>
              </w:rPr>
              <w:t>See our response to Question 2a above.</w:t>
            </w: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Which options do you prefer to indicate the new serving gNB’s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new serving gNB’s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gNB’s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r w:rsidR="00BE1FEF" w14:paraId="7AB9A64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766E1B" w14:textId="10755CD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6AE3D2" w14:textId="0177A729" w:rsidR="00BE1FEF" w:rsidRDefault="00BE1FEF" w:rsidP="00BE1FEF">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1B292E1" w14:textId="66547774" w:rsidR="00BE1FEF" w:rsidRDefault="00BE1FEF" w:rsidP="00BE1FEF">
            <w:pPr>
              <w:pStyle w:val="TAC"/>
              <w:spacing w:before="20" w:after="20"/>
              <w:ind w:left="57" w:right="57"/>
              <w:jc w:val="left"/>
              <w:rPr>
                <w:lang w:eastAsia="zh-CN"/>
              </w:rPr>
            </w:pPr>
            <w:r>
              <w:rPr>
                <w:lang w:eastAsia="zh-CN"/>
              </w:rPr>
              <w:t>Should involve RAN3</w:t>
            </w:r>
          </w:p>
        </w:tc>
      </w:tr>
      <w:tr w:rsidR="00616497" w14:paraId="3766A02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AE1EC7" w14:textId="1D04F267"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2DF7390" w14:textId="61D42D69" w:rsidR="00616497" w:rsidRDefault="00616497"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16128C9" w14:textId="23DF06BD" w:rsidR="00616497" w:rsidRDefault="00616497" w:rsidP="00616497">
            <w:pPr>
              <w:pStyle w:val="TAC"/>
              <w:spacing w:before="20" w:after="20"/>
              <w:ind w:left="57" w:right="57"/>
              <w:jc w:val="left"/>
              <w:rPr>
                <w:lang w:eastAsia="zh-CN"/>
              </w:rPr>
            </w:pPr>
            <w:r>
              <w:rPr>
                <w:lang w:eastAsia="zh-CN"/>
              </w:rPr>
              <w:t>-</w:t>
            </w: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lastRenderedPageBreak/>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190F8A" w:rsidP="006F3D41">
            <w:pPr>
              <w:rPr>
                <w:lang w:eastAsia="zh-CN"/>
              </w:rPr>
            </w:pPr>
            <w:hyperlink r:id="rId20" w:tooltip="D:Documents3GPPtsg_ranWG2TSGR2_115-eDocsR2-2107299.zip" w:history="1">
              <w:r w:rsidR="00931592" w:rsidRPr="00E8383A">
                <w:rPr>
                  <w:rStyle w:val="Hyperlink"/>
                  <w:lang w:eastAsia="zh-CN"/>
                </w:rPr>
                <w:t>R2-2107299</w:t>
              </w:r>
            </w:hyperlink>
            <w:r w:rsidR="00931592" w:rsidRPr="00E8383A">
              <w:rPr>
                <w:lang w:eastAsia="zh-CN"/>
              </w:rPr>
              <w:tab/>
              <w:t>Discussion and Response on SA3 LS on new ResumeMac-I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190F8A" w:rsidP="006F3D41">
            <w:pPr>
              <w:rPr>
                <w:lang w:val="en-US" w:eastAsia="zh-CN"/>
              </w:rPr>
            </w:pPr>
            <w:hyperlink r:id="rId21" w:tooltip="D:Documents3GPPtsg_ranWG2TSGR2_115-eDocsR2-2107483.zip" w:history="1">
              <w:r w:rsidR="00931592" w:rsidRPr="00E8383A">
                <w:rPr>
                  <w:rStyle w:val="Hyperlink"/>
                  <w:lang w:eastAsia="zh-CN"/>
                </w:rPr>
                <w:t>R2-2107483</w:t>
              </w:r>
            </w:hyperlink>
            <w:r w:rsidR="00931592" w:rsidRPr="00E8383A">
              <w:rPr>
                <w:lang w:eastAsia="zh-CN"/>
              </w:rPr>
              <w:tab/>
              <w:t>On the security protection of RRCResumeRequest message</w:t>
            </w:r>
            <w:r w:rsidR="00931592" w:rsidRPr="00E8383A">
              <w:rPr>
                <w:lang w:eastAsia="zh-CN"/>
              </w:rPr>
              <w:tab/>
              <w:t>ZTE</w:t>
            </w:r>
            <w:r w:rsidR="00931592">
              <w:rPr>
                <w:lang w:eastAsia="zh-CN"/>
              </w:rPr>
              <w:t xml:space="preserve">, </w:t>
            </w:r>
            <w:r w:rsidR="00931592" w:rsidRPr="00E8383A">
              <w:rPr>
                <w:lang w:eastAsia="zh-CN"/>
              </w:rPr>
              <w:t>Sanechips</w:t>
            </w:r>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ResumeMAC-I upon next RRCResume.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w:t>
            </w:r>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190F8A" w:rsidP="006F3D41">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DengXian"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190F8A" w:rsidP="006F3D41">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190F8A" w:rsidP="006F3D41">
            <w:pPr>
              <w:rPr>
                <w:rFonts w:eastAsia="MS Mincho"/>
                <w:noProof/>
                <w:szCs w:val="24"/>
                <w:lang w:eastAsia="en-GB"/>
              </w:rPr>
            </w:pPr>
            <w:hyperlink r:id="rId24"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Extended MAC-I for RRCResumeRequest</w:t>
            </w:r>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190F8A" w:rsidP="006F3D41">
            <w:pPr>
              <w:rPr>
                <w:rStyle w:val="Hyperlink"/>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190F8A" w:rsidP="006F3D41">
            <w:pPr>
              <w:rPr>
                <w:rStyle w:val="Hyperlink"/>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3D76AE20" w14:textId="487F2C9E"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699C008D" w14:textId="3D96ADCC" w:rsidR="00BF21CB" w:rsidRDefault="00BF21CB" w:rsidP="006F7375">
            <w:pPr>
              <w:pStyle w:val="TAC"/>
              <w:spacing w:before="20" w:after="20"/>
              <w:ind w:left="57" w:right="57"/>
              <w:jc w:val="left"/>
              <w:rPr>
                <w:lang w:eastAsia="zh-CN"/>
              </w:rPr>
            </w:pPr>
            <w:r>
              <w:rPr>
                <w:lang w:eastAsia="zh-CN"/>
              </w:rPr>
              <w:t>So RAN2 should know the intention clear when we decide something.</w:t>
            </w:r>
          </w:p>
        </w:tc>
      </w:tr>
      <w:tr w:rsidR="00BE1FEF" w14:paraId="27B2BAF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17B28" w14:textId="5EEF0E4A"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CEAF62" w14:textId="14041423"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2B1432" w14:textId="77777777" w:rsidR="00BE1FEF" w:rsidRDefault="00BE1FEF" w:rsidP="00BE1FEF">
            <w:pPr>
              <w:pStyle w:val="TAC"/>
              <w:spacing w:before="20" w:after="20"/>
              <w:ind w:left="57" w:right="57"/>
              <w:jc w:val="left"/>
              <w:rPr>
                <w:lang w:eastAsia="zh-CN"/>
              </w:rPr>
            </w:pPr>
          </w:p>
        </w:tc>
      </w:tr>
      <w:tr w:rsidR="00616497" w14:paraId="13C57D0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ED86E" w14:textId="1879205F"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421BB25" w14:textId="79DBA6B0" w:rsidR="00616497" w:rsidRDefault="00616497" w:rsidP="00616497">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D154358" w14:textId="3EBD567B" w:rsidR="00616497" w:rsidRDefault="00616497" w:rsidP="00616497">
            <w:pPr>
              <w:pStyle w:val="TAC"/>
              <w:spacing w:before="20" w:after="20"/>
              <w:ind w:left="57" w:right="57"/>
              <w:jc w:val="left"/>
              <w:rPr>
                <w:lang w:eastAsia="zh-CN"/>
              </w:rPr>
            </w:pPr>
            <w:r>
              <w:rPr>
                <w:lang w:eastAsia="zh-CN"/>
              </w:rPr>
              <w:t xml:space="preserve">The solution in the LS looks feasible from RAN2 perspective, but if SA3 concludes to support it in Rel-17 (after considering the comments from ZTE above), the details (e.g. whether to introduce an indication in SIB </w:t>
            </w:r>
            <w:r>
              <w:rPr>
                <w:lang w:eastAsia="zh-CN"/>
              </w:rPr>
              <w:t xml:space="preserve">as discussed </w:t>
            </w:r>
            <w:r>
              <w:rPr>
                <w:lang w:eastAsia="zh-CN"/>
              </w:rPr>
              <w:t xml:space="preserve">above) have to be discussed and concluded in the relevant WGs, not in SA3. Since the solution has impact to both RAN2 and RAN3 WG, we also think that </w:t>
            </w:r>
            <w:r w:rsidRPr="007F1DF1">
              <w:rPr>
                <w:lang w:eastAsia="zh-CN"/>
              </w:rPr>
              <w:t xml:space="preserve">it </w:t>
            </w:r>
            <w:r>
              <w:rPr>
                <w:lang w:eastAsia="zh-CN"/>
              </w:rPr>
              <w:t>would</w:t>
            </w:r>
            <w:r w:rsidRPr="007F1DF1">
              <w:rPr>
                <w:lang w:eastAsia="zh-CN"/>
              </w:rPr>
              <w:t xml:space="preserve"> require a dedicated WI</w:t>
            </w:r>
            <w:r>
              <w:rPr>
                <w:lang w:eastAsia="zh-CN"/>
              </w:rPr>
              <w:t xml:space="preserve">, as proposed by Intel in </w:t>
            </w:r>
            <w:r w:rsidRPr="00CB79FB">
              <w:rPr>
                <w:lang w:eastAsia="zh-CN"/>
              </w:rPr>
              <w:t>R2-2107299</w:t>
            </w:r>
            <w:r>
              <w:rPr>
                <w:lang w:eastAsia="zh-CN"/>
              </w:rPr>
              <w:t>.</w:t>
            </w: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547CFC" w14:textId="36AA0E9F" w:rsidR="00651C8B" w:rsidRDefault="00651C8B" w:rsidP="00651C8B">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r w:rsidR="00BE1FEF" w14:paraId="468D15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E1800" w14:textId="08ED0DA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37B8879" w14:textId="0931AFEA"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2F66F1" w14:textId="77777777" w:rsidR="00BE1FEF" w:rsidRDefault="00BE1FEF" w:rsidP="00BE1FEF">
            <w:pPr>
              <w:pStyle w:val="TAC"/>
              <w:spacing w:before="20" w:after="20"/>
              <w:ind w:left="57" w:right="57"/>
              <w:jc w:val="left"/>
              <w:rPr>
                <w:lang w:eastAsia="zh-CN"/>
              </w:rPr>
            </w:pPr>
          </w:p>
        </w:tc>
      </w:tr>
      <w:tr w:rsidR="00616497" w14:paraId="32AF6B1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B50627" w14:textId="14B21089"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BA09F7" w14:textId="0E311B49" w:rsidR="00616497" w:rsidRDefault="00616497"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31D360E" w14:textId="0CF065E3" w:rsidR="00616497" w:rsidRDefault="00616497" w:rsidP="00616497">
            <w:pPr>
              <w:pStyle w:val="TAC"/>
              <w:spacing w:before="20" w:after="20"/>
              <w:ind w:left="57" w:right="57"/>
              <w:jc w:val="left"/>
              <w:rPr>
                <w:lang w:eastAsia="zh-CN"/>
              </w:rPr>
            </w:pPr>
            <w:r>
              <w:rPr>
                <w:lang w:eastAsia="zh-CN"/>
              </w:rPr>
              <w:t>As answered to Question 6 above, we would need a separate WI to specify the solution properly in Rel-17.</w:t>
            </w: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6CE8D" w14:textId="77777777" w:rsidR="00190F8A" w:rsidRDefault="00190F8A">
      <w:r>
        <w:separator/>
      </w:r>
    </w:p>
  </w:endnote>
  <w:endnote w:type="continuationSeparator" w:id="0">
    <w:p w14:paraId="0ED53D60" w14:textId="77777777" w:rsidR="00190F8A" w:rsidRDefault="00190F8A">
      <w:r>
        <w:continuationSeparator/>
      </w:r>
    </w:p>
  </w:endnote>
  <w:endnote w:type="continuationNotice" w:id="1">
    <w:p w14:paraId="1023EBF0" w14:textId="77777777" w:rsidR="00190F8A" w:rsidRDefault="00190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F28FB" w14:textId="77777777" w:rsidR="00190F8A" w:rsidRDefault="00190F8A">
      <w:r>
        <w:separator/>
      </w:r>
    </w:p>
  </w:footnote>
  <w:footnote w:type="continuationSeparator" w:id="0">
    <w:p w14:paraId="09C600CA" w14:textId="77777777" w:rsidR="00190F8A" w:rsidRDefault="00190F8A">
      <w:r>
        <w:continuationSeparator/>
      </w:r>
    </w:p>
  </w:footnote>
  <w:footnote w:type="continuationNotice" w:id="1">
    <w:p w14:paraId="33A891C3" w14:textId="77777777" w:rsidR="00190F8A" w:rsidRDefault="00190F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맑은 고딕" w:eastAsia="맑은 고딕" w:hAnsi="맑은 고딕"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4379"/>
    <w:rsid w:val="00005DB2"/>
    <w:rsid w:val="00007966"/>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0F8A"/>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807"/>
    <w:rsid w:val="00261D15"/>
    <w:rsid w:val="00270A94"/>
    <w:rsid w:val="00271889"/>
    <w:rsid w:val="002719D3"/>
    <w:rsid w:val="00272A68"/>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22A"/>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BD0"/>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7CD"/>
    <w:rsid w:val="005A49C6"/>
    <w:rsid w:val="005B23C5"/>
    <w:rsid w:val="005B452D"/>
    <w:rsid w:val="005B49B9"/>
    <w:rsid w:val="005B4A4F"/>
    <w:rsid w:val="005B6BD7"/>
    <w:rsid w:val="005B744E"/>
    <w:rsid w:val="005B7582"/>
    <w:rsid w:val="005B7A57"/>
    <w:rsid w:val="005C100C"/>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0"/>
    <w:rsid w:val="00615237"/>
    <w:rsid w:val="00616497"/>
    <w:rsid w:val="00617779"/>
    <w:rsid w:val="00627DEE"/>
    <w:rsid w:val="00632290"/>
    <w:rsid w:val="00634588"/>
    <w:rsid w:val="006368F6"/>
    <w:rsid w:val="0063720E"/>
    <w:rsid w:val="0064150C"/>
    <w:rsid w:val="006447DE"/>
    <w:rsid w:val="00644ABD"/>
    <w:rsid w:val="00646D99"/>
    <w:rsid w:val="00650BA2"/>
    <w:rsid w:val="00651C8B"/>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227C"/>
    <w:rsid w:val="00744095"/>
    <w:rsid w:val="00744E76"/>
    <w:rsid w:val="00746B39"/>
    <w:rsid w:val="007470AD"/>
    <w:rsid w:val="00747241"/>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F244A"/>
    <w:rsid w:val="00AF5636"/>
    <w:rsid w:val="00B03F31"/>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3599B"/>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449F"/>
    <w:rsid w:val="00BD49DC"/>
    <w:rsid w:val="00BE1FEF"/>
    <w:rsid w:val="00BE5246"/>
    <w:rsid w:val="00BE5CA1"/>
    <w:rsid w:val="00BF0F2B"/>
    <w:rsid w:val="00BF21CB"/>
    <w:rsid w:val="00BF2C32"/>
    <w:rsid w:val="00BF3249"/>
    <w:rsid w:val="00BF7C08"/>
    <w:rsid w:val="00C02E4C"/>
    <w:rsid w:val="00C12B51"/>
    <w:rsid w:val="00C13D40"/>
    <w:rsid w:val="00C14358"/>
    <w:rsid w:val="00C16C55"/>
    <w:rsid w:val="00C24650"/>
    <w:rsid w:val="00C25465"/>
    <w:rsid w:val="00C2700A"/>
    <w:rsid w:val="00C33079"/>
    <w:rsid w:val="00C36E2B"/>
    <w:rsid w:val="00C3716D"/>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E70F2"/>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EA6"/>
    <w:rsid w:val="00EA32B5"/>
    <w:rsid w:val="00EA3377"/>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E17"/>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25671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Jang, Jaehyuk</cp:lastModifiedBy>
  <cp:revision>5</cp:revision>
  <dcterms:created xsi:type="dcterms:W3CDTF">2021-08-18T03:20:00Z</dcterms:created>
  <dcterms:modified xsi:type="dcterms:W3CDTF">2021-08-18T06:22:00Z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