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pPr>
        <w:pStyle w:val="63"/>
      </w:pPr>
      <w:r>
        <w:rPr>
          <w:rFonts w:cs="Arial"/>
          <w:lang w:val="de-DE"/>
        </w:rPr>
        <w:t>Electronic, 16 – 27 August 2021</w:t>
      </w:r>
      <w:r>
        <w:tab/>
      </w:r>
    </w:p>
    <w:p>
      <w:pPr>
        <w:pStyle w:val="63"/>
        <w:rPr>
          <w:sz w:val="22"/>
          <w:szCs w:val="22"/>
          <w:lang w:val="en-US"/>
        </w:rPr>
      </w:pPr>
      <w:r>
        <w:rPr>
          <w:sz w:val="22"/>
          <w:szCs w:val="22"/>
          <w:lang w:val="en-US"/>
        </w:rPr>
        <w:t>Agenda Item:</w:t>
      </w:r>
      <w:r>
        <w:rPr>
          <w:sz w:val="22"/>
          <w:szCs w:val="22"/>
          <w:lang w:val="en-US"/>
        </w:rPr>
        <w:tab/>
      </w:r>
      <w:r>
        <w:rPr>
          <w:sz w:val="22"/>
          <w:szCs w:val="22"/>
          <w:lang w:val="en-US"/>
        </w:rPr>
        <w:t>6.1.4.1.5 Other</w:t>
      </w:r>
    </w:p>
    <w:p>
      <w:pPr>
        <w:pStyle w:val="63"/>
        <w:rPr>
          <w:sz w:val="22"/>
          <w:szCs w:val="22"/>
        </w:rPr>
      </w:pPr>
      <w:r>
        <w:rPr>
          <w:sz w:val="22"/>
          <w:szCs w:val="22"/>
        </w:rPr>
        <w:t>Source:</w:t>
      </w:r>
      <w:r>
        <w:rPr>
          <w:sz w:val="22"/>
          <w:szCs w:val="22"/>
        </w:rPr>
        <w:tab/>
      </w:r>
      <w:r>
        <w:rPr>
          <w:sz w:val="22"/>
          <w:szCs w:val="22"/>
        </w:rPr>
        <w:t>Ericsson</w:t>
      </w:r>
    </w:p>
    <w:p>
      <w:pPr>
        <w:pStyle w:val="63"/>
        <w:rPr>
          <w:sz w:val="22"/>
          <w:szCs w:val="22"/>
        </w:rPr>
      </w:pPr>
      <w:r>
        <w:rPr>
          <w:sz w:val="22"/>
          <w:szCs w:val="22"/>
        </w:rPr>
        <w:t>Title:</w:t>
      </w:r>
      <w:r>
        <w:rPr>
          <w:sz w:val="22"/>
          <w:szCs w:val="22"/>
        </w:rPr>
        <w:tab/>
      </w:r>
      <w:r>
        <w:t>[AT115-e][027][NR16] CP Other &amp; LTE (Ericsson)</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cs="Arial"/>
        </w:rPr>
      </w:pPr>
      <w:bookmarkStart w:id="0" w:name="_Ref178064866"/>
      <w:r>
        <w:rPr>
          <w:rFonts w:cs="Arial"/>
        </w:rPr>
        <w:t>This contribution summarizes the following discussion:</w:t>
      </w:r>
    </w:p>
    <w:p>
      <w:pPr>
        <w:pStyle w:val="118"/>
        <w:overflowPunct/>
        <w:autoSpaceDE/>
        <w:autoSpaceDN/>
        <w:adjustRightInd/>
        <w:textAlignment w:val="auto"/>
      </w:pPr>
      <w:r>
        <w:t>[AT115-e][027][NR16] CP Other &amp; LTE (Ericsson)</w:t>
      </w:r>
    </w:p>
    <w:p>
      <w:pPr>
        <w:pStyle w:val="113"/>
      </w:pPr>
      <w:r>
        <w:tab/>
      </w:r>
      <w:r>
        <w:t xml:space="preserve">Scope: Determine agreeable parts and agree CRs, For </w:t>
      </w:r>
      <w:r>
        <w:fldChar w:fldCharType="begin"/>
      </w:r>
      <w:r>
        <w:instrText xml:space="preserve"> HYPERLINK "http://www.3gpp.org/ftp/tsg_ran/WG2_RL2//TSGR2_115-e/Docs//R2-2107285.zip" </w:instrText>
      </w:r>
      <w:r>
        <w:fldChar w:fldCharType="separate"/>
      </w:r>
      <w:r>
        <w:rPr>
          <w:rStyle w:val="58"/>
        </w:rPr>
        <w:t>R2-2107285</w:t>
      </w:r>
      <w:r>
        <w:rPr>
          <w:rStyle w:val="58"/>
        </w:rPr>
        <w:fldChar w:fldCharType="end"/>
      </w:r>
      <w:r>
        <w:t xml:space="preserve">-7288 await on-line treat remaining part if needed, Treat </w:t>
      </w:r>
      <w:r>
        <w:fldChar w:fldCharType="begin"/>
      </w:r>
      <w:r>
        <w:instrText xml:space="preserve"> HYPERLINK "http://www.3gpp.org/ftp/tsg_ran/WG2_RL2//TSGR2_115-e/Docs//R2-2108291.zip" </w:instrText>
      </w:r>
      <w:r>
        <w:fldChar w:fldCharType="separate"/>
      </w:r>
      <w:r>
        <w:rPr>
          <w:rStyle w:val="58"/>
        </w:rPr>
        <w:t>R2-2108291</w:t>
      </w:r>
      <w:r>
        <w:rPr>
          <w:rStyle w:val="58"/>
        </w:rPr>
        <w:fldChar w:fldCharType="end"/>
      </w:r>
      <w:r>
        <w:t xml:space="preserve">, </w:t>
      </w:r>
      <w:r>
        <w:fldChar w:fldCharType="begin"/>
      </w:r>
      <w:r>
        <w:instrText xml:space="preserve"> HYPERLINK "http://www.3gpp.org/ftp/tsg_ran/WG2_RL2//TSGR2_115-e/Docs//R2-2107129.zip" </w:instrText>
      </w:r>
      <w:r>
        <w:fldChar w:fldCharType="separate"/>
      </w:r>
      <w:r>
        <w:rPr>
          <w:rStyle w:val="58"/>
        </w:rPr>
        <w:t>R2-2107129</w:t>
      </w:r>
      <w:r>
        <w:rPr>
          <w:rStyle w:val="58"/>
        </w:rPr>
        <w:fldChar w:fldCharType="end"/>
      </w:r>
      <w:r>
        <w:t xml:space="preserve">, </w:t>
      </w:r>
      <w:r>
        <w:fldChar w:fldCharType="begin"/>
      </w:r>
      <w:r>
        <w:instrText xml:space="preserve"> HYPERLINK "http://www.3gpp.org/ftp/tsg_ran/WG2_RL2//TSGR2_115-e/Docs//R2-2107482.zip" </w:instrText>
      </w:r>
      <w:r>
        <w:fldChar w:fldCharType="separate"/>
      </w:r>
      <w:r>
        <w:rPr>
          <w:rStyle w:val="58"/>
        </w:rPr>
        <w:t>R2-2107482</w:t>
      </w:r>
      <w:r>
        <w:rPr>
          <w:rStyle w:val="58"/>
        </w:rPr>
        <w:fldChar w:fldCharType="end"/>
      </w:r>
      <w:r>
        <w:t xml:space="preserve">, </w:t>
      </w:r>
      <w:r>
        <w:fldChar w:fldCharType="begin"/>
      </w:r>
      <w:r>
        <w:instrText xml:space="preserve"> HYPERLINK "http://www.3gpp.org/ftp/tsg_ran/WG2_RL2//TSGR2_115-e/Docs//R2-2106911.zip" </w:instrText>
      </w:r>
      <w:r>
        <w:fldChar w:fldCharType="separate"/>
      </w:r>
      <w:r>
        <w:rPr>
          <w:rStyle w:val="58"/>
        </w:rPr>
        <w:t>R2-2106911</w:t>
      </w:r>
      <w:r>
        <w:rPr>
          <w:rStyle w:val="58"/>
        </w:rPr>
        <w:fldChar w:fldCharType="end"/>
      </w:r>
      <w:r>
        <w:t xml:space="preserve">, </w:t>
      </w:r>
      <w:r>
        <w:fldChar w:fldCharType="begin"/>
      </w:r>
      <w:r>
        <w:instrText xml:space="preserve"> HYPERLINK "http://www.3gpp.org/ftp/tsg_ran/WG2_RL2//TSGR2_115-e/Docs//R2-2108268.zip" </w:instrText>
      </w:r>
      <w:r>
        <w:fldChar w:fldCharType="separate"/>
      </w:r>
      <w:r>
        <w:rPr>
          <w:rStyle w:val="58"/>
        </w:rPr>
        <w:t>R2-2108268</w:t>
      </w:r>
      <w:r>
        <w:rPr>
          <w:rStyle w:val="58"/>
        </w:rPr>
        <w:fldChar w:fldCharType="end"/>
      </w:r>
      <w:r>
        <w:t xml:space="preserve">, </w:t>
      </w:r>
      <w:r>
        <w:fldChar w:fldCharType="begin"/>
      </w:r>
      <w:r>
        <w:instrText xml:space="preserve"> HYPERLINK "http://www.3gpp.org/ftp/tsg_ran/WG2_RL2//TSGR2_115-e/Docs//R2-2107485.zip" </w:instrText>
      </w:r>
      <w:r>
        <w:fldChar w:fldCharType="separate"/>
      </w:r>
      <w:r>
        <w:rPr>
          <w:rStyle w:val="58"/>
        </w:rPr>
        <w:t>R2-2107485</w:t>
      </w:r>
      <w:r>
        <w:rPr>
          <w:rStyle w:val="58"/>
        </w:rPr>
        <w:fldChar w:fldCharType="end"/>
      </w:r>
      <w:r>
        <w:t xml:space="preserve">, </w:t>
      </w:r>
      <w:r>
        <w:fldChar w:fldCharType="begin"/>
      </w:r>
      <w:r>
        <w:instrText xml:space="preserve"> HYPERLINK "http://www.3gpp.org/ftp/tsg_ran/WG2_RL2//TSGR2_115-e/Docs//R2-2106996.zip" </w:instrText>
      </w:r>
      <w:r>
        <w:fldChar w:fldCharType="separate"/>
      </w:r>
      <w:r>
        <w:rPr>
          <w:rStyle w:val="58"/>
        </w:rPr>
        <w:t>R2-2106996</w:t>
      </w:r>
      <w:r>
        <w:rPr>
          <w:rStyle w:val="58"/>
        </w:rPr>
        <w:fldChar w:fldCharType="end"/>
      </w:r>
      <w:r>
        <w:t xml:space="preserve">, </w:t>
      </w:r>
      <w:r>
        <w:fldChar w:fldCharType="begin"/>
      </w:r>
      <w:r>
        <w:instrText xml:space="preserve"> HYPERLINK "http://www.3gpp.org/ftp/tsg_ran/WG2_RL2//TSGR2_115-e/Docs//R2-2108434.zip" </w:instrText>
      </w:r>
      <w:r>
        <w:fldChar w:fldCharType="separate"/>
      </w:r>
      <w:r>
        <w:rPr>
          <w:rStyle w:val="58"/>
        </w:rPr>
        <w:t>R2-2108434</w:t>
      </w:r>
      <w:r>
        <w:rPr>
          <w:rStyle w:val="58"/>
        </w:rPr>
        <w:fldChar w:fldCharType="end"/>
      </w:r>
      <w:r>
        <w:t xml:space="preserve">, </w:t>
      </w:r>
      <w:r>
        <w:fldChar w:fldCharType="begin"/>
      </w:r>
      <w:r>
        <w:instrText xml:space="preserve"> HYPERLINK "http://www.3gpp.org/ftp/tsg_ran/WG2_RL2//TSGR2_115-e/Docs//R2-2108275.zip" </w:instrText>
      </w:r>
      <w:r>
        <w:fldChar w:fldCharType="separate"/>
      </w:r>
      <w:r>
        <w:rPr>
          <w:rStyle w:val="58"/>
        </w:rPr>
        <w:t>R2-2108275</w:t>
      </w:r>
      <w:r>
        <w:rPr>
          <w:rStyle w:val="58"/>
        </w:rPr>
        <w:fldChar w:fldCharType="end"/>
      </w:r>
      <w:r>
        <w:t xml:space="preserve">, </w:t>
      </w:r>
      <w:r>
        <w:fldChar w:fldCharType="begin"/>
      </w:r>
      <w:r>
        <w:instrText xml:space="preserve"> HYPERLINK "http://www.3gpp.org/ftp/tsg_ran/WG2_RL2//TSGR2_115-e/Docs//R2-2108189.zip" </w:instrText>
      </w:r>
      <w:r>
        <w:fldChar w:fldCharType="separate"/>
      </w:r>
      <w:r>
        <w:rPr>
          <w:rStyle w:val="58"/>
        </w:rPr>
        <w:t>R2-2108189</w:t>
      </w:r>
      <w:r>
        <w:rPr>
          <w:rStyle w:val="58"/>
        </w:rPr>
        <w:fldChar w:fldCharType="end"/>
      </w:r>
      <w:r>
        <w:t xml:space="preserve">, </w:t>
      </w:r>
      <w:r>
        <w:fldChar w:fldCharType="begin"/>
      </w:r>
      <w:r>
        <w:instrText xml:space="preserve"> HYPERLINK "http://www.3gpp.org/ftp/tsg_ran/WG2_RL2//TSGR2_115-e/Docs//R2-2108190.zip" </w:instrText>
      </w:r>
      <w:r>
        <w:fldChar w:fldCharType="separate"/>
      </w:r>
      <w:r>
        <w:rPr>
          <w:rStyle w:val="58"/>
        </w:rPr>
        <w:t>R2-2108190</w:t>
      </w:r>
      <w:r>
        <w:rPr>
          <w:rStyle w:val="58"/>
        </w:rPr>
        <w:fldChar w:fldCharType="end"/>
      </w:r>
      <w:r>
        <w:t xml:space="preserve">, </w:t>
      </w:r>
      <w:r>
        <w:fldChar w:fldCharType="begin"/>
      </w:r>
      <w:r>
        <w:instrText xml:space="preserve"> HYPERLINK "http://www.3gpp.org/ftp/tsg_ran/WG2_RL2//TSGR2_115-e/Docs//R2-2108569.zip" </w:instrText>
      </w:r>
      <w:r>
        <w:fldChar w:fldCharType="separate"/>
      </w:r>
      <w:r>
        <w:rPr>
          <w:rStyle w:val="58"/>
        </w:rPr>
        <w:t>R2-2108569</w:t>
      </w:r>
      <w:r>
        <w:rPr>
          <w:rStyle w:val="58"/>
        </w:rPr>
        <w:fldChar w:fldCharType="end"/>
      </w:r>
      <w:r>
        <w:t xml:space="preserve">, </w:t>
      </w:r>
      <w:r>
        <w:fldChar w:fldCharType="begin"/>
      </w:r>
      <w:r>
        <w:instrText xml:space="preserve"> HYPERLINK "http://www.3gpp.org/ftp/tsg_ran/WG2_RL2//TSGR2_115-e/Docs//R2-2108679.zip" </w:instrText>
      </w:r>
      <w:r>
        <w:fldChar w:fldCharType="separate"/>
      </w:r>
      <w:r>
        <w:rPr>
          <w:rStyle w:val="58"/>
        </w:rPr>
        <w:t>R2-2108679</w:t>
      </w:r>
      <w:r>
        <w:rPr>
          <w:rStyle w:val="58"/>
        </w:rPr>
        <w:fldChar w:fldCharType="end"/>
      </w:r>
      <w:r>
        <w:t>,</w:t>
      </w:r>
    </w:p>
    <w:p>
      <w:pPr>
        <w:pStyle w:val="162"/>
      </w:pPr>
      <w:r>
        <w:tab/>
      </w:r>
      <w:r>
        <w:t>Intended outcome: Report, Agreed CRs.</w:t>
      </w:r>
    </w:p>
    <w:p>
      <w:pPr>
        <w:pStyle w:val="162"/>
        <w:rPr>
          <w:b/>
          <w:bCs/>
        </w:rPr>
      </w:pPr>
      <w:r>
        <w:rPr>
          <w:b/>
          <w:bCs/>
        </w:rPr>
        <w:tab/>
      </w:r>
      <w:r>
        <w:rPr>
          <w:b/>
          <w:bCs/>
        </w:rPr>
        <w:t>Deadline: A first round with Deadline for comments Thursday Aug 19 1200 UTC</w:t>
      </w:r>
    </w:p>
    <w:p>
      <w:pPr>
        <w:pStyle w:val="118"/>
        <w:numPr>
          <w:ilvl w:val="0"/>
          <w:numId w:val="0"/>
        </w:numPr>
        <w:overflowPunct/>
        <w:autoSpaceDE/>
        <w:autoSpaceDN/>
        <w:adjustRightInd/>
        <w:ind w:left="1619" w:hanging="360"/>
        <w:textAlignment w:val="auto"/>
      </w:pPr>
    </w:p>
    <w:p>
      <w:pPr>
        <w:pStyle w:val="163"/>
        <w:rPr>
          <w:b/>
          <w:bCs/>
        </w:rPr>
      </w:pPr>
      <w:r>
        <w:rPr>
          <w:b/>
          <w:bCs/>
        </w:rPr>
        <w:t xml:space="preserve">CandidateBeamRSList </w:t>
      </w:r>
    </w:p>
    <w:p>
      <w:pPr>
        <w:pStyle w:val="163"/>
      </w:pPr>
      <w:r>
        <w:fldChar w:fldCharType="begin"/>
      </w:r>
      <w:r>
        <w:instrText xml:space="preserve"> HYPERLINK "file:///D:\\Documents\\3GPP\\tsg_ran\\WG2\\TSGR2_115-e\\Docs\\R2-2107285.zip" \o "D:Documents3GPPtsg_ranWG2TSGR2_115-eDocsR2-2107285.zip" </w:instrText>
      </w:r>
      <w:r>
        <w:fldChar w:fldCharType="separate"/>
      </w:r>
      <w:r>
        <w:rPr>
          <w:rStyle w:val="58"/>
        </w:rPr>
        <w:t>R2-2107285</w:t>
      </w:r>
      <w:r>
        <w:rPr>
          <w:rStyle w:val="58"/>
        </w:rPr>
        <w:fldChar w:fldCharType="end"/>
      </w:r>
      <w:r>
        <w:tab/>
      </w:r>
      <w:r>
        <w:t>Report of email discussion [Post114-e][071][NR16] CandidateBeamRSList set to release (MediaTek)</w:t>
      </w:r>
      <w:r>
        <w:tab/>
      </w:r>
      <w:r>
        <w:t>MediaTek Inc.</w:t>
      </w:r>
      <w:r>
        <w:tab/>
      </w:r>
      <w:r>
        <w:t>discussion</w:t>
      </w:r>
      <w:r>
        <w:tab/>
      </w:r>
      <w:r>
        <w:t>Rel-16</w:t>
      </w:r>
      <w:r>
        <w:tab/>
      </w:r>
      <w:r>
        <w:t>NR_eMIMO-Core</w:t>
      </w:r>
      <w:r>
        <w:tab/>
      </w:r>
      <w:r>
        <w:t>Late</w:t>
      </w:r>
    </w:p>
    <w:p>
      <w:pPr>
        <w:pStyle w:val="163"/>
      </w:pPr>
      <w:r>
        <w:fldChar w:fldCharType="begin"/>
      </w:r>
      <w:r>
        <w:instrText xml:space="preserve"> HYPERLINK "file:///D:/Documents/3GPP/tsg_ran/WG2/RAN2/2108_R2_115-e/Docs/R2-2107286.zip" </w:instrText>
      </w:r>
      <w:r>
        <w:fldChar w:fldCharType="separate"/>
      </w:r>
      <w:r>
        <w:rPr>
          <w:rStyle w:val="58"/>
        </w:rPr>
        <w:t>R2-2107286</w:t>
      </w:r>
      <w:r>
        <w:rPr>
          <w:rStyle w:val="58"/>
        </w:rPr>
        <w:fldChar w:fldCharType="end"/>
      </w:r>
      <w:r>
        <w:tab/>
      </w:r>
      <w:r>
        <w:t>Handling of candidateBeamRSListExt-v1610 (option A1)</w:t>
      </w:r>
      <w:r>
        <w:tab/>
      </w:r>
      <w:r>
        <w:t>MediaTek Inc.</w:t>
      </w:r>
      <w:r>
        <w:tab/>
      </w:r>
      <w:r>
        <w:t>draftCR</w:t>
      </w:r>
      <w:r>
        <w:tab/>
      </w:r>
      <w:r>
        <w:t>Rel-16</w:t>
      </w:r>
      <w:r>
        <w:tab/>
      </w:r>
      <w:r>
        <w:t>38.331</w:t>
      </w:r>
      <w:r>
        <w:tab/>
      </w:r>
      <w:r>
        <w:t>16.5.0</w:t>
      </w:r>
      <w:r>
        <w:tab/>
      </w:r>
      <w:r>
        <w:t>F</w:t>
      </w:r>
      <w:r>
        <w:tab/>
      </w:r>
      <w:r>
        <w:t>NR_eMIMO-Core</w:t>
      </w:r>
      <w:r>
        <w:tab/>
      </w:r>
      <w:r>
        <w:t>Late</w:t>
      </w:r>
    </w:p>
    <w:p>
      <w:pPr>
        <w:pStyle w:val="163"/>
      </w:pPr>
      <w:r>
        <w:fldChar w:fldCharType="begin"/>
      </w:r>
      <w:r>
        <w:instrText xml:space="preserve"> HYPERLINK "file:///D:/Documents/3GPP/tsg_ran/WG2/RAN2/2108_R2_115-e/Docs/R2-2107287.zip" </w:instrText>
      </w:r>
      <w:r>
        <w:fldChar w:fldCharType="separate"/>
      </w:r>
      <w:r>
        <w:rPr>
          <w:rStyle w:val="58"/>
        </w:rPr>
        <w:t>R2-2107287</w:t>
      </w:r>
      <w:r>
        <w:rPr>
          <w:rStyle w:val="58"/>
        </w:rPr>
        <w:fldChar w:fldCharType="end"/>
      </w:r>
      <w:r>
        <w:tab/>
      </w:r>
      <w:r>
        <w:t>Handling of candidateBeamRSListExt-v1610 (option B)</w:t>
      </w:r>
      <w:r>
        <w:tab/>
      </w:r>
      <w:r>
        <w:t>MediaTek Inc.</w:t>
      </w:r>
      <w:r>
        <w:tab/>
      </w:r>
      <w:r>
        <w:t>draftCR</w:t>
      </w:r>
      <w:r>
        <w:tab/>
      </w:r>
      <w:r>
        <w:t>Rel-16</w:t>
      </w:r>
      <w:r>
        <w:tab/>
      </w:r>
      <w:r>
        <w:t>38.331</w:t>
      </w:r>
      <w:r>
        <w:tab/>
      </w:r>
      <w:r>
        <w:t>16.5.0</w:t>
      </w:r>
      <w:r>
        <w:tab/>
      </w:r>
      <w:r>
        <w:t>F</w:t>
      </w:r>
      <w:r>
        <w:tab/>
      </w:r>
      <w:r>
        <w:t>NR_eMIMO-Core</w:t>
      </w:r>
      <w:r>
        <w:tab/>
      </w:r>
      <w:r>
        <w:t>Late</w:t>
      </w:r>
    </w:p>
    <w:p>
      <w:pPr>
        <w:pStyle w:val="163"/>
      </w:pPr>
      <w:r>
        <w:fldChar w:fldCharType="begin"/>
      </w:r>
      <w:r>
        <w:instrText xml:space="preserve"> HYPERLINK "file:///D:/Documents/3GPP/tsg_ran/WG2/RAN2/2108_R2_115-e/Docs/R2-2107288.zip" </w:instrText>
      </w:r>
      <w:r>
        <w:fldChar w:fldCharType="separate"/>
      </w:r>
      <w:r>
        <w:rPr>
          <w:rStyle w:val="58"/>
        </w:rPr>
        <w:t>R2-2107288</w:t>
      </w:r>
      <w:r>
        <w:rPr>
          <w:rStyle w:val="58"/>
        </w:rPr>
        <w:fldChar w:fldCharType="end"/>
      </w:r>
      <w:r>
        <w:tab/>
      </w:r>
      <w:r>
        <w:t>Handling of candidateBeamRSListExt-v1610 (option C)</w:t>
      </w:r>
      <w:r>
        <w:tab/>
      </w:r>
      <w:r>
        <w:t>MediaTek Inc.</w:t>
      </w:r>
      <w:r>
        <w:tab/>
      </w:r>
      <w:r>
        <w:t>draftCR</w:t>
      </w:r>
      <w:r>
        <w:tab/>
      </w:r>
      <w:r>
        <w:t>Rel-16</w:t>
      </w:r>
      <w:r>
        <w:tab/>
      </w:r>
      <w:r>
        <w:t>38.331</w:t>
      </w:r>
      <w:r>
        <w:tab/>
      </w:r>
      <w:r>
        <w:t>16.5.0</w:t>
      </w:r>
      <w:r>
        <w:tab/>
      </w:r>
      <w:r>
        <w:t>F</w:t>
      </w:r>
      <w:r>
        <w:tab/>
      </w:r>
      <w:r>
        <w:t>NR_eMIMO-Core</w:t>
      </w:r>
      <w:r>
        <w:tab/>
      </w:r>
      <w:r>
        <w:t>Late</w:t>
      </w:r>
    </w:p>
    <w:p>
      <w:pPr>
        <w:pStyle w:val="165"/>
      </w:pPr>
      <w:r>
        <w:t xml:space="preserve">Misc </w:t>
      </w:r>
      <w:r>
        <w:rPr>
          <w:lang w:val="en-US"/>
        </w:rPr>
        <w:t>Corrections</w:t>
      </w:r>
    </w:p>
    <w:p>
      <w:pPr>
        <w:pStyle w:val="163"/>
      </w:pPr>
      <w:r>
        <w:fldChar w:fldCharType="begin"/>
      </w:r>
      <w:r>
        <w:instrText xml:space="preserve"> HYPERLINK "http://www.3gpp.org/ftp/tsg_ran/WG2_RL2//TSGR2_115-e/Docs//R2-2108291.zip" </w:instrText>
      </w:r>
      <w:r>
        <w:fldChar w:fldCharType="separate"/>
      </w:r>
      <w:r>
        <w:rPr>
          <w:rStyle w:val="58"/>
        </w:rPr>
        <w:t>R2-2108291</w:t>
      </w:r>
      <w:r>
        <w:rPr>
          <w:rStyle w:val="58"/>
        </w:rPr>
        <w:fldChar w:fldCharType="end"/>
      </w:r>
      <w:r>
        <w:tab/>
      </w:r>
      <w:r>
        <w:t>Miscellaneous non-controversial corrections Set XI</w:t>
      </w:r>
      <w:r>
        <w:tab/>
      </w:r>
      <w:r>
        <w:t>Ericsson</w:t>
      </w:r>
      <w:r>
        <w:tab/>
      </w:r>
      <w:r>
        <w:t>CR</w:t>
      </w:r>
      <w:r>
        <w:tab/>
      </w:r>
      <w:r>
        <w:t>Rel-16</w:t>
      </w:r>
      <w:r>
        <w:tab/>
      </w:r>
      <w:r>
        <w:t>38.331</w:t>
      </w:r>
      <w:r>
        <w:tab/>
      </w:r>
      <w:r>
        <w:t>16.5.0</w:t>
      </w:r>
      <w:r>
        <w:tab/>
      </w:r>
      <w:r>
        <w:t>2763</w:t>
      </w:r>
      <w:r>
        <w:tab/>
      </w:r>
      <w:r>
        <w:t>-</w:t>
      </w:r>
      <w:r>
        <w:tab/>
      </w:r>
      <w:r>
        <w:t>F</w:t>
      </w:r>
      <w:r>
        <w:tab/>
      </w:r>
      <w:r>
        <w:t>NR_newRAT-Core, TEI16</w:t>
      </w:r>
    </w:p>
    <w:p>
      <w:pPr>
        <w:pStyle w:val="113"/>
        <w:ind w:left="0" w:firstLine="0"/>
        <w:rPr>
          <w:b/>
        </w:rPr>
      </w:pPr>
    </w:p>
    <w:p>
      <w:pPr>
        <w:pStyle w:val="163"/>
      </w:pPr>
      <w:r>
        <w:fldChar w:fldCharType="begin"/>
      </w:r>
      <w:r>
        <w:instrText xml:space="preserve"> HYPERLINK "http://www.3gpp.org/ftp/tsg_ran/WG2_RL2//TSGR2_115-e/Docs//R2-2108587.zip" </w:instrText>
      </w:r>
      <w:r>
        <w:fldChar w:fldCharType="separate"/>
      </w:r>
      <w:r>
        <w:rPr>
          <w:rStyle w:val="58"/>
        </w:rPr>
        <w:t>R2-2108587</w:t>
      </w:r>
      <w:r>
        <w:rPr>
          <w:rStyle w:val="58"/>
        </w:rPr>
        <w:fldChar w:fldCharType="end"/>
      </w:r>
      <w:r>
        <w:t xml:space="preserve"> Correction on RRC multiplicity and type constraint definitions Huawei, HiSilicon        CR       Rel-16           38.331 16.5.0  2782    -           F          NR_newRAT-Core</w:t>
      </w:r>
    </w:p>
    <w:p>
      <w:pPr>
        <w:pStyle w:val="113"/>
        <w:ind w:left="0" w:firstLine="0"/>
        <w:rPr>
          <w:b/>
        </w:rPr>
      </w:pPr>
    </w:p>
    <w:p>
      <w:pPr>
        <w:pStyle w:val="113"/>
        <w:ind w:left="0" w:firstLine="0"/>
        <w:rPr>
          <w:b/>
        </w:rPr>
      </w:pPr>
      <w:r>
        <w:rPr>
          <w:b/>
        </w:rPr>
        <w:t>eCall over IMS</w:t>
      </w:r>
    </w:p>
    <w:p>
      <w:pPr>
        <w:pStyle w:val="163"/>
      </w:pPr>
      <w:r>
        <w:fldChar w:fldCharType="begin"/>
      </w:r>
      <w:r>
        <w:instrText xml:space="preserve"> HYPERLINK "http://www.3gpp.org/ftp/tsg_ran/WG2_RL2//TSGR2_115-e/Docs//R2-2107129.zip" </w:instrText>
      </w:r>
      <w:r>
        <w:fldChar w:fldCharType="separate"/>
      </w:r>
      <w:r>
        <w:rPr>
          <w:rStyle w:val="58"/>
        </w:rPr>
        <w:t>R2-2107129</w:t>
      </w:r>
      <w:r>
        <w:rPr>
          <w:rStyle w:val="58"/>
        </w:rPr>
        <w:fldChar w:fldCharType="end"/>
      </w:r>
      <w:r>
        <w:tab/>
      </w:r>
      <w:r>
        <w:t>Early implementation of eCall over IMS in NR</w:t>
      </w:r>
      <w:r>
        <w:tab/>
      </w:r>
      <w:r>
        <w:t>Qualcomm Incorporated, Ericsson, Vodafone</w:t>
      </w:r>
      <w:r>
        <w:tab/>
      </w:r>
      <w:r>
        <w:t>CR</w:t>
      </w:r>
      <w:r>
        <w:tab/>
      </w:r>
      <w:r>
        <w:t>Rel-16</w:t>
      </w:r>
      <w:r>
        <w:tab/>
      </w:r>
      <w:r>
        <w:t>38.331</w:t>
      </w:r>
      <w:r>
        <w:tab/>
      </w:r>
      <w:r>
        <w:t>16.5.0</w:t>
      </w:r>
      <w:r>
        <w:tab/>
      </w:r>
      <w:r>
        <w:t>2714</w:t>
      </w:r>
      <w:r>
        <w:tab/>
      </w:r>
      <w:r>
        <w:t>-</w:t>
      </w:r>
      <w:r>
        <w:tab/>
      </w:r>
      <w:r>
        <w:t>F</w:t>
      </w:r>
      <w:r>
        <w:tab/>
      </w:r>
      <w:r>
        <w:t>TEI16</w:t>
      </w:r>
    </w:p>
    <w:p>
      <w:pPr>
        <w:pStyle w:val="165"/>
      </w:pPr>
      <w:r>
        <w:t>NR-U</w:t>
      </w:r>
    </w:p>
    <w:p>
      <w:pPr>
        <w:pStyle w:val="163"/>
      </w:pPr>
      <w:r>
        <w:fldChar w:fldCharType="begin"/>
      </w:r>
      <w:r>
        <w:instrText xml:space="preserve"> HYPERLINK "http://www.3gpp.org/ftp/tsg_ran/WG2_RL2//TSGR2_115-e/Docs//R2-2107482.zip" </w:instrText>
      </w:r>
      <w:r>
        <w:fldChar w:fldCharType="separate"/>
      </w:r>
      <w:r>
        <w:rPr>
          <w:rStyle w:val="58"/>
        </w:rPr>
        <w:t>R2-2107482</w:t>
      </w:r>
      <w:r>
        <w:rPr>
          <w:rStyle w:val="58"/>
        </w:rPr>
        <w:fldChar w:fldCharType="end"/>
      </w:r>
      <w:r>
        <w:tab/>
      </w:r>
      <w:r>
        <w:t>Correction on description of lbt-FailureInstanceMaxCount in LBT-FailureRecoveryConfig</w:t>
      </w:r>
      <w:r>
        <w:tab/>
      </w:r>
      <w:r>
        <w:t>ZTE Corporation, Sanechips</w:t>
      </w:r>
      <w:r>
        <w:tab/>
      </w:r>
      <w:r>
        <w:t>CR</w:t>
      </w:r>
      <w:r>
        <w:tab/>
      </w:r>
      <w:r>
        <w:t>Rel-16</w:t>
      </w:r>
      <w:r>
        <w:tab/>
      </w:r>
      <w:r>
        <w:t>38.331</w:t>
      </w:r>
      <w:r>
        <w:tab/>
      </w:r>
      <w:r>
        <w:t>16.5.0</w:t>
      </w:r>
      <w:r>
        <w:tab/>
      </w:r>
      <w:r>
        <w:t>2727</w:t>
      </w:r>
      <w:r>
        <w:tab/>
      </w:r>
      <w:r>
        <w:t>-</w:t>
      </w:r>
      <w:r>
        <w:tab/>
      </w:r>
      <w:r>
        <w:t>F</w:t>
      </w:r>
      <w:r>
        <w:tab/>
      </w:r>
      <w:r>
        <w:t>NR_unlic-Core</w:t>
      </w:r>
    </w:p>
    <w:p>
      <w:pPr>
        <w:pStyle w:val="162"/>
        <w:ind w:left="0" w:firstLine="0"/>
      </w:pPr>
    </w:p>
    <w:p>
      <w:pPr>
        <w:pStyle w:val="165"/>
      </w:pPr>
      <w:r>
        <w:t>2-step RACH</w:t>
      </w:r>
    </w:p>
    <w:p>
      <w:pPr>
        <w:pStyle w:val="163"/>
      </w:pPr>
      <w:r>
        <w:fldChar w:fldCharType="begin"/>
      </w:r>
      <w:r>
        <w:instrText xml:space="preserve"> HYPERLINK "http://www.3gpp.org/ftp/tsg_ran/WG2_RL2//TSGR2_115-e/Docs//R2-2106911.zip" </w:instrText>
      </w:r>
      <w:r>
        <w:fldChar w:fldCharType="separate"/>
      </w:r>
      <w:r>
        <w:rPr>
          <w:rStyle w:val="58"/>
        </w:rPr>
        <w:t>R2-2106911</w:t>
      </w:r>
      <w:r>
        <w:rPr>
          <w:rStyle w:val="58"/>
        </w:rPr>
        <w:fldChar w:fldCharType="end"/>
      </w:r>
      <w:r>
        <w:tab/>
      </w:r>
      <w:r>
        <w:t>LS on the description of RRC parameter p0-AlphaSets (</w:t>
      </w:r>
      <w:r>
        <w:fldChar w:fldCharType="begin"/>
      </w:r>
      <w:r>
        <w:instrText xml:space="preserve"> HYPERLINK "http://www.3gpp.org/ftp/tsg_ran/WG1_RL1//TSGR1_105-e/Docs//R1-2106168.zip" </w:instrText>
      </w:r>
      <w:r>
        <w:fldChar w:fldCharType="separate"/>
      </w:r>
      <w:r>
        <w:rPr>
          <w:rStyle w:val="58"/>
        </w:rPr>
        <w:t>R1-2106168</w:t>
      </w:r>
      <w:r>
        <w:rPr>
          <w:rStyle w:val="58"/>
        </w:rPr>
        <w:fldChar w:fldCharType="end"/>
      </w:r>
      <w:r>
        <w:t>; contact: ZTE)</w:t>
      </w:r>
      <w:r>
        <w:tab/>
      </w:r>
      <w:r>
        <w:t>RAN1</w:t>
      </w:r>
      <w:r>
        <w:tab/>
      </w:r>
      <w:r>
        <w:t>LS in</w:t>
      </w:r>
      <w:r>
        <w:tab/>
      </w:r>
      <w:r>
        <w:t>Rel-16</w:t>
      </w:r>
      <w:r>
        <w:tab/>
      </w:r>
      <w:r>
        <w:t>NR_2step_RACH-Core</w:t>
      </w:r>
      <w:r>
        <w:tab/>
      </w:r>
      <w:r>
        <w:t>To:RAN2</w:t>
      </w:r>
    </w:p>
    <w:p>
      <w:pPr>
        <w:pStyle w:val="163"/>
      </w:pPr>
      <w:r>
        <w:fldChar w:fldCharType="begin"/>
      </w:r>
      <w:r>
        <w:instrText xml:space="preserve"> HYPERLINK "http://www.3gpp.org/ftp/tsg_ran/WG2_RL2//TSGR2_115-e/Docs//R2-2108268.zip" </w:instrText>
      </w:r>
      <w:r>
        <w:fldChar w:fldCharType="separate"/>
      </w:r>
      <w:r>
        <w:rPr>
          <w:rStyle w:val="58"/>
        </w:rPr>
        <w:t>R2-2108268</w:t>
      </w:r>
      <w:r>
        <w:rPr>
          <w:rStyle w:val="58"/>
        </w:rPr>
        <w:fldChar w:fldCharType="end"/>
      </w:r>
      <w:r>
        <w:tab/>
      </w:r>
      <w:r>
        <w:t>Correction to 38.331 on field description of the MsgA-TransMax</w:t>
      </w:r>
      <w:r>
        <w:tab/>
      </w:r>
      <w:r>
        <w:t>ZTE Corporation, vivo, LG Electronic, OPPO, Samsung</w:t>
      </w:r>
      <w:r>
        <w:tab/>
      </w:r>
      <w:r>
        <w:t>CR</w:t>
      </w:r>
      <w:r>
        <w:tab/>
      </w:r>
      <w:r>
        <w:t>Rel-16</w:t>
      </w:r>
      <w:r>
        <w:tab/>
      </w:r>
      <w:r>
        <w:t>38.331</w:t>
      </w:r>
      <w:r>
        <w:tab/>
      </w:r>
      <w:r>
        <w:t>16.5.0</w:t>
      </w:r>
      <w:r>
        <w:tab/>
      </w:r>
      <w:r>
        <w:t>2760</w:t>
      </w:r>
      <w:r>
        <w:tab/>
      </w:r>
      <w:r>
        <w:t>-</w:t>
      </w:r>
      <w:r>
        <w:tab/>
      </w:r>
      <w:r>
        <w:t>F</w:t>
      </w:r>
      <w:r>
        <w:tab/>
      </w:r>
      <w:r>
        <w:t>NR_2step_RACH-Core</w:t>
      </w:r>
    </w:p>
    <w:p>
      <w:pPr>
        <w:pStyle w:val="163"/>
      </w:pPr>
      <w:r>
        <w:fldChar w:fldCharType="begin"/>
      </w:r>
      <w:r>
        <w:instrText xml:space="preserve"> HYPERLINK "http://www.3gpp.org/ftp/tsg_ran/WG2_RL2//TSGR2_115-e/Docs//R2-2107485.zip" </w:instrText>
      </w:r>
      <w:r>
        <w:fldChar w:fldCharType="separate"/>
      </w:r>
      <w:r>
        <w:rPr>
          <w:rStyle w:val="58"/>
        </w:rPr>
        <w:t>R2-2107485</w:t>
      </w:r>
      <w:r>
        <w:rPr>
          <w:rStyle w:val="58"/>
        </w:rPr>
        <w:fldChar w:fldCharType="end"/>
      </w:r>
      <w:r>
        <w:tab/>
      </w:r>
      <w:r>
        <w:t>Correction to description of po-AlfphaSets</w:t>
      </w:r>
      <w:r>
        <w:tab/>
      </w:r>
      <w:r>
        <w:t>ZTE Corporation, Sanechips</w:t>
      </w:r>
      <w:r>
        <w:tab/>
      </w:r>
      <w:r>
        <w:t>CR</w:t>
      </w:r>
      <w:r>
        <w:tab/>
      </w:r>
      <w:r>
        <w:t>Rel-16</w:t>
      </w:r>
      <w:r>
        <w:tab/>
      </w:r>
      <w:r>
        <w:t>38.331</w:t>
      </w:r>
      <w:r>
        <w:tab/>
      </w:r>
      <w:r>
        <w:t>16.5.0</w:t>
      </w:r>
      <w:r>
        <w:tab/>
      </w:r>
      <w:r>
        <w:t>2728</w:t>
      </w:r>
      <w:r>
        <w:tab/>
      </w:r>
      <w:r>
        <w:t>-</w:t>
      </w:r>
      <w:r>
        <w:tab/>
      </w:r>
      <w:r>
        <w:t>F</w:t>
      </w:r>
      <w:r>
        <w:tab/>
      </w:r>
      <w:r>
        <w:t>NR_2step_RACH-Core</w:t>
      </w:r>
    </w:p>
    <w:p>
      <w:pPr>
        <w:pStyle w:val="163"/>
      </w:pPr>
      <w:r>
        <w:fldChar w:fldCharType="begin"/>
      </w:r>
      <w:r>
        <w:instrText xml:space="preserve"> HYPERLINK "http://www.3gpp.org/ftp/tsg_ran/WG2_RL2//TSGR2_115-e/Docs//R2-2106996.zip" </w:instrText>
      </w:r>
      <w:r>
        <w:fldChar w:fldCharType="separate"/>
      </w:r>
      <w:r>
        <w:rPr>
          <w:rStyle w:val="58"/>
        </w:rPr>
        <w:t>R2-2106996</w:t>
      </w:r>
      <w:r>
        <w:rPr>
          <w:rStyle w:val="58"/>
        </w:rPr>
        <w:fldChar w:fldCharType="end"/>
      </w:r>
      <w:r>
        <w:tab/>
      </w:r>
      <w:r>
        <w:t>Correction on msg1-SubcarrierSpacing and msgA-SubcarrierSpacing</w:t>
      </w:r>
      <w:r>
        <w:tab/>
      </w:r>
      <w:r>
        <w:t>vivo</w:t>
      </w:r>
      <w:r>
        <w:tab/>
      </w:r>
      <w:r>
        <w:t>CR</w:t>
      </w:r>
      <w:r>
        <w:tab/>
      </w:r>
      <w:r>
        <w:t>Rel-16</w:t>
      </w:r>
      <w:r>
        <w:tab/>
      </w:r>
      <w:r>
        <w:t>38.331</w:t>
      </w:r>
      <w:r>
        <w:tab/>
      </w:r>
      <w:r>
        <w:t>16.5.0</w:t>
      </w:r>
      <w:r>
        <w:tab/>
      </w:r>
      <w:r>
        <w:t>2707</w:t>
      </w:r>
      <w:r>
        <w:tab/>
      </w:r>
      <w:r>
        <w:t>-</w:t>
      </w:r>
      <w:r>
        <w:tab/>
      </w:r>
      <w:r>
        <w:t>F</w:t>
      </w:r>
      <w:r>
        <w:tab/>
      </w:r>
      <w:r>
        <w:t>NR_2step_RACH-Core</w:t>
      </w:r>
    </w:p>
    <w:p>
      <w:pPr>
        <w:pStyle w:val="167"/>
        <w:rPr>
          <w:rStyle w:val="58"/>
          <w:i w:val="0"/>
        </w:rPr>
      </w:pPr>
      <w:r>
        <w:t>Moved from 6.1.4.1.1</w:t>
      </w:r>
    </w:p>
    <w:p>
      <w:pPr>
        <w:pStyle w:val="162"/>
        <w:ind w:left="0" w:firstLine="0"/>
      </w:pPr>
    </w:p>
    <w:p>
      <w:pPr>
        <w:pStyle w:val="165"/>
        <w:rPr>
          <w:lang w:val="en-US"/>
        </w:rPr>
      </w:pPr>
      <w:r>
        <w:t>Redirection</w:t>
      </w:r>
      <w:r>
        <w:rPr>
          <w:lang w:val="en-US"/>
        </w:rPr>
        <w:t xml:space="preserve"> with MPS indication</w:t>
      </w:r>
    </w:p>
    <w:p>
      <w:pPr>
        <w:pStyle w:val="163"/>
      </w:pPr>
      <w:r>
        <w:fldChar w:fldCharType="begin"/>
      </w:r>
      <w:r>
        <w:instrText xml:space="preserve"> HYPERLINK "http://www.3gpp.org/ftp/tsg_ran/WG2_RL2//TSGR2_115-e/Docs//R2-2108434.zip" </w:instrText>
      </w:r>
      <w:r>
        <w:fldChar w:fldCharType="separate"/>
      </w:r>
      <w:r>
        <w:rPr>
          <w:rStyle w:val="58"/>
        </w:rPr>
        <w:t>R2-2108434</w:t>
      </w:r>
      <w:r>
        <w:rPr>
          <w:rStyle w:val="58"/>
        </w:rPr>
        <w:fldChar w:fldCharType="end"/>
      </w:r>
      <w:r>
        <w:tab/>
      </w:r>
      <w:r>
        <w:t>Correction on Redirection with MPS Indication</w:t>
      </w:r>
      <w:r>
        <w:tab/>
      </w:r>
      <w:r>
        <w:t>Peraton Labs, CISA ECD, T-Mobile US, Ericsson , Qualcomm, NTT DoCoMo, AT&amp;T, Verizon</w:t>
      </w:r>
      <w:r>
        <w:tab/>
      </w:r>
      <w:r>
        <w:t>CR</w:t>
      </w:r>
      <w:r>
        <w:tab/>
      </w:r>
      <w:r>
        <w:t>Rel-16</w:t>
      </w:r>
      <w:r>
        <w:tab/>
      </w:r>
      <w:r>
        <w:t>36.331</w:t>
      </w:r>
      <w:r>
        <w:tab/>
      </w:r>
      <w:r>
        <w:t>16.5.0</w:t>
      </w:r>
      <w:r>
        <w:tab/>
      </w:r>
      <w:r>
        <w:t>4714</w:t>
      </w:r>
      <w:r>
        <w:tab/>
      </w:r>
      <w:r>
        <w:t>-</w:t>
      </w:r>
      <w:r>
        <w:tab/>
      </w:r>
      <w:r>
        <w:t>F</w:t>
      </w:r>
      <w:r>
        <w:tab/>
      </w:r>
      <w:r>
        <w:t>NR_newRAT-Core, TEI16</w:t>
      </w:r>
    </w:p>
    <w:p>
      <w:pPr>
        <w:pStyle w:val="162"/>
        <w:ind w:left="0" w:firstLine="0"/>
      </w:pPr>
    </w:p>
    <w:p>
      <w:pPr>
        <w:pStyle w:val="165"/>
        <w:rPr>
          <w:rStyle w:val="58"/>
          <w:b w:val="0"/>
        </w:rPr>
      </w:pPr>
      <w:r>
        <w:t>LTE changes - Mobility</w:t>
      </w:r>
    </w:p>
    <w:p>
      <w:pPr>
        <w:pStyle w:val="163"/>
      </w:pPr>
      <w:r>
        <w:fldChar w:fldCharType="begin"/>
      </w:r>
      <w:r>
        <w:instrText xml:space="preserve"> HYPERLINK "http://www.3gpp.org/ftp/tsg_ran/WG2_RL2//TSGR2_115-e/Docs//R2-2108375.zip" </w:instrText>
      </w:r>
      <w:r>
        <w:fldChar w:fldCharType="separate"/>
      </w:r>
      <w:r>
        <w:rPr>
          <w:rStyle w:val="58"/>
        </w:rPr>
        <w:t>R2-2108375</w:t>
      </w:r>
      <w:r>
        <w:rPr>
          <w:rStyle w:val="58"/>
        </w:rPr>
        <w:fldChar w:fldCharType="end"/>
      </w:r>
      <w:r>
        <w:tab/>
      </w:r>
      <w:r>
        <w:t>Correction on ULInformationTransferMRDC(R16)</w:t>
      </w:r>
      <w:r>
        <w:tab/>
      </w:r>
      <w:r>
        <w:t>ZTE Corporation, Sanechips</w:t>
      </w:r>
      <w:r>
        <w:tab/>
      </w:r>
      <w:r>
        <w:t>CR</w:t>
      </w:r>
      <w:r>
        <w:tab/>
      </w:r>
      <w:r>
        <w:t>Rel-16</w:t>
      </w:r>
      <w:r>
        <w:tab/>
      </w:r>
      <w:r>
        <w:t>36.331</w:t>
      </w:r>
      <w:r>
        <w:tab/>
      </w:r>
      <w:r>
        <w:t>16.5.0</w:t>
      </w:r>
      <w:r>
        <w:tab/>
      </w:r>
      <w:r>
        <w:t>4713</w:t>
      </w:r>
      <w:r>
        <w:tab/>
      </w:r>
      <w:r>
        <w:t>-</w:t>
      </w:r>
      <w:r>
        <w:tab/>
      </w:r>
      <w:r>
        <w:t>F</w:t>
      </w:r>
      <w:r>
        <w:tab/>
      </w:r>
      <w:r>
        <w:t>TEI16</w:t>
      </w:r>
    </w:p>
    <w:p>
      <w:pPr>
        <w:pStyle w:val="165"/>
      </w:pPr>
      <w:r>
        <w:t xml:space="preserve">LTE changes - ASN.1 on SCG Failure report </w:t>
      </w:r>
    </w:p>
    <w:p>
      <w:pPr>
        <w:pStyle w:val="163"/>
      </w:pPr>
      <w:r>
        <w:fldChar w:fldCharType="begin"/>
      </w:r>
      <w:r>
        <w:instrText xml:space="preserve"> HYPERLINK "http://www.3gpp.org/ftp/tsg_ran/WG2_RL2//TSGR2_115-e/Docs//R2-2108189.zip" </w:instrText>
      </w:r>
      <w:r>
        <w:fldChar w:fldCharType="separate"/>
      </w:r>
      <w:r>
        <w:rPr>
          <w:rStyle w:val="58"/>
        </w:rPr>
        <w:t>R2-2108189</w:t>
      </w:r>
      <w:r>
        <w:rPr>
          <w:rStyle w:val="58"/>
        </w:rPr>
        <w:fldChar w:fldCharType="end"/>
      </w:r>
      <w:r>
        <w:tab/>
      </w:r>
      <w:r>
        <w:t>ASN.1 misalignment for the SCGFailureInformationNR message</w:t>
      </w:r>
      <w:r>
        <w:tab/>
      </w:r>
      <w:r>
        <w:t>Ericsson</w:t>
      </w:r>
      <w:r>
        <w:tab/>
      </w:r>
      <w:r>
        <w:t>CR</w:t>
      </w:r>
      <w:r>
        <w:tab/>
      </w:r>
      <w:r>
        <w:t>Rel-16</w:t>
      </w:r>
      <w:r>
        <w:tab/>
      </w:r>
      <w:r>
        <w:t>36.331</w:t>
      </w:r>
      <w:r>
        <w:tab/>
      </w:r>
      <w:r>
        <w:t>16.5.0</w:t>
      </w:r>
      <w:r>
        <w:tab/>
      </w:r>
      <w:r>
        <w:t>4709</w:t>
      </w:r>
      <w:r>
        <w:tab/>
      </w:r>
      <w:r>
        <w:t>-</w:t>
      </w:r>
      <w:r>
        <w:tab/>
      </w:r>
      <w:r>
        <w:t>F</w:t>
      </w:r>
      <w:r>
        <w:tab/>
      </w:r>
      <w:r>
        <w:t>LTE_NR_DC_CA_enh-Core, NR_unlic-Core, NR_IAB-Core, NR_Mob_enh-Core</w:t>
      </w:r>
    </w:p>
    <w:p>
      <w:pPr>
        <w:pStyle w:val="167"/>
      </w:pPr>
      <w:r>
        <w:t>Moved from 6.1.4.1.1</w:t>
      </w:r>
    </w:p>
    <w:p>
      <w:pPr>
        <w:pStyle w:val="163"/>
      </w:pPr>
      <w:r>
        <w:fldChar w:fldCharType="begin"/>
      </w:r>
      <w:r>
        <w:instrText xml:space="preserve"> HYPERLINK "http://www.3gpp.org/ftp/tsg_ran/WG2_RL2//TSGR2_115-e/Docs//R2-2108190.zip" </w:instrText>
      </w:r>
      <w:r>
        <w:fldChar w:fldCharType="separate"/>
      </w:r>
      <w:r>
        <w:rPr>
          <w:rStyle w:val="58"/>
        </w:rPr>
        <w:t>R2-2108190</w:t>
      </w:r>
      <w:r>
        <w:rPr>
          <w:rStyle w:val="58"/>
        </w:rPr>
        <w:fldChar w:fldCharType="end"/>
      </w:r>
      <w:r>
        <w:tab/>
      </w:r>
      <w:r>
        <w:t>ASN.1 misalignment for the SCGFailureInformationNR message</w:t>
      </w:r>
      <w:r>
        <w:tab/>
      </w:r>
      <w:r>
        <w:t>Ericsson</w:t>
      </w:r>
      <w:r>
        <w:tab/>
      </w:r>
      <w:r>
        <w:t>CR</w:t>
      </w:r>
      <w:r>
        <w:tab/>
      </w:r>
      <w:r>
        <w:t>Rel-16</w:t>
      </w:r>
      <w:r>
        <w:tab/>
      </w:r>
      <w:r>
        <w:t>38.331</w:t>
      </w:r>
      <w:r>
        <w:tab/>
      </w:r>
      <w:r>
        <w:t>16.5.0</w:t>
      </w:r>
      <w:r>
        <w:tab/>
      </w:r>
      <w:r>
        <w:t>2758</w:t>
      </w:r>
      <w:r>
        <w:tab/>
      </w:r>
      <w:r>
        <w:t>-</w:t>
      </w:r>
      <w:r>
        <w:tab/>
      </w:r>
      <w:r>
        <w:t>F</w:t>
      </w:r>
      <w:r>
        <w:tab/>
      </w:r>
      <w:r>
        <w:t>LTE_NR_DC_CA_enh-Core, NR_unlic-Core, NR_IAB-Core, NR_Mob_enh-Core</w:t>
      </w:r>
    </w:p>
    <w:p>
      <w:pPr>
        <w:pStyle w:val="167"/>
      </w:pPr>
      <w:r>
        <w:t>Moved from 6.1.4.1.1</w:t>
      </w:r>
    </w:p>
    <w:p>
      <w:pPr>
        <w:pStyle w:val="163"/>
      </w:pPr>
      <w:r>
        <w:fldChar w:fldCharType="begin"/>
      </w:r>
      <w:r>
        <w:instrText xml:space="preserve"> HYPERLINK "http://www.3gpp.org/ftp/tsg_ran/WG2_RL2//TSGR2_115-e/Docs//R2-2108569.zip" </w:instrText>
      </w:r>
      <w:r>
        <w:fldChar w:fldCharType="separate"/>
      </w:r>
      <w:r>
        <w:rPr>
          <w:rStyle w:val="58"/>
        </w:rPr>
        <w:t>R2-2108569</w:t>
      </w:r>
      <w:r>
        <w:rPr>
          <w:rStyle w:val="58"/>
        </w:rPr>
        <w:fldChar w:fldCharType="end"/>
      </w:r>
      <w:r>
        <w:tab/>
      </w:r>
      <w:r>
        <w:t>Discussion on compatibility issue and solutions for Rel-15 failure type definition</w:t>
      </w:r>
      <w:r>
        <w:tab/>
      </w:r>
      <w:r>
        <w:t>Huawei, HiSilicon</w:t>
      </w:r>
      <w:r>
        <w:tab/>
      </w:r>
      <w:r>
        <w:t>discussion</w:t>
      </w:r>
      <w:r>
        <w:tab/>
      </w:r>
      <w:r>
        <w:t>Rel-16</w:t>
      </w:r>
      <w:r>
        <w:tab/>
      </w:r>
      <w:r>
        <w:t>TEI16</w:t>
      </w:r>
    </w:p>
    <w:p>
      <w:pPr>
        <w:pStyle w:val="163"/>
      </w:pPr>
      <w:r>
        <w:fldChar w:fldCharType="begin"/>
      </w:r>
      <w:r>
        <w:instrText xml:space="preserve"> HYPERLINK "http://www.3gpp.org/ftp/tsg_ran/WG2_RL2//TSGR2_115-e/Docs//R2-2108679.zip" </w:instrText>
      </w:r>
      <w:r>
        <w:fldChar w:fldCharType="separate"/>
      </w:r>
      <w:r>
        <w:rPr>
          <w:rStyle w:val="58"/>
        </w:rPr>
        <w:t>R2-2108679</w:t>
      </w:r>
      <w:r>
        <w:rPr>
          <w:rStyle w:val="58"/>
        </w:rPr>
        <w:fldChar w:fldCharType="end"/>
      </w:r>
      <w:r>
        <w:tab/>
      </w:r>
      <w:r>
        <w:t>Discussion on compatibility issue on failure type for NR SCG failure</w:t>
      </w:r>
      <w:r>
        <w:tab/>
      </w:r>
      <w:r>
        <w:t>CATT</w:t>
      </w:r>
      <w:r>
        <w:tab/>
      </w:r>
      <w:r>
        <w:t>discussion</w:t>
      </w:r>
      <w:r>
        <w:tab/>
      </w:r>
      <w:r>
        <w:t>Rel-15</w:t>
      </w:r>
    </w:p>
    <w:p>
      <w:pPr>
        <w:pStyle w:val="162"/>
        <w:ind w:left="0" w:firstLine="0"/>
      </w:pPr>
    </w:p>
    <w:p>
      <w:pPr>
        <w:pStyle w:val="162"/>
        <w:ind w:left="0" w:firstLine="0"/>
      </w:pPr>
    </w:p>
    <w:p>
      <w:pPr>
        <w:pStyle w:val="162"/>
        <w:ind w:left="0" w:firstLine="0"/>
      </w:pPr>
      <w:r>
        <w:t>Contact person(s) for each participating company:</w:t>
      </w:r>
    </w:p>
    <w:p>
      <w:pPr>
        <w:pStyle w:val="162"/>
        <w:ind w:left="0" w:firstLine="0"/>
      </w:pPr>
    </w:p>
    <w:tbl>
      <w:tblPr>
        <w:tblStyle w:val="51"/>
        <w:tblW w:w="0" w:type="auto"/>
        <w:tblInd w:w="0" w:type="dxa"/>
        <w:tblLayout w:type="autofit"/>
        <w:tblCellMar>
          <w:top w:w="0" w:type="dxa"/>
          <w:left w:w="0" w:type="dxa"/>
          <w:bottom w:w="0" w:type="dxa"/>
          <w:right w:w="0" w:type="dxa"/>
        </w:tblCellMar>
      </w:tblPr>
      <w:tblGrid>
        <w:gridCol w:w="2231"/>
        <w:gridCol w:w="7180"/>
      </w:tblGrid>
      <w:tr>
        <w:tblPrEx>
          <w:tblCellMar>
            <w:top w:w="0" w:type="dxa"/>
            <w:left w:w="0" w:type="dxa"/>
            <w:bottom w:w="0" w:type="dxa"/>
            <w:right w:w="0" w:type="dxa"/>
          </w:tblCellMar>
        </w:tblPrEx>
        <w:trPr>
          <w:trHeight w:val="421" w:hRule="atLeast"/>
        </w:trPr>
        <w:tc>
          <w:tcPr>
            <w:tcW w:w="2231"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tcPr>
          <w:p>
            <w:pPr>
              <w:pStyle w:val="15"/>
              <w:jc w:val="center"/>
              <w:rPr>
                <w:rFonts w:ascii="Times New Roman" w:hAnsi="Times New Roman"/>
                <w:lang w:val="de-DE"/>
              </w:rPr>
            </w:pPr>
            <w:r>
              <w:rPr>
                <w:rFonts w:ascii="Times New Roman" w:hAnsi="Times New Roman"/>
                <w:lang w:val="de-DE"/>
              </w:rPr>
              <w:t>Company</w:t>
            </w:r>
          </w:p>
        </w:tc>
        <w:tc>
          <w:tcPr>
            <w:tcW w:w="718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tcPr>
          <w:p>
            <w:pPr>
              <w:pStyle w:val="15"/>
              <w:jc w:val="center"/>
              <w:rPr>
                <w:rFonts w:ascii="Times New Roman" w:hAnsi="Times New Roman"/>
                <w:sz w:val="22"/>
                <w:szCs w:val="22"/>
                <w:lang w:val="de-DE"/>
              </w:rPr>
            </w:pPr>
            <w:r>
              <w:rPr>
                <w:rFonts w:ascii="Times New Roman" w:hAnsi="Times New Roman"/>
                <w:sz w:val="22"/>
                <w:szCs w:val="22"/>
                <w:lang w:val="de-DE"/>
              </w:rPr>
              <w:t>Contact Name, Email</w:t>
            </w:r>
          </w:p>
        </w:tc>
      </w:tr>
      <w:tr>
        <w:tblPrEx>
          <w:tblCellMar>
            <w:top w:w="0" w:type="dxa"/>
            <w:left w:w="0" w:type="dxa"/>
            <w:bottom w:w="0" w:type="dxa"/>
            <w:right w:w="0" w:type="dxa"/>
          </w:tblCellMar>
        </w:tblPrEx>
        <w:trPr>
          <w:trHeight w:val="501"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rPr>
            </w:pPr>
            <w:r>
              <w:rPr>
                <w:lang w:val="de-DE"/>
              </w:rPr>
              <w:t>Ericsson</w:t>
            </w:r>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sz w:val="22"/>
                <w:szCs w:val="22"/>
                <w:lang w:val="de-DE"/>
              </w:rPr>
            </w:pPr>
            <w:r>
              <w:rPr>
                <w:sz w:val="22"/>
                <w:szCs w:val="22"/>
                <w:lang w:val="de-DE"/>
              </w:rPr>
              <w:t>hakan.l.palm@ericsson.com</w:t>
            </w:r>
          </w:p>
        </w:tc>
      </w:tr>
      <w:tr>
        <w:tblPrEx>
          <w:tblCellMar>
            <w:top w:w="0" w:type="dxa"/>
            <w:left w:w="0" w:type="dxa"/>
            <w:bottom w:w="0" w:type="dxa"/>
            <w:right w:w="0" w:type="dxa"/>
          </w:tblCellMar>
        </w:tblPrEx>
        <w:trPr>
          <w:trHeight w:val="467"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MediaTek</w:t>
            </w:r>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lang w:val="de-DE" w:eastAsia="zh-CN"/>
              </w:rPr>
            </w:pPr>
            <w:r>
              <w:rPr>
                <w:lang w:val="de-DE" w:eastAsia="zh-CN"/>
              </w:rPr>
              <w:t>nathan.tenny@mediatek.com</w:t>
            </w:r>
          </w:p>
        </w:tc>
      </w:tr>
      <w:tr>
        <w:tblPrEx>
          <w:tblCellMar>
            <w:top w:w="0" w:type="dxa"/>
            <w:left w:w="0" w:type="dxa"/>
            <w:bottom w:w="0" w:type="dxa"/>
            <w:right w:w="0" w:type="dxa"/>
          </w:tblCellMar>
        </w:tblPrEx>
        <w:trPr>
          <w:trHeight w:val="467"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Lenovo</w:t>
            </w:r>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lang w:val="de-DE" w:eastAsia="zh-CN"/>
              </w:rPr>
            </w:pPr>
            <w:r>
              <w:rPr>
                <w:lang w:val="de-DE" w:eastAsia="zh-CN"/>
              </w:rPr>
              <w:t>hchoi5@lenovo.com</w:t>
            </w:r>
          </w:p>
        </w:tc>
      </w:tr>
      <w:tr>
        <w:tblPrEx>
          <w:tblCellMar>
            <w:top w:w="0" w:type="dxa"/>
            <w:left w:w="0" w:type="dxa"/>
            <w:bottom w:w="0" w:type="dxa"/>
            <w:right w:w="0" w:type="dxa"/>
          </w:tblCellMar>
        </w:tblPrEx>
        <w:trPr>
          <w:trHeight w:val="467"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eastAsia="Malgun Gothic"/>
                <w:lang w:val="de-DE" w:eastAsia="ko-KR"/>
              </w:rPr>
            </w:pPr>
            <w:r>
              <w:rPr>
                <w:rFonts w:hint="eastAsia" w:eastAsia="Malgun Gothic"/>
                <w:lang w:val="de-DE" w:eastAsia="ko-KR"/>
              </w:rPr>
              <w:t>S</w:t>
            </w:r>
            <w:r>
              <w:rPr>
                <w:rFonts w:eastAsia="Malgun Gothic"/>
                <w:lang w:val="de-DE" w:eastAsia="ko-KR"/>
              </w:rPr>
              <w:t>amsung</w:t>
            </w:r>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rFonts w:eastAsia="Malgun Gothic"/>
                <w:lang w:val="de-DE" w:eastAsia="ko-KR"/>
              </w:rPr>
            </w:pPr>
            <w:r>
              <w:rPr>
                <w:rFonts w:eastAsia="Malgun Gothic"/>
                <w:lang w:val="de-DE" w:eastAsia="ko-KR"/>
              </w:rPr>
              <w:t>s</w:t>
            </w:r>
            <w:r>
              <w:rPr>
                <w:rFonts w:hint="eastAsia" w:eastAsia="Malgun Gothic"/>
                <w:lang w:val="de-DE" w:eastAsia="ko-KR"/>
              </w:rPr>
              <w:t>eu</w:t>
            </w:r>
            <w:r>
              <w:rPr>
                <w:rFonts w:eastAsia="Malgun Gothic"/>
                <w:lang w:val="de-DE" w:eastAsia="ko-KR"/>
              </w:rPr>
              <w:t>ngri.jin@samsung.com</w:t>
            </w:r>
          </w:p>
        </w:tc>
      </w:tr>
      <w:tr>
        <w:tblPrEx>
          <w:tblCellMar>
            <w:top w:w="0" w:type="dxa"/>
            <w:left w:w="0" w:type="dxa"/>
            <w:bottom w:w="0" w:type="dxa"/>
            <w:right w:w="0" w:type="dxa"/>
          </w:tblCellMar>
        </w:tblPrEx>
        <w:trPr>
          <w:trHeight w:val="467"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Nokia</w:t>
            </w:r>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lang w:val="de-DE" w:eastAsia="zh-CN"/>
              </w:rPr>
            </w:pPr>
            <w:r>
              <w:rPr>
                <w:lang w:val="de-DE" w:eastAsia="zh-CN"/>
              </w:rPr>
              <w:t>jarkko.t.koskela@nokia.com</w:t>
            </w:r>
          </w:p>
        </w:tc>
      </w:tr>
      <w:tr>
        <w:tblPrEx>
          <w:tblCellMar>
            <w:top w:w="0" w:type="dxa"/>
            <w:left w:w="0" w:type="dxa"/>
            <w:bottom w:w="0" w:type="dxa"/>
            <w:right w:w="0" w:type="dxa"/>
          </w:tblCellMar>
        </w:tblPrEx>
        <w:trPr>
          <w:trHeight w:val="467" w:hRule="atLeast"/>
        </w:trPr>
        <w:tc>
          <w:tcPr>
            <w:tcW w:w="22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Qulacomm</w:t>
            </w:r>
          </w:p>
        </w:tc>
        <w:tc>
          <w:tcPr>
            <w:tcW w:w="7180" w:type="dxa"/>
            <w:tcBorders>
              <w:top w:val="nil"/>
              <w:left w:val="nil"/>
              <w:bottom w:val="single" w:color="auto" w:sz="8" w:space="0"/>
              <w:right w:val="single" w:color="auto" w:sz="8" w:space="0"/>
            </w:tcBorders>
            <w:tcMar>
              <w:top w:w="0" w:type="dxa"/>
              <w:left w:w="108" w:type="dxa"/>
              <w:bottom w:w="0" w:type="dxa"/>
              <w:right w:w="108" w:type="dxa"/>
            </w:tcMar>
          </w:tcPr>
          <w:p>
            <w:pPr>
              <w:jc w:val="center"/>
              <w:rPr>
                <w:lang w:val="de-DE" w:eastAsia="zh-CN"/>
              </w:rPr>
            </w:pPr>
            <w:r>
              <w:fldChar w:fldCharType="begin"/>
            </w:r>
            <w:r>
              <w:instrText xml:space="preserve"> HYPERLINK "mailto:mambriss@qti.qualcomm.com" </w:instrText>
            </w:r>
            <w:r>
              <w:fldChar w:fldCharType="separate"/>
            </w:r>
            <w:r>
              <w:rPr>
                <w:rStyle w:val="58"/>
                <w:lang w:val="de-DE" w:eastAsia="zh-CN"/>
              </w:rPr>
              <w:t>mambriss@qti.qualcomm.com</w:t>
            </w:r>
            <w:r>
              <w:rPr>
                <w:rStyle w:val="58"/>
                <w:lang w:val="de-DE" w:eastAsia="zh-CN"/>
              </w:rPr>
              <w:fldChar w:fldCharType="end"/>
            </w:r>
            <w:r>
              <w:rPr>
                <w:lang w:val="de-DE" w:eastAsia="zh-CN"/>
              </w:rPr>
              <w:t xml:space="preserve"> (Mouaffac)</w:t>
            </w:r>
          </w:p>
        </w:tc>
      </w:tr>
      <w:tr>
        <w:tblPrEx>
          <w:tblCellMar>
            <w:top w:w="0" w:type="dxa"/>
            <w:left w:w="0" w:type="dxa"/>
            <w:bottom w:w="0" w:type="dxa"/>
            <w:right w:w="0" w:type="dxa"/>
          </w:tblCellMar>
        </w:tblPrEx>
        <w:trPr>
          <w:trHeight w:val="467" w:hRule="atLeast"/>
        </w:trPr>
        <w:tc>
          <w:tcPr>
            <w:tcW w:w="223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Vodafone</w:t>
            </w:r>
          </w:p>
        </w:tc>
        <w:tc>
          <w:tcPr>
            <w:tcW w:w="7180" w:type="dxa"/>
            <w:tcBorders>
              <w:top w:val="nil"/>
              <w:left w:val="nil"/>
              <w:bottom w:val="single" w:color="auto" w:sz="4" w:space="0"/>
              <w:right w:val="single" w:color="auto" w:sz="8" w:space="0"/>
            </w:tcBorders>
            <w:tcMar>
              <w:top w:w="0" w:type="dxa"/>
              <w:left w:w="108" w:type="dxa"/>
              <w:bottom w:w="0" w:type="dxa"/>
              <w:right w:w="108" w:type="dxa"/>
            </w:tcMar>
          </w:tcPr>
          <w:p>
            <w:pPr>
              <w:jc w:val="center"/>
              <w:rPr>
                <w:lang w:val="de-DE" w:eastAsia="zh-CN"/>
              </w:rPr>
            </w:pPr>
            <w:r>
              <w:rPr>
                <w:lang w:val="de-DE" w:eastAsia="zh-CN"/>
              </w:rPr>
              <w:t>chris.pudney@vodafone.com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Convida Wireless</w:t>
            </w:r>
          </w:p>
        </w:tc>
        <w:tc>
          <w:tcPr>
            <w:tcW w:w="7180"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jc w:val="center"/>
              <w:rPr>
                <w:lang w:val="de-DE" w:eastAsia="zh-CN"/>
              </w:rPr>
            </w:pPr>
            <w:r>
              <w:rPr>
                <w:lang w:val="de-DE" w:eastAsia="zh-CN"/>
              </w:rPr>
              <w:t>sunell.kaierik@convidawireless.com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lang w:val="de-DE" w:eastAsia="zh-CN"/>
              </w:rPr>
            </w:pPr>
            <w:r>
              <w:rPr>
                <w:lang w:val="de-DE" w:eastAsia="zh-CN"/>
              </w:rPr>
              <w:t>Peraton Labs</w:t>
            </w:r>
          </w:p>
        </w:tc>
        <w:tc>
          <w:tcPr>
            <w:tcW w:w="7180"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jc w:val="center"/>
              <w:rPr>
                <w:lang w:val="de-DE" w:eastAsia="zh-CN"/>
              </w:rPr>
            </w:pPr>
            <w:r>
              <w:fldChar w:fldCharType="begin"/>
            </w:r>
            <w:r>
              <w:instrText xml:space="preserve"> HYPERLINK "mailto:akogiantis@peratonlabs.com" </w:instrText>
            </w:r>
            <w:r>
              <w:fldChar w:fldCharType="separate"/>
            </w:r>
            <w:r>
              <w:rPr>
                <w:rStyle w:val="58"/>
                <w:lang w:val="de-DE" w:eastAsia="zh-CN"/>
              </w:rPr>
              <w:t>akogiantis@peratonlabs.com</w:t>
            </w:r>
            <w:r>
              <w:rPr>
                <w:rStyle w:val="58"/>
                <w:lang w:val="de-DE" w:eastAsia="zh-CN"/>
              </w:rPr>
              <w:fldChar w:fldCharType="end"/>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rFonts w:eastAsia="Yu Mincho"/>
                <w:lang w:val="de-DE"/>
              </w:rPr>
            </w:pPr>
            <w:r>
              <w:rPr>
                <w:rFonts w:hint="eastAsia" w:eastAsia="Yu Mincho"/>
                <w:lang w:val="de-DE"/>
              </w:rPr>
              <w:t>N</w:t>
            </w:r>
            <w:r>
              <w:rPr>
                <w:rFonts w:eastAsia="Yu Mincho"/>
                <w:lang w:val="de-DE"/>
              </w:rPr>
              <w:t>EC</w:t>
            </w:r>
          </w:p>
        </w:tc>
        <w:tc>
          <w:tcPr>
            <w:tcW w:w="7180"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jc w:val="center"/>
              <w:rPr>
                <w:rFonts w:eastAsia="Yu Mincho"/>
                <w:lang w:val="de-DE"/>
              </w:rPr>
            </w:pPr>
            <w:r>
              <w:rPr>
                <w:rFonts w:hint="eastAsia" w:eastAsia="Yu Mincho"/>
                <w:lang w:val="de-DE"/>
              </w:rPr>
              <w:t>h</w:t>
            </w:r>
            <w:r>
              <w:rPr>
                <w:rFonts w:eastAsia="Yu Mincho"/>
                <w:lang w:val="de-DE"/>
              </w:rPr>
              <w:t>isashi.futaki[at]nec.com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rFonts w:eastAsia="Yu Mincho"/>
                <w:lang w:val="de-DE"/>
              </w:rPr>
            </w:pPr>
            <w:r>
              <w:rPr>
                <w:lang w:val="de-DE" w:eastAsia="zh-CN"/>
              </w:rPr>
              <w:t>Intel</w:t>
            </w:r>
          </w:p>
        </w:tc>
        <w:tc>
          <w:tcPr>
            <w:tcW w:w="7180"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jc w:val="center"/>
              <w:rPr>
                <w:rFonts w:eastAsia="Yu Mincho"/>
                <w:lang w:val="de-DE"/>
              </w:rPr>
            </w:pPr>
            <w:r>
              <w:fldChar w:fldCharType="begin"/>
            </w:r>
            <w:r>
              <w:instrText xml:space="preserve"> HYPERLINK "mailto:Sudeep.k.palat@intel.com" </w:instrText>
            </w:r>
            <w:r>
              <w:fldChar w:fldCharType="separate"/>
            </w:r>
            <w:r>
              <w:rPr>
                <w:rStyle w:val="58"/>
                <w:lang w:val="de-DE" w:eastAsia="zh-CN"/>
              </w:rPr>
              <w:t>Sudeep.k.palat@intel.com</w:t>
            </w:r>
            <w:r>
              <w:rPr>
                <w:rStyle w:val="58"/>
                <w:lang w:val="de-DE" w:eastAsia="zh-CN"/>
              </w:rPr>
              <w:fldChar w:fldCharType="end"/>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lang w:val="de-DE" w:eastAsia="zh-CN"/>
              </w:rPr>
            </w:pPr>
            <w:r>
              <w:rPr>
                <w:rFonts w:hint="eastAsia"/>
                <w:lang w:val="de-DE" w:eastAsia="zh-CN"/>
              </w:rPr>
              <w:t>O</w:t>
            </w:r>
            <w:r>
              <w:rPr>
                <w:lang w:val="de-DE" w:eastAsia="zh-CN"/>
              </w:rPr>
              <w:t>PPO</w:t>
            </w:r>
          </w:p>
        </w:tc>
        <w:tc>
          <w:tcPr>
            <w:tcW w:w="7180"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jc w:val="center"/>
              <w:rPr>
                <w:lang w:val="de-DE" w:eastAsia="zh-CN"/>
              </w:rPr>
            </w:pPr>
            <w:r>
              <w:rPr>
                <w:lang w:val="de-DE" w:eastAsia="zh-CN"/>
              </w:rPr>
              <w:t>D</w:t>
            </w:r>
            <w:r>
              <w:rPr>
                <w:rFonts w:hint="eastAsia"/>
                <w:lang w:val="de-DE" w:eastAsia="zh-CN"/>
              </w:rPr>
              <w:t>uzhongda@oppo</w:t>
            </w:r>
            <w:r>
              <w:rPr>
                <w:lang w:val="de-DE" w:eastAsia="zh-CN"/>
              </w:rPr>
              <w:t>.com</w:t>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8" w:space="0"/>
              <w:bottom w:val="single" w:color="auto" w:sz="4" w:space="0"/>
              <w:right w:val="single" w:color="auto" w:sz="8" w:space="0"/>
            </w:tcBorders>
            <w:tcMar>
              <w:top w:w="0" w:type="dxa"/>
              <w:left w:w="108" w:type="dxa"/>
              <w:bottom w:w="0" w:type="dxa"/>
              <w:right w:w="108" w:type="dxa"/>
            </w:tcMar>
            <w:vAlign w:val="center"/>
          </w:tcPr>
          <w:p>
            <w:pPr>
              <w:jc w:val="center"/>
              <w:rPr>
                <w:lang w:val="de-DE" w:eastAsia="zh-CN"/>
              </w:rPr>
            </w:pPr>
            <w:r>
              <w:rPr>
                <w:rFonts w:hint="eastAsia"/>
                <w:lang w:val="de-DE" w:eastAsia="zh-CN"/>
              </w:rPr>
              <w:t>CATT</w:t>
            </w:r>
          </w:p>
        </w:tc>
        <w:tc>
          <w:tcPr>
            <w:tcW w:w="7180" w:type="dxa"/>
            <w:tcBorders>
              <w:top w:val="single" w:color="auto" w:sz="4" w:space="0"/>
              <w:left w:val="nil"/>
              <w:bottom w:val="single" w:color="auto" w:sz="4" w:space="0"/>
              <w:right w:val="single" w:color="auto" w:sz="8" w:space="0"/>
            </w:tcBorders>
            <w:tcMar>
              <w:top w:w="0" w:type="dxa"/>
              <w:left w:w="108" w:type="dxa"/>
              <w:bottom w:w="0" w:type="dxa"/>
              <w:right w:w="108" w:type="dxa"/>
            </w:tcMar>
          </w:tcPr>
          <w:p>
            <w:pPr>
              <w:jc w:val="center"/>
              <w:rPr>
                <w:lang w:val="de-DE" w:eastAsia="zh-CN"/>
              </w:rPr>
            </w:pPr>
            <w:r>
              <w:fldChar w:fldCharType="begin"/>
            </w:r>
            <w:r>
              <w:instrText xml:space="preserve"> HYPERLINK "mailto:liangjing@catt.cn" </w:instrText>
            </w:r>
            <w:r>
              <w:fldChar w:fldCharType="separate"/>
            </w:r>
            <w:r>
              <w:rPr>
                <w:rStyle w:val="58"/>
                <w:rFonts w:hint="eastAsia"/>
                <w:lang w:val="de-DE" w:eastAsia="zh-CN"/>
              </w:rPr>
              <w:t>liangjing@catt.cn</w:t>
            </w:r>
            <w:r>
              <w:rPr>
                <w:rStyle w:val="58"/>
                <w:rFonts w:hint="eastAsia"/>
                <w:lang w:val="de-DE" w:eastAsia="zh-CN"/>
              </w:rPr>
              <w:fldChar w:fldCharType="end"/>
            </w:r>
          </w:p>
        </w:tc>
      </w:tr>
      <w:tr>
        <w:tblPrEx>
          <w:tblCellMar>
            <w:top w:w="0" w:type="dxa"/>
            <w:left w:w="0" w:type="dxa"/>
            <w:bottom w:w="0" w:type="dxa"/>
            <w:right w:w="0" w:type="dxa"/>
          </w:tblCellMar>
        </w:tblPrEx>
        <w:trPr>
          <w:trHeight w:val="467" w:hRule="atLeast"/>
        </w:trPr>
        <w:tc>
          <w:tcPr>
            <w:tcW w:w="2231" w:type="dxa"/>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hint="default"/>
                <w:lang w:val="en-US" w:eastAsia="zh-CN"/>
              </w:rPr>
            </w:pPr>
            <w:r>
              <w:rPr>
                <w:rFonts w:hint="eastAsia"/>
                <w:lang w:val="en-US" w:eastAsia="zh-CN"/>
              </w:rPr>
              <w:t>ZTE</w:t>
            </w:r>
          </w:p>
        </w:tc>
        <w:tc>
          <w:tcPr>
            <w:tcW w:w="7180" w:type="dxa"/>
            <w:tcBorders>
              <w:top w:val="single" w:color="auto" w:sz="4" w:space="0"/>
              <w:left w:val="nil"/>
              <w:bottom w:val="single" w:color="auto" w:sz="8" w:space="0"/>
              <w:right w:val="single" w:color="auto" w:sz="8" w:space="0"/>
            </w:tcBorders>
            <w:tcMar>
              <w:top w:w="0" w:type="dxa"/>
              <w:left w:w="108" w:type="dxa"/>
              <w:bottom w:w="0" w:type="dxa"/>
              <w:right w:w="108" w:type="dxa"/>
            </w:tcMar>
          </w:tcPr>
          <w:p>
            <w:pPr>
              <w:jc w:val="center"/>
              <w:rPr>
                <w:rFonts w:hint="default" w:eastAsia="宋体"/>
                <w:lang w:val="en-US" w:eastAsia="zh-CN"/>
              </w:rPr>
            </w:pPr>
            <w:r>
              <w:rPr>
                <w:rFonts w:hint="eastAsia"/>
                <w:lang w:val="en-US" w:eastAsia="zh-CN"/>
              </w:rPr>
              <w:t>Dong.fei@zte.com.cn</w:t>
            </w:r>
          </w:p>
        </w:tc>
      </w:tr>
    </w:tbl>
    <w:p>
      <w:pPr>
        <w:pStyle w:val="162"/>
        <w:ind w:left="0" w:firstLine="0"/>
        <w:rPr>
          <w:lang w:val="de-DE"/>
        </w:rPr>
      </w:pPr>
    </w:p>
    <w:p>
      <w:pPr>
        <w:pStyle w:val="2"/>
      </w:pPr>
      <w:r>
        <w:t>2</w:t>
      </w:r>
      <w:r>
        <w:tab/>
      </w:r>
      <w:r>
        <w:t>Discussion</w:t>
      </w:r>
    </w:p>
    <w:p>
      <w:pPr>
        <w:pStyle w:val="3"/>
      </w:pPr>
      <w:r>
        <w:t>2.1</w:t>
      </w:r>
      <w:r>
        <w:tab/>
      </w:r>
      <w:r>
        <w:t>Phase 1: Intended to determine agreeable parts</w:t>
      </w:r>
    </w:p>
    <w:p>
      <w:pPr>
        <w:pStyle w:val="4"/>
      </w:pPr>
      <w:r>
        <w:t>2.1.1</w:t>
      </w:r>
      <w:r>
        <w:tab/>
      </w:r>
      <w:r>
        <w:t xml:space="preserve">CandidateBeamRSList </w:t>
      </w:r>
    </w:p>
    <w:p>
      <w:pPr>
        <w:pStyle w:val="163"/>
      </w:pPr>
      <w:r>
        <w:fldChar w:fldCharType="begin"/>
      </w:r>
      <w:r>
        <w:instrText xml:space="preserve"> HYPERLINK "http://www.3gpp.org/ftp/tsg_ran/WG2_RL2//TSGR2_115-e/Docs//R2-2107285.zip" </w:instrText>
      </w:r>
      <w:r>
        <w:fldChar w:fldCharType="separate"/>
      </w:r>
      <w:r>
        <w:rPr>
          <w:rStyle w:val="58"/>
        </w:rPr>
        <w:t>R2-2107285</w:t>
      </w:r>
      <w:r>
        <w:rPr>
          <w:rStyle w:val="58"/>
        </w:rPr>
        <w:fldChar w:fldCharType="end"/>
      </w:r>
      <w:r>
        <w:tab/>
      </w:r>
      <w:r>
        <w:t>Report of email discussion [Post114-e][071][NR16] CandidateBeamRSList set to release (MediaTek)</w:t>
      </w:r>
      <w:r>
        <w:tab/>
      </w:r>
      <w:r>
        <w:t>MediaTek Inc.</w:t>
      </w:r>
      <w:r>
        <w:tab/>
      </w:r>
      <w:r>
        <w:t>discussion</w:t>
      </w:r>
      <w:r>
        <w:tab/>
      </w:r>
      <w:r>
        <w:t>Rel-16</w:t>
      </w:r>
      <w:r>
        <w:tab/>
      </w:r>
      <w:r>
        <w:t>NR_Emimo-Core</w:t>
      </w:r>
      <w:r>
        <w:tab/>
      </w:r>
      <w:r>
        <w:t>Late</w:t>
      </w:r>
    </w:p>
    <w:p>
      <w:pPr>
        <w:pStyle w:val="163"/>
      </w:pPr>
      <w:r>
        <w:fldChar w:fldCharType="begin"/>
      </w:r>
      <w:r>
        <w:instrText xml:space="preserve"> HYPERLINK "http://www.3gpp.org/ftp/tsg_ran/WG2_RL2//TSGR2_115-e/Docs//R2-2107286.zip" </w:instrText>
      </w:r>
      <w:r>
        <w:fldChar w:fldCharType="separate"/>
      </w:r>
      <w:r>
        <w:rPr>
          <w:rStyle w:val="58"/>
        </w:rPr>
        <w:t>R2-2107286</w:t>
      </w:r>
      <w:r>
        <w:rPr>
          <w:rStyle w:val="58"/>
        </w:rPr>
        <w:fldChar w:fldCharType="end"/>
      </w:r>
      <w:r>
        <w:tab/>
      </w:r>
      <w:r>
        <w:t>Handling of candidateBeamRSListExt-v1610 (option A1)</w:t>
      </w:r>
      <w:r>
        <w:tab/>
      </w:r>
      <w:r>
        <w:t>MediaTek Inc.</w:t>
      </w:r>
      <w:r>
        <w:tab/>
      </w:r>
      <w:r>
        <w:t>draftCR</w:t>
      </w:r>
      <w:r>
        <w:tab/>
      </w:r>
      <w:r>
        <w:t>Rel-16</w:t>
      </w:r>
      <w:r>
        <w:tab/>
      </w:r>
      <w:r>
        <w:t>38.331</w:t>
      </w:r>
      <w:r>
        <w:tab/>
      </w:r>
      <w:r>
        <w:t>16.5.0</w:t>
      </w:r>
      <w:r>
        <w:tab/>
      </w:r>
      <w:r>
        <w:t>F</w:t>
      </w:r>
      <w:r>
        <w:tab/>
      </w:r>
      <w:r>
        <w:t>NR_Emimo-Core</w:t>
      </w:r>
      <w:r>
        <w:tab/>
      </w:r>
      <w:r>
        <w:t>Late</w:t>
      </w:r>
    </w:p>
    <w:p>
      <w:pPr>
        <w:pStyle w:val="163"/>
      </w:pPr>
      <w:r>
        <w:fldChar w:fldCharType="begin"/>
      </w:r>
      <w:r>
        <w:instrText xml:space="preserve"> HYPERLINK "http://www.3gpp.org/ftp/tsg_ran/WG2_RL2//TSGR2_115-e/Docs//R2-2107287.zip" </w:instrText>
      </w:r>
      <w:r>
        <w:fldChar w:fldCharType="separate"/>
      </w:r>
      <w:r>
        <w:rPr>
          <w:rStyle w:val="58"/>
        </w:rPr>
        <w:t>R2-2107287</w:t>
      </w:r>
      <w:r>
        <w:rPr>
          <w:rStyle w:val="58"/>
        </w:rPr>
        <w:fldChar w:fldCharType="end"/>
      </w:r>
      <w:r>
        <w:tab/>
      </w:r>
      <w:r>
        <w:t>Handling of candidateBeamRSListExt-v1610 (option B)</w:t>
      </w:r>
      <w:r>
        <w:tab/>
      </w:r>
      <w:r>
        <w:t>MediaTek Inc.</w:t>
      </w:r>
      <w:r>
        <w:tab/>
      </w:r>
      <w:r>
        <w:t>draftCR</w:t>
      </w:r>
      <w:r>
        <w:tab/>
      </w:r>
      <w:r>
        <w:t>Rel-16</w:t>
      </w:r>
      <w:r>
        <w:tab/>
      </w:r>
      <w:r>
        <w:t>38.331</w:t>
      </w:r>
      <w:r>
        <w:tab/>
      </w:r>
      <w:r>
        <w:t>16.5.0</w:t>
      </w:r>
      <w:r>
        <w:tab/>
      </w:r>
      <w:r>
        <w:t>F</w:t>
      </w:r>
      <w:r>
        <w:tab/>
      </w:r>
      <w:r>
        <w:t>NR_Emimo-Core</w:t>
      </w:r>
      <w:r>
        <w:tab/>
      </w:r>
      <w:r>
        <w:t>Late</w:t>
      </w:r>
    </w:p>
    <w:p>
      <w:pPr>
        <w:pStyle w:val="163"/>
      </w:pPr>
      <w:r>
        <w:fldChar w:fldCharType="begin"/>
      </w:r>
      <w:r>
        <w:instrText xml:space="preserve"> HYPERLINK "http://www.3gpp.org/ftp/tsg_ran/WG2_RL2//TSGR2_115-e/Docs//R2-2107288.zip" </w:instrText>
      </w:r>
      <w:r>
        <w:fldChar w:fldCharType="separate"/>
      </w:r>
      <w:r>
        <w:rPr>
          <w:rStyle w:val="58"/>
        </w:rPr>
        <w:t>R2-2107288</w:t>
      </w:r>
      <w:r>
        <w:rPr>
          <w:rStyle w:val="58"/>
        </w:rPr>
        <w:fldChar w:fldCharType="end"/>
      </w:r>
      <w:r>
        <w:tab/>
      </w:r>
      <w:r>
        <w:t>Handling of candidateBeamRSListExt-v1610 (option C)</w:t>
      </w:r>
      <w:r>
        <w:tab/>
      </w:r>
      <w:r>
        <w:t>MediaTek Inc.</w:t>
      </w:r>
      <w:r>
        <w:tab/>
      </w:r>
      <w:r>
        <w:t>draftCR</w:t>
      </w:r>
      <w:r>
        <w:tab/>
      </w:r>
      <w:r>
        <w:t>Rel-16</w:t>
      </w:r>
      <w:r>
        <w:tab/>
      </w:r>
      <w:r>
        <w:t>38.331</w:t>
      </w:r>
      <w:r>
        <w:tab/>
      </w:r>
      <w:r>
        <w:t>16.5.0</w:t>
      </w:r>
      <w:r>
        <w:tab/>
      </w:r>
      <w:r>
        <w:t>F</w:t>
      </w:r>
      <w:r>
        <w:tab/>
      </w:r>
      <w:r>
        <w:t>NR_Emimo-Core</w:t>
      </w:r>
      <w:r>
        <w:tab/>
      </w:r>
      <w:r>
        <w:t>Late</w:t>
      </w:r>
    </w:p>
    <w:p>
      <w:pPr>
        <w:pStyle w:val="113"/>
        <w:rPr>
          <w:lang w:val="en-GB" w:eastAsia="en-GB"/>
        </w:rPr>
      </w:pPr>
    </w:p>
    <w:p>
      <w:pPr>
        <w:rPr>
          <w:lang w:eastAsia="en-GB"/>
        </w:rPr>
      </w:pPr>
      <w:r>
        <w:rPr>
          <w:lang w:eastAsia="en-GB"/>
        </w:rPr>
        <w:t>This topic was discussed at Monday online session. The following conclusions were captured in the chair’s notes:</w:t>
      </w:r>
    </w:p>
    <w:p>
      <w:pPr>
        <w:pStyle w:val="148"/>
        <w:tabs>
          <w:tab w:val="left" w:pos="1619"/>
          <w:tab w:val="clear" w:pos="2333"/>
        </w:tabs>
        <w:ind w:left="1619"/>
      </w:pPr>
      <w:r>
        <w:t>We go for option A1 (for this and future rel)</w:t>
      </w:r>
    </w:p>
    <w:p>
      <w:pPr>
        <w:pStyle w:val="113"/>
      </w:pPr>
    </w:p>
    <w:p>
      <w:pPr>
        <w:pStyle w:val="113"/>
      </w:pPr>
      <w:r>
        <w:t>-</w:t>
      </w:r>
      <w:r>
        <w:tab/>
      </w:r>
      <w:r>
        <w:t xml:space="preserve">MTK wonder if this is now the principle for the future (for other fields). Samsung think it is only for this case and current principle in RRC can be kept. Ericsson think we just discuss case by case, right now we don’ t need to discuss the future. Chair: seems that the interest to change/discuss principle is limited. Can disucss at later time, if found to be a general issue. </w:t>
      </w:r>
    </w:p>
    <w:p>
      <w:pPr>
        <w:pStyle w:val="113"/>
      </w:pPr>
    </w:p>
    <w:p>
      <w:pPr>
        <w:pStyle w:val="148"/>
        <w:tabs>
          <w:tab w:val="left" w:pos="1619"/>
          <w:tab w:val="clear" w:pos="2333"/>
        </w:tabs>
        <w:ind w:left="1619"/>
      </w:pPr>
      <w:r>
        <w:t>CRs by email</w:t>
      </w:r>
    </w:p>
    <w:p>
      <w:pPr>
        <w:rPr>
          <w:lang w:eastAsia="en-GB"/>
        </w:rPr>
      </w:pPr>
    </w:p>
    <w:p>
      <w:pPr>
        <w:rPr>
          <w:b/>
          <w:bCs/>
          <w:lang w:eastAsia="en-GB"/>
        </w:rPr>
      </w:pPr>
      <w:r>
        <w:rPr>
          <w:b/>
          <w:bCs/>
          <w:lang w:eastAsia="en-GB"/>
        </w:rPr>
        <w:t xml:space="preserve">Q1. Companies are asked to provide their comments on the draft CR in </w:t>
      </w:r>
      <w:r>
        <w:fldChar w:fldCharType="begin"/>
      </w:r>
      <w:r>
        <w:instrText xml:space="preserve"> HYPERLINK "http://www.3gpp.org/ftp/tsg_ran/WG2_RL2//TSGR2_115-e/Docs//R2-2107285.zip" </w:instrText>
      </w:r>
      <w:r>
        <w:fldChar w:fldCharType="separate"/>
      </w:r>
      <w:r>
        <w:rPr>
          <w:rStyle w:val="58"/>
        </w:rPr>
        <w:t>R2-2107285</w:t>
      </w:r>
      <w:r>
        <w:rPr>
          <w:rStyle w:val="58"/>
        </w:rPr>
        <w:fldChar w:fldCharType="end"/>
      </w:r>
      <w:r>
        <w:t xml:space="preserve"> (option A1).</w:t>
      </w: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8020"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8020" w:type="dxa"/>
          </w:tcPr>
          <w:p>
            <w:pPr>
              <w:spacing w:after="0"/>
              <w:jc w:val="both"/>
              <w:rPr>
                <w:rFonts w:eastAsia="Calibri"/>
                <w:sz w:val="22"/>
                <w:szCs w:val="22"/>
                <w:lang w:val="de-DE"/>
              </w:rPr>
            </w:pPr>
            <w:r>
              <w:rPr>
                <w:rFonts w:eastAsia="Calibri"/>
                <w:sz w:val="22"/>
                <w:szCs w:val="22"/>
                <w:lang w:val="de-DE"/>
              </w:rPr>
              <w:t>The unchanged sections in annex A can be deleted (they were provided in case we wanted to make modifications to capture the general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Nokia, Nokia Shanghai Bell</w:t>
            </w:r>
          </w:p>
        </w:tc>
        <w:tc>
          <w:tcPr>
            <w:tcW w:w="8020" w:type="dxa"/>
          </w:tcPr>
          <w:p>
            <w:pPr>
              <w:spacing w:after="0"/>
              <w:jc w:val="both"/>
              <w:rPr>
                <w:rFonts w:eastAsia="Calibri"/>
                <w:sz w:val="22"/>
                <w:szCs w:val="22"/>
                <w:lang w:val="de-DE"/>
              </w:rPr>
            </w:pPr>
            <w:r>
              <w:rPr>
                <w:rFonts w:eastAsia="Calibri"/>
                <w:sz w:val="22"/>
                <w:szCs w:val="22"/>
                <w:lang w:val="de-DE"/>
              </w:rPr>
              <w:t>Agree with MediaTek on removal of annex A. Additionally, we have some general wording proposals for the text:</w:t>
            </w:r>
          </w:p>
          <w:p>
            <w:pPr>
              <w:pStyle w:val="133"/>
              <w:numPr>
                <w:ilvl w:val="0"/>
                <w:numId w:val="15"/>
              </w:numPr>
              <w:jc w:val="both"/>
              <w:rPr>
                <w:lang w:val="de-DE"/>
              </w:rPr>
            </w:pPr>
            <w:r>
              <w:rPr>
                <w:lang w:val="de-DE"/>
              </w:rPr>
              <w:t>„maintains awareness“ is correct but seems a bit circumspect: We would propose to use just „remembers“ for simplicity.</w:t>
            </w:r>
          </w:p>
          <w:p>
            <w:pPr>
              <w:pStyle w:val="133"/>
              <w:numPr>
                <w:ilvl w:val="0"/>
                <w:numId w:val="15"/>
              </w:numPr>
              <w:jc w:val="both"/>
              <w:rPr>
                <w:lang w:val="de-DE"/>
              </w:rPr>
            </w:pPr>
            <w:r>
              <w:rPr>
                <w:lang w:val="de-DE"/>
              </w:rPr>
              <w:t>Some „only“ could be used added to the text to ensure it‘s clear the extension does not apply to the legacy list entries.</w:t>
            </w:r>
          </w:p>
          <w:p>
            <w:pPr>
              <w:jc w:val="both"/>
              <w:rPr>
                <w:rFonts w:eastAsia="Calibri"/>
                <w:sz w:val="22"/>
                <w:szCs w:val="22"/>
                <w:lang w:val="de-DE"/>
              </w:rPr>
            </w:pPr>
            <w:r>
              <w:rPr>
                <w:rFonts w:eastAsia="Calibri"/>
                <w:sz w:val="22"/>
                <w:szCs w:val="22"/>
                <w:lang w:val="de-DE"/>
              </w:rPr>
              <w:t>This is what we would propose for the added text (highlighted parts are different from the original CR):</w:t>
            </w:r>
          </w:p>
          <w:p>
            <w:pPr>
              <w:jc w:val="both"/>
              <w:rPr>
                <w:rFonts w:eastAsia="Calibri"/>
                <w:sz w:val="18"/>
                <w:szCs w:val="18"/>
                <w:lang w:val="de-DE" w:eastAsia="sv-SE"/>
              </w:rPr>
            </w:pPr>
            <w:r>
              <w:rPr>
                <w:rFonts w:eastAsia="Calibri"/>
                <w:sz w:val="18"/>
                <w:szCs w:val="18"/>
                <w:lang w:val="de-DE" w:eastAsia="sv-SE"/>
              </w:rPr>
              <w:t xml:space="preserve">The UE </w:t>
            </w:r>
            <w:r>
              <w:rPr>
                <w:rFonts w:eastAsia="Calibri"/>
                <w:sz w:val="18"/>
                <w:szCs w:val="18"/>
                <w:highlight w:val="yellow"/>
                <w:lang w:val="de-DE" w:eastAsia="sv-SE"/>
              </w:rPr>
              <w:t>remembers</w:t>
            </w:r>
            <w:r>
              <w:rPr>
                <w:rFonts w:eastAsia="Calibri"/>
                <w:sz w:val="18"/>
                <w:szCs w:val="18"/>
                <w:lang w:val="de-DE" w:eastAsia="sv-SE"/>
              </w:rPr>
              <w:t xml:space="preserve"> which elements were configured by </w:t>
            </w:r>
            <w:r>
              <w:rPr>
                <w:rFonts w:eastAsia="Calibri"/>
                <w:i/>
                <w:sz w:val="18"/>
                <w:szCs w:val="18"/>
                <w:lang w:val="de-DE" w:eastAsia="sv-SE"/>
              </w:rPr>
              <w:t>candidateBeamRSListExt-v1610</w:t>
            </w:r>
            <w:r>
              <w:rPr>
                <w:rFonts w:eastAsia="Calibri"/>
                <w:sz w:val="18"/>
                <w:szCs w:val="18"/>
                <w:lang w:val="de-DE" w:eastAsia="sv-SE"/>
              </w:rPr>
              <w:t xml:space="preserve">, and the subsequently received contents of </w:t>
            </w:r>
            <w:r>
              <w:rPr>
                <w:rFonts w:eastAsia="Calibri"/>
                <w:i/>
                <w:sz w:val="18"/>
                <w:szCs w:val="18"/>
                <w:lang w:val="de-DE" w:eastAsia="sv-SE"/>
              </w:rPr>
              <w:t>candidateBeamRSListExt-v1610</w:t>
            </w:r>
            <w:r>
              <w:rPr>
                <w:rFonts w:eastAsia="Calibri"/>
                <w:sz w:val="18"/>
                <w:szCs w:val="18"/>
                <w:lang w:val="de-DE" w:eastAsia="sv-SE"/>
              </w:rPr>
              <w:t xml:space="preserve"> apply </w:t>
            </w:r>
            <w:r>
              <w:rPr>
                <w:rFonts w:eastAsia="Calibri"/>
                <w:sz w:val="18"/>
                <w:szCs w:val="18"/>
                <w:highlight w:val="yellow"/>
                <w:lang w:val="de-DE" w:eastAsia="sv-SE"/>
              </w:rPr>
              <w:t>only</w:t>
            </w:r>
            <w:r>
              <w:rPr>
                <w:rFonts w:eastAsia="Calibri"/>
                <w:sz w:val="18"/>
                <w:szCs w:val="18"/>
                <w:lang w:val="de-DE" w:eastAsia="sv-SE"/>
              </w:rPr>
              <w:t xml:space="preserve"> to these entries (i.e., receiving </w:t>
            </w:r>
            <w:r>
              <w:rPr>
                <w:rFonts w:eastAsia="Calibri"/>
                <w:i/>
                <w:sz w:val="18"/>
                <w:szCs w:val="18"/>
                <w:lang w:val="de-DE" w:eastAsia="sv-SE"/>
              </w:rPr>
              <w:t>candidateBeamRSListExt-v1610</w:t>
            </w:r>
            <w:r>
              <w:rPr>
                <w:rFonts w:eastAsia="Calibri"/>
                <w:sz w:val="18"/>
                <w:szCs w:val="18"/>
                <w:lang w:val="de-DE" w:eastAsia="sv-SE"/>
              </w:rPr>
              <w:t xml:space="preserve"> set to </w:t>
            </w:r>
            <w:r>
              <w:rPr>
                <w:rFonts w:eastAsia="Calibri"/>
                <w:i/>
                <w:sz w:val="18"/>
                <w:szCs w:val="18"/>
                <w:lang w:val="de-DE" w:eastAsia="sv-SE"/>
              </w:rPr>
              <w:t>release</w:t>
            </w:r>
            <w:r>
              <w:rPr>
                <w:rFonts w:eastAsia="Calibri"/>
                <w:sz w:val="18"/>
                <w:szCs w:val="18"/>
                <w:lang w:val="de-DE" w:eastAsia="sv-SE"/>
              </w:rPr>
              <w:t xml:space="preserve"> releases </w:t>
            </w:r>
            <w:r>
              <w:rPr>
                <w:rFonts w:eastAsia="Calibri"/>
                <w:sz w:val="18"/>
                <w:szCs w:val="18"/>
                <w:highlight w:val="yellow"/>
                <w:lang w:val="de-DE" w:eastAsia="sv-SE"/>
              </w:rPr>
              <w:t>only</w:t>
            </w:r>
            <w:r>
              <w:rPr>
                <w:rFonts w:eastAsia="Calibri"/>
                <w:sz w:val="18"/>
                <w:szCs w:val="18"/>
                <w:lang w:val="de-DE" w:eastAsia="sv-SE"/>
              </w:rPr>
              <w:t xml:space="preserve"> the entries that were configured by </w:t>
            </w:r>
            <w:r>
              <w:rPr>
                <w:rFonts w:eastAsia="Calibri"/>
                <w:i/>
                <w:sz w:val="18"/>
                <w:szCs w:val="18"/>
                <w:lang w:val="de-DE" w:eastAsia="sv-SE"/>
              </w:rPr>
              <w:t>candidateBeamRSListExt-v1610</w:t>
            </w:r>
            <w:r>
              <w:rPr>
                <w:rFonts w:eastAsia="Calibri"/>
                <w:sz w:val="18"/>
                <w:szCs w:val="18"/>
                <w:lang w:val="de-DE" w:eastAsia="sv-SE"/>
              </w:rPr>
              <w:t xml:space="preserve">, and receiving </w:t>
            </w:r>
            <w:r>
              <w:rPr>
                <w:rFonts w:eastAsia="Calibri"/>
                <w:i/>
                <w:sz w:val="18"/>
                <w:szCs w:val="18"/>
                <w:lang w:val="de-DE" w:eastAsia="sv-SE"/>
              </w:rPr>
              <w:t>candidateBeamRSListExt-v1610</w:t>
            </w:r>
            <w:r>
              <w:rPr>
                <w:rFonts w:eastAsia="Calibri"/>
                <w:sz w:val="18"/>
                <w:szCs w:val="18"/>
                <w:lang w:val="de-DE" w:eastAsia="sv-SE"/>
              </w:rPr>
              <w:t xml:space="preserve"> set to </w:t>
            </w:r>
            <w:r>
              <w:rPr>
                <w:rFonts w:eastAsia="Calibri"/>
                <w:i/>
                <w:sz w:val="18"/>
                <w:szCs w:val="18"/>
                <w:lang w:val="de-DE" w:eastAsia="sv-SE"/>
              </w:rPr>
              <w:t>setup</w:t>
            </w:r>
            <w:r>
              <w:rPr>
                <w:rFonts w:eastAsia="Calibri"/>
                <w:sz w:val="18"/>
                <w:szCs w:val="18"/>
                <w:lang w:val="de-DE" w:eastAsia="sv-SE"/>
              </w:rPr>
              <w:t xml:space="preserve"> replaces </w:t>
            </w:r>
            <w:r>
              <w:rPr>
                <w:rFonts w:eastAsia="Calibri"/>
                <w:sz w:val="18"/>
                <w:szCs w:val="18"/>
                <w:highlight w:val="yellow"/>
                <w:lang w:val="de-DE" w:eastAsia="sv-SE"/>
              </w:rPr>
              <w:t>only</w:t>
            </w:r>
            <w:r>
              <w:rPr>
                <w:rFonts w:eastAsia="Calibri"/>
                <w:sz w:val="18"/>
                <w:szCs w:val="18"/>
                <w:lang w:val="de-DE" w:eastAsia="sv-SE"/>
              </w:rPr>
              <w:t xml:space="preserve"> the entries that were configured by </w:t>
            </w:r>
            <w:r>
              <w:rPr>
                <w:rFonts w:eastAsia="Calibri"/>
                <w:i/>
                <w:sz w:val="18"/>
                <w:szCs w:val="18"/>
                <w:lang w:val="de-DE" w:eastAsia="sv-SE"/>
              </w:rPr>
              <w:t>candidateBeamRSListExt-v1610</w:t>
            </w:r>
            <w:r>
              <w:rPr>
                <w:rFonts w:eastAsia="Calibri"/>
                <w:sz w:val="18"/>
                <w:szCs w:val="18"/>
                <w:lang w:val="de-DE" w:eastAsia="sv-SE"/>
              </w:rPr>
              <w:t xml:space="preserve"> with the newly signalled entries).</w:t>
            </w:r>
          </w:p>
          <w:p>
            <w:pPr>
              <w:jc w:val="both"/>
              <w:rPr>
                <w:rFonts w:eastAsia="Calibri"/>
                <w:sz w:val="22"/>
                <w:szCs w:val="22"/>
                <w:lang w:val="de-DE" w:eastAsia="sv-SE"/>
              </w:rPr>
            </w:pPr>
            <w:r>
              <w:rPr>
                <w:rFonts w:eastAsia="Calibri"/>
                <w:sz w:val="22"/>
                <w:szCs w:val="22"/>
                <w:lang w:val="de-DE" w:eastAsia="sv-SE"/>
              </w:rPr>
              <w:t>For cover page, some suggestions:</w:t>
            </w:r>
          </w:p>
          <w:p>
            <w:pPr>
              <w:pStyle w:val="133"/>
              <w:numPr>
                <w:ilvl w:val="0"/>
                <w:numId w:val="15"/>
              </w:numPr>
              <w:jc w:val="both"/>
              <w:rPr>
                <w:lang w:val="de-DE"/>
              </w:rPr>
            </w:pPr>
            <w:r>
              <w:rPr>
                <w:lang w:val="de-DE"/>
              </w:rPr>
              <w:t>Reason for change: Use „only“ instead of „all“ in the last sentence, i.e. as per below „</w:t>
            </w:r>
            <w:r>
              <w:rPr>
                <w:sz w:val="20"/>
              </w:rPr>
              <w:t xml:space="preserve"> If </w:t>
            </w:r>
            <w:r>
              <w:rPr>
                <w:i/>
                <w:sz w:val="20"/>
              </w:rPr>
              <w:t>candidateBeamRSListExt-v1610</w:t>
            </w:r>
            <w:r>
              <w:rPr>
                <w:sz w:val="20"/>
              </w:rPr>
              <w:t xml:space="preserve"> is set to </w:t>
            </w:r>
            <w:r>
              <w:rPr>
                <w:i/>
                <w:sz w:val="20"/>
              </w:rPr>
              <w:t>release</w:t>
            </w:r>
            <w:r>
              <w:rPr>
                <w:sz w:val="20"/>
              </w:rPr>
              <w:t xml:space="preserve">, it is ambiguous whether the UE should release all entries &gt;16 in the combined list or </w:t>
            </w:r>
            <w:r>
              <w:rPr>
                <w:sz w:val="20"/>
                <w:highlight w:val="yellow"/>
              </w:rPr>
              <w:t>only</w:t>
            </w:r>
            <w:r>
              <w:rPr>
                <w:sz w:val="20"/>
              </w:rPr>
              <w:t xml:space="preserve"> entries that were originally configured by </w:t>
            </w:r>
            <w:r>
              <w:rPr>
                <w:i/>
                <w:sz w:val="20"/>
              </w:rPr>
              <w:t>candidateBeamRSListExt-v1610</w:t>
            </w:r>
            <w:r>
              <w:rPr>
                <w:sz w:val="20"/>
              </w:rPr>
              <w:t>.</w:t>
            </w:r>
            <w:r>
              <w:rPr>
                <w:lang w:val="de-DE"/>
              </w:rPr>
              <w:t>“</w:t>
            </w:r>
          </w:p>
          <w:p>
            <w:pPr>
              <w:pStyle w:val="133"/>
              <w:numPr>
                <w:ilvl w:val="0"/>
                <w:numId w:val="15"/>
              </w:numPr>
              <w:jc w:val="both"/>
              <w:rPr>
                <w:lang w:val="de-DE"/>
              </w:rPr>
            </w:pPr>
            <w:r>
              <w:rPr>
                <w:lang w:val="de-DE"/>
              </w:rPr>
              <w:t>Summary of change: If we use „remembers“ in the field text, then maybe usiong „remembers“ is also appropriate here: „</w:t>
            </w:r>
            <w:r>
              <w:rPr>
                <w:sz w:val="20"/>
              </w:rPr>
              <w:t xml:space="preserve"> It is clarified in the field description that the UE </w:t>
            </w:r>
            <w:r>
              <w:rPr>
                <w:sz w:val="20"/>
                <w:highlight w:val="yellow"/>
                <w:lang w:val="en-GB"/>
              </w:rPr>
              <w:t>remembers</w:t>
            </w:r>
            <w:r>
              <w:rPr>
                <w:sz w:val="20"/>
              </w:rPr>
              <w:t xml:space="preserve"> of which list entries were configured by which field. </w:t>
            </w:r>
            <w:r>
              <w:rPr>
                <w:lang w:val="de-DE"/>
              </w:rPr>
              <w:t>„. Similarly, „all“ may not be appropriate and „only“ could be easier to understand (same as above comment for the field description), i.e. „</w:t>
            </w:r>
            <w:r>
              <w:rPr>
                <w:sz w:val="20"/>
              </w:rPr>
              <w:t xml:space="preserve"> When </w:t>
            </w:r>
            <w:r>
              <w:rPr>
                <w:i/>
                <w:sz w:val="20"/>
              </w:rPr>
              <w:t>candidateBeamRSListExt-v1610</w:t>
            </w:r>
            <w:r>
              <w:rPr>
                <w:sz w:val="20"/>
              </w:rPr>
              <w:t xml:space="preserve"> is set to </w:t>
            </w:r>
            <w:r>
              <w:rPr>
                <w:i/>
                <w:sz w:val="20"/>
              </w:rPr>
              <w:t>release</w:t>
            </w:r>
            <w:r>
              <w:rPr>
                <w:sz w:val="20"/>
              </w:rPr>
              <w:t xml:space="preserve">, the UE releases </w:t>
            </w:r>
            <w:r>
              <w:rPr>
                <w:sz w:val="20"/>
                <w:highlight w:val="yellow"/>
                <w:lang w:val="en-GB"/>
              </w:rPr>
              <w:t>only</w:t>
            </w:r>
            <w:r>
              <w:rPr>
                <w:sz w:val="20"/>
              </w:rPr>
              <w:t xml:space="preserve"> entries that were originally configured by </w:t>
            </w:r>
            <w:r>
              <w:rPr>
                <w:i/>
                <w:sz w:val="20"/>
              </w:rPr>
              <w:t>candidateBeamRSListExt-v1610</w:t>
            </w:r>
            <w:r>
              <w:rPr>
                <w:sz w:val="20"/>
              </w:rPr>
              <w:t xml:space="preserve">, irrespective of their current position in the stored list; when </w:t>
            </w:r>
            <w:r>
              <w:rPr>
                <w:i/>
                <w:sz w:val="20"/>
              </w:rPr>
              <w:t>candidateBeamRSListExt-v1610</w:t>
            </w:r>
            <w:r>
              <w:rPr>
                <w:sz w:val="20"/>
              </w:rPr>
              <w:t xml:space="preserve"> is set to </w:t>
            </w:r>
            <w:r>
              <w:rPr>
                <w:i/>
                <w:sz w:val="20"/>
              </w:rPr>
              <w:t>setup</w:t>
            </w:r>
            <w:r>
              <w:rPr>
                <w:sz w:val="20"/>
              </w:rPr>
              <w:t xml:space="preserve">, the UE replaces </w:t>
            </w:r>
            <w:r>
              <w:rPr>
                <w:sz w:val="20"/>
                <w:highlight w:val="yellow"/>
                <w:lang w:val="en-GB"/>
              </w:rPr>
              <w:t>only</w:t>
            </w:r>
            <w:r>
              <w:rPr>
                <w:sz w:val="20"/>
              </w:rPr>
              <w:t xml:space="preserve"> entries that were originally configured by </w:t>
            </w:r>
            <w:r>
              <w:rPr>
                <w:i/>
                <w:sz w:val="20"/>
              </w:rPr>
              <w:t>candidateBeamRSListExt-v1610</w:t>
            </w:r>
            <w:r>
              <w:rPr>
                <w:sz w:val="20"/>
              </w:rPr>
              <w:t xml:space="preserve"> with the newly signalled entries.</w:t>
            </w:r>
            <w:r>
              <w:rPr>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8020" w:type="dxa"/>
          </w:tcPr>
          <w:p>
            <w:pPr>
              <w:spacing w:after="0"/>
              <w:jc w:val="both"/>
              <w:rPr>
                <w:rFonts w:eastAsia="Calibri"/>
                <w:sz w:val="22"/>
                <w:szCs w:val="22"/>
                <w:lang w:val="de-DE"/>
              </w:rPr>
            </w:pPr>
            <w:r>
              <w:rPr>
                <w:rFonts w:eastAsia="Calibri"/>
                <w:sz w:val="22"/>
                <w:szCs w:val="22"/>
                <w:lang w:val="de-DE"/>
              </w:rPr>
              <w:t>We thought shorter text could be used, without losing in clarity. E.g.</w:t>
            </w:r>
          </w:p>
          <w:p>
            <w:pPr>
              <w:spacing w:after="0"/>
              <w:jc w:val="both"/>
              <w:rPr>
                <w:rFonts w:eastAsia="Calibri"/>
                <w:sz w:val="22"/>
                <w:szCs w:val="22"/>
                <w:lang w:val="de-DE"/>
              </w:rPr>
            </w:pPr>
          </w:p>
          <w:p>
            <w:pPr>
              <w:spacing w:after="0"/>
              <w:jc w:val="both"/>
              <w:rPr>
                <w:rFonts w:eastAsia="Calibri"/>
                <w:sz w:val="22"/>
                <w:szCs w:val="22"/>
                <w:lang w:val="de-DE" w:eastAsia="sv-SE"/>
              </w:rPr>
            </w:pPr>
            <w:del w:id="0" w:author="Ericsson" w:date="2021-08-19T00:53:00Z">
              <w:r>
                <w:rPr>
                  <w:rFonts w:eastAsia="Calibri"/>
                  <w:sz w:val="22"/>
                  <w:szCs w:val="22"/>
                  <w:lang w:val="de-DE"/>
                </w:rPr>
                <w:delText>The</w:delText>
              </w:r>
            </w:del>
            <w:del w:id="1" w:author="Ericsson" w:date="2021-08-19T00:53:00Z">
              <w:r>
                <w:rPr>
                  <w:rFonts w:eastAsia="Calibri"/>
                  <w:sz w:val="22"/>
                  <w:szCs w:val="22"/>
                  <w:lang w:val="de-DE" w:eastAsia="sv-SE"/>
                </w:rPr>
                <w:delText xml:space="preserve"> s</w:delText>
              </w:r>
            </w:del>
            <w:ins w:id="2" w:author="Ericsson" w:date="2021-08-19T00:53:00Z">
              <w:r>
                <w:rPr>
                  <w:rFonts w:eastAsia="Calibri"/>
                  <w:sz w:val="22"/>
                  <w:szCs w:val="22"/>
                  <w:lang w:val="de-DE" w:eastAsia="sv-SE"/>
                </w:rPr>
                <w:t>S</w:t>
              </w:r>
            </w:ins>
            <w:r>
              <w:rPr>
                <w:rFonts w:eastAsia="Calibri"/>
                <w:sz w:val="22"/>
                <w:szCs w:val="22"/>
                <w:lang w:val="de-DE" w:eastAsia="sv-SE"/>
              </w:rPr>
              <w:t xml:space="preserve">et of reference signals (CSI-RS and/or SSB) identifying the candidate beams for recovery and the associated RA parameters. </w:t>
            </w:r>
            <w:del w:id="3" w:author="Ericsson" w:date="2021-08-19T00:54:00Z">
              <w:r>
                <w:rPr>
                  <w:rFonts w:eastAsia="Calibri"/>
                  <w:sz w:val="22"/>
                  <w:szCs w:val="22"/>
                  <w:lang w:val="de-DE"/>
                </w:rPr>
                <w:delText>The UE shall consider t</w:delText>
              </w:r>
            </w:del>
            <w:ins w:id="4" w:author="Ericsson" w:date="2021-08-19T00:54:00Z">
              <w:r>
                <w:rPr>
                  <w:rFonts w:eastAsia="Calibri"/>
                  <w:sz w:val="22"/>
                  <w:szCs w:val="22"/>
                  <w:lang w:val="de-DE"/>
                </w:rPr>
                <w:t>T</w:t>
              </w:r>
            </w:ins>
            <w:r>
              <w:rPr>
                <w:rFonts w:eastAsia="Calibri"/>
                <w:sz w:val="22"/>
                <w:szCs w:val="22"/>
                <w:lang w:val="de-DE"/>
              </w:rPr>
              <w:t xml:space="preserve">his </w:t>
            </w:r>
            <w:ins w:id="5" w:author="Ericsson" w:date="2021-08-19T00:54:00Z">
              <w:r>
                <w:rPr>
                  <w:rFonts w:eastAsia="Calibri"/>
                  <w:sz w:val="22"/>
                  <w:szCs w:val="22"/>
                  <w:lang w:val="de-DE"/>
                </w:rPr>
                <w:t>set</w:t>
              </w:r>
            </w:ins>
            <w:del w:id="6" w:author="Ericsson" w:date="2021-08-19T00:54:00Z">
              <w:r>
                <w:rPr>
                  <w:rFonts w:eastAsia="Calibri"/>
                  <w:sz w:val="22"/>
                  <w:szCs w:val="22"/>
                  <w:lang w:val="de-DE"/>
                </w:rPr>
                <w:delText>list to</w:delText>
              </w:r>
            </w:del>
            <w:r>
              <w:rPr>
                <w:rFonts w:eastAsia="Calibri"/>
                <w:sz w:val="22"/>
                <w:szCs w:val="22"/>
                <w:lang w:val="de-DE"/>
              </w:rPr>
              <w:t xml:space="preserve"> include</w:t>
            </w:r>
            <w:ins w:id="7" w:author="Ericsson" w:date="2021-08-19T00:54:00Z">
              <w:r>
                <w:rPr>
                  <w:rFonts w:eastAsia="Calibri"/>
                  <w:sz w:val="22"/>
                  <w:szCs w:val="22"/>
                  <w:lang w:val="de-DE"/>
                </w:rPr>
                <w:t>s</w:t>
              </w:r>
            </w:ins>
            <w:r>
              <w:rPr>
                <w:rFonts w:eastAsia="Calibri"/>
                <w:sz w:val="22"/>
                <w:szCs w:val="22"/>
                <w:lang w:val="de-DE"/>
              </w:rPr>
              <w:t xml:space="preserve"> all elements of </w:t>
            </w:r>
            <w:r>
              <w:rPr>
                <w:rFonts w:eastAsia="Calibri"/>
                <w:i/>
                <w:iCs/>
                <w:sz w:val="22"/>
                <w:szCs w:val="22"/>
                <w:lang w:val="de-DE"/>
              </w:rPr>
              <w:t>candidateBeamRSList</w:t>
            </w:r>
            <w:r>
              <w:rPr>
                <w:rFonts w:eastAsia="Calibri"/>
                <w:sz w:val="22"/>
                <w:szCs w:val="22"/>
                <w:lang w:val="de-DE"/>
              </w:rPr>
              <w:t xml:space="preserve"> (without suffix) and all elements of </w:t>
            </w:r>
            <w:r>
              <w:rPr>
                <w:rFonts w:eastAsia="Calibri"/>
                <w:i/>
                <w:iCs/>
                <w:sz w:val="22"/>
                <w:szCs w:val="22"/>
                <w:lang w:val="de-DE"/>
              </w:rPr>
              <w:t>candidateBeamRSListExt-v1610</w:t>
            </w:r>
            <w:r>
              <w:rPr>
                <w:rFonts w:eastAsia="Calibri"/>
                <w:sz w:val="22"/>
                <w:szCs w:val="22"/>
                <w:lang w:val="de-DE"/>
              </w:rPr>
              <w:t>.</w:t>
            </w:r>
            <w:r>
              <w:rPr>
                <w:rFonts w:eastAsia="Calibri"/>
                <w:sz w:val="22"/>
                <w:szCs w:val="22"/>
                <w:lang w:val="de-DE" w:eastAsia="sv-SE"/>
              </w:rPr>
              <w:t xml:space="preserve"> </w:t>
            </w:r>
            <w:ins w:id="8" w:author="Ericsson" w:date="2021-08-19T01:02:00Z">
              <w:r>
                <w:rPr>
                  <w:rFonts w:eastAsia="Calibri"/>
                  <w:sz w:val="22"/>
                  <w:szCs w:val="22"/>
                  <w:lang w:val="de-DE" w:eastAsia="sv-SE"/>
                </w:rPr>
                <w:t>Entries in</w:t>
              </w:r>
            </w:ins>
            <w:ins w:id="9" w:author="Ericsson" w:date="2021-08-19T01:03:00Z">
              <w:r>
                <w:rPr>
                  <w:rFonts w:eastAsia="Calibri"/>
                  <w:sz w:val="22"/>
                  <w:szCs w:val="22"/>
                  <w:lang w:val="de-DE" w:eastAsia="sv-SE"/>
                </w:rPr>
                <w:t xml:space="preserve"> </w:t>
              </w:r>
            </w:ins>
            <w:ins w:id="10" w:author="Ericsson" w:date="2021-08-19T01:03:00Z">
              <w:r>
                <w:rPr>
                  <w:rFonts w:eastAsia="Calibri"/>
                  <w:i/>
                  <w:sz w:val="22"/>
                  <w:szCs w:val="22"/>
                  <w:lang w:val="de-DE" w:eastAsia="sv-SE"/>
                </w:rPr>
                <w:t>candidateBeamRSListExt-v1610</w:t>
              </w:r>
            </w:ins>
            <w:ins w:id="11" w:author="Ericsson" w:date="2021-08-19T01:03:00Z">
              <w:r>
                <w:rPr>
                  <w:rFonts w:eastAsia="Calibri"/>
                  <w:sz w:val="22"/>
                  <w:szCs w:val="22"/>
                  <w:lang w:val="de-DE" w:eastAsia="sv-SE"/>
                </w:rPr>
                <w:t xml:space="preserve"> set to </w:t>
              </w:r>
            </w:ins>
            <w:ins w:id="12" w:author="Ericsson" w:date="2021-08-19T01:03:00Z">
              <w:r>
                <w:rPr>
                  <w:rFonts w:eastAsia="Calibri"/>
                  <w:i/>
                  <w:sz w:val="22"/>
                  <w:szCs w:val="22"/>
                  <w:lang w:val="de-DE" w:eastAsia="sv-SE"/>
                </w:rPr>
                <w:t>setup</w:t>
              </w:r>
            </w:ins>
            <w:ins w:id="13" w:author="Ericsson" w:date="2021-08-19T01:03:00Z">
              <w:r>
                <w:rPr>
                  <w:rFonts w:eastAsia="Calibri"/>
                  <w:sz w:val="22"/>
                  <w:szCs w:val="22"/>
                  <w:lang w:val="de-DE" w:eastAsia="sv-SE"/>
                </w:rPr>
                <w:t xml:space="preserve"> replaces all entries that were configured by </w:t>
              </w:r>
            </w:ins>
            <w:ins w:id="14" w:author="Ericsson" w:date="2021-08-19T01:03:00Z">
              <w:r>
                <w:rPr>
                  <w:rFonts w:eastAsia="Calibri"/>
                  <w:i/>
                  <w:sz w:val="22"/>
                  <w:szCs w:val="22"/>
                  <w:lang w:val="de-DE" w:eastAsia="sv-SE"/>
                </w:rPr>
                <w:t>candidateBeamRSListExt-v1610</w:t>
              </w:r>
            </w:ins>
            <w:ins w:id="15" w:author="Ericsson" w:date="2021-08-19T01:05:00Z">
              <w:r>
                <w:rPr>
                  <w:rFonts w:eastAsia="Calibri"/>
                  <w:i/>
                  <w:sz w:val="22"/>
                  <w:szCs w:val="22"/>
                  <w:lang w:val="de-DE" w:eastAsia="sv-SE"/>
                </w:rPr>
                <w:t>, and candidateBeamRSListExt-v1610</w:t>
              </w:r>
            </w:ins>
            <w:ins w:id="16" w:author="Ericsson" w:date="2021-08-19T01:05:00Z">
              <w:r>
                <w:rPr>
                  <w:rFonts w:eastAsia="Calibri"/>
                  <w:sz w:val="22"/>
                  <w:szCs w:val="22"/>
                  <w:lang w:val="de-DE" w:eastAsia="sv-SE"/>
                </w:rPr>
                <w:t xml:space="preserve"> set to </w:t>
              </w:r>
            </w:ins>
            <w:ins w:id="17" w:author="Ericsson" w:date="2021-08-19T01:05:00Z">
              <w:r>
                <w:rPr>
                  <w:rFonts w:eastAsia="Calibri"/>
                  <w:i/>
                  <w:sz w:val="22"/>
                  <w:szCs w:val="22"/>
                  <w:lang w:val="de-DE" w:eastAsia="sv-SE"/>
                </w:rPr>
                <w:t>release</w:t>
              </w:r>
            </w:ins>
            <w:ins w:id="18" w:author="Ericsson" w:date="2021-08-19T01:05:00Z">
              <w:r>
                <w:rPr>
                  <w:rFonts w:eastAsia="Calibri"/>
                  <w:sz w:val="22"/>
                  <w:szCs w:val="22"/>
                  <w:lang w:val="de-DE" w:eastAsia="sv-SE"/>
                </w:rPr>
                <w:t xml:space="preserve"> releases </w:t>
              </w:r>
            </w:ins>
            <w:ins w:id="19" w:author="Ericsson" w:date="2021-08-19T01:07:00Z">
              <w:r>
                <w:rPr>
                  <w:rFonts w:eastAsia="Calibri"/>
                  <w:sz w:val="22"/>
                  <w:szCs w:val="22"/>
                  <w:lang w:val="de-DE" w:eastAsia="sv-SE"/>
                </w:rPr>
                <w:t>those</w:t>
              </w:r>
            </w:ins>
            <w:ins w:id="20" w:author="Ericsson" w:date="2021-08-19T01:05:00Z">
              <w:r>
                <w:rPr>
                  <w:rFonts w:eastAsia="Calibri"/>
                  <w:sz w:val="22"/>
                  <w:szCs w:val="22"/>
                  <w:lang w:val="de-DE" w:eastAsia="sv-SE"/>
                </w:rPr>
                <w:t xml:space="preserve"> entries</w:t>
              </w:r>
            </w:ins>
            <w:ins w:id="21" w:author="Ericsson" w:date="2021-08-19T01:07:00Z">
              <w:r>
                <w:rPr>
                  <w:rFonts w:eastAsia="Calibri"/>
                  <w:sz w:val="22"/>
                  <w:szCs w:val="22"/>
                  <w:lang w:val="de-DE" w:eastAsia="sv-SE"/>
                </w:rPr>
                <w:t>.</w:t>
              </w:r>
            </w:ins>
          </w:p>
          <w:p>
            <w:pPr>
              <w:spacing w:after="0"/>
              <w:jc w:val="both"/>
              <w:rPr>
                <w:rFonts w:eastAsia="Calibri"/>
                <w:sz w:val="22"/>
                <w:szCs w:val="22"/>
                <w:lang w:val="de-DE"/>
              </w:rPr>
            </w:pPr>
            <w:r>
              <w:rPr>
                <w:rFonts w:eastAsia="Calibri"/>
                <w:sz w:val="22"/>
                <w:szCs w:val="22"/>
                <w:lang w:val="de-DE" w:eastAsia="sv-SE"/>
              </w:rPr>
              <w:t xml:space="preserve">The network configures these reference signals to be within the linked DL BWP (i.e., within the DL BWP with the same </w:t>
            </w:r>
            <w:r>
              <w:rPr>
                <w:rFonts w:eastAsia="Calibri"/>
                <w:i/>
                <w:sz w:val="22"/>
                <w:szCs w:val="22"/>
                <w:lang w:val="de-DE" w:eastAsia="sv-SE"/>
              </w:rPr>
              <w:t>bwp-Id</w:t>
            </w:r>
            <w:r>
              <w:rPr>
                <w:rFonts w:eastAsia="Calibri"/>
                <w:sz w:val="22"/>
                <w:szCs w:val="22"/>
                <w:lang w:val="de-DE" w:eastAsia="sv-SE"/>
              </w:rPr>
              <w:t xml:space="preserve">) of the UL BWP in which the </w:t>
            </w:r>
            <w:r>
              <w:rPr>
                <w:rFonts w:eastAsia="Calibri"/>
                <w:i/>
                <w:sz w:val="22"/>
                <w:szCs w:val="22"/>
                <w:lang w:val="de-DE" w:eastAsia="sv-SE"/>
              </w:rPr>
              <w:t>BeamFailureRecoveryConfig</w:t>
            </w:r>
            <w:r>
              <w:rPr>
                <w:rFonts w:eastAsia="Calibri"/>
                <w:sz w:val="22"/>
                <w:szCs w:val="22"/>
                <w:lang w:val="de-DE" w:eastAsia="sv-SE"/>
              </w:rPr>
              <w:t xml:space="preserve"> is provided.</w:t>
            </w:r>
          </w:p>
          <w:p>
            <w:pPr>
              <w:spacing w:after="0"/>
              <w:jc w:val="both"/>
              <w:rPr>
                <w:rFonts w:eastAsia="Calibri"/>
                <w:sz w:val="22"/>
                <w:szCs w:val="22"/>
                <w:lang w:val="de-DE"/>
              </w:rPr>
            </w:pPr>
          </w:p>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Intel</w:t>
            </w:r>
          </w:p>
        </w:tc>
        <w:tc>
          <w:tcPr>
            <w:tcW w:w="8020" w:type="dxa"/>
          </w:tcPr>
          <w:p>
            <w:pPr>
              <w:spacing w:after="0"/>
              <w:jc w:val="both"/>
              <w:rPr>
                <w:rFonts w:eastAsia="Calibri"/>
                <w:bCs/>
                <w:i/>
                <w:sz w:val="22"/>
                <w:szCs w:val="22"/>
                <w:lang w:val="de-DE" w:eastAsia="sv-SE"/>
              </w:rPr>
            </w:pPr>
            <w:r>
              <w:rPr>
                <w:rFonts w:eastAsia="Calibri"/>
                <w:sz w:val="22"/>
                <w:szCs w:val="22"/>
                <w:lang w:val="en-GB"/>
              </w:rPr>
              <w:t xml:space="preserve">Agree with Nokia comment about adding “only“.  Also wonder if we should add a similar sentence for </w:t>
            </w:r>
            <w:r>
              <w:rPr>
                <w:rFonts w:eastAsia="Calibri"/>
                <w:bCs/>
                <w:i/>
                <w:sz w:val="22"/>
                <w:szCs w:val="22"/>
                <w:lang w:val="de-DE" w:eastAsia="sv-SE"/>
              </w:rPr>
              <w:t>candidateBeamRSList.</w:t>
            </w:r>
          </w:p>
          <w:p>
            <w:pPr>
              <w:spacing w:after="0"/>
              <w:jc w:val="both"/>
              <w:rPr>
                <w:rFonts w:eastAsia="Calibri"/>
                <w:iCs/>
                <w:sz w:val="22"/>
                <w:szCs w:val="22"/>
                <w:lang w:val="en-GB"/>
              </w:rPr>
            </w:pPr>
          </w:p>
          <w:p>
            <w:pPr>
              <w:spacing w:after="0"/>
              <w:jc w:val="both"/>
              <w:rPr>
                <w:rFonts w:eastAsia="Calibri"/>
                <w:iCs/>
                <w:sz w:val="22"/>
                <w:szCs w:val="22"/>
                <w:lang w:val="en-GB"/>
              </w:rPr>
            </w:pPr>
            <w:r>
              <w:rPr>
                <w:rFonts w:eastAsia="Calibri"/>
                <w:iCs/>
                <w:sz w:val="22"/>
                <w:szCs w:val="22"/>
                <w:lang w:val="en-GB"/>
              </w:rPr>
              <w:t>I am actually a bit confused with the final agreement – the final addition that we didn’t get to discuss further.  Is this agreement to use A1 then only for this field?</w:t>
            </w:r>
          </w:p>
          <w:p>
            <w:pPr>
              <w:spacing w:after="0"/>
              <w:jc w:val="both"/>
              <w:rPr>
                <w:rFonts w:eastAsia="Calibri"/>
                <w:iCs/>
                <w:sz w:val="22"/>
                <w:szCs w:val="22"/>
                <w:lang w:val="en-GB"/>
              </w:rPr>
            </w:pPr>
            <w:r>
              <w:rPr>
                <w:rFonts w:eastAsia="Calibri"/>
                <w:iCs/>
                <w:sz w:val="22"/>
                <w:szCs w:val="22"/>
                <w:lang w:val="en-GB"/>
              </w:rPr>
              <w:t>How should be update the general section text:</w:t>
            </w:r>
          </w:p>
          <w:p>
            <w:pPr>
              <w:spacing w:after="0"/>
              <w:jc w:val="both"/>
              <w:rPr>
                <w:rFonts w:ascii="Times New Roman" w:hAnsi="Times New Roman" w:eastAsia="Calibri"/>
                <w:iCs/>
                <w:sz w:val="22"/>
                <w:szCs w:val="22"/>
                <w:lang w:val="en-GB"/>
              </w:rPr>
            </w:pPr>
            <w:r>
              <w:rPr>
                <w:rFonts w:ascii="Times New Roman" w:hAnsi="Times New Roman" w:eastAsia="Calibri"/>
                <w:sz w:val="22"/>
                <w:szCs w:val="22"/>
                <w:lang w:val="de-DE"/>
              </w:rPr>
              <w:t>Upon reception of a list not using ToAddModList and ToReleaseList structure, the UE shall delete all entries of the list currently in the UE configuration before applying the received list and shall consider each entry as newly created. This applies also to lists whose size is extended (i.e. with a second list structure in the ASN.1 comprising additional entries).</w:t>
            </w:r>
          </w:p>
          <w:p>
            <w:pPr>
              <w:spacing w:after="0"/>
              <w:jc w:val="both"/>
              <w:rPr>
                <w:rFonts w:eastAsia="Calibri"/>
                <w:iCs/>
                <w:sz w:val="22"/>
                <w:szCs w:val="22"/>
                <w:lang w:val="en-GB"/>
              </w:rPr>
            </w:pPr>
          </w:p>
          <w:p>
            <w:pPr>
              <w:spacing w:after="0"/>
              <w:jc w:val="both"/>
              <w:rPr>
                <w:rFonts w:eastAsia="Calibri"/>
                <w:iCs/>
                <w:sz w:val="22"/>
                <w:szCs w:val="22"/>
                <w:lang w:val="en-GB"/>
              </w:rPr>
            </w:pPr>
            <w:r>
              <w:rPr>
                <w:rFonts w:eastAsia="Calibri"/>
                <w:iCs/>
                <w:sz w:val="22"/>
                <w:szCs w:val="22"/>
                <w:lang w:val="en-GB"/>
              </w:rPr>
              <w:t>If we want to limit this to just this field and discuss general in the future, we should at least add “unless specified otherwise” to “</w:t>
            </w:r>
            <w:r>
              <w:rPr>
                <w:rFonts w:ascii="Times New Roman" w:hAnsi="Times New Roman" w:eastAsia="Calibri"/>
                <w:sz w:val="22"/>
                <w:szCs w:val="22"/>
                <w:lang w:val="de-DE"/>
              </w:rPr>
              <w:t>This applies also to lists whose size is extended</w:t>
            </w:r>
            <w:r>
              <w:rPr>
                <w:rFonts w:eastAsia="Calibri"/>
                <w:iCs/>
                <w:sz w:val="22"/>
                <w:szCs w:val="22"/>
                <w:lang w:val="en-GB"/>
              </w:rPr>
              <w:t xml:space="preserve">”.  </w:t>
            </w:r>
          </w:p>
          <w:p>
            <w:pPr>
              <w:spacing w:after="0"/>
              <w:jc w:val="both"/>
              <w:rPr>
                <w:rFonts w:eastAsia="Calibri"/>
                <w:iCs/>
                <w:sz w:val="22"/>
                <w:szCs w:val="22"/>
                <w:lang w:val="en-GB"/>
              </w:rPr>
            </w:pPr>
            <w:r>
              <w:rPr>
                <w:rFonts w:eastAsia="Calibri"/>
                <w:iCs/>
                <w:sz w:val="22"/>
                <w:szCs w:val="22"/>
                <w:lang w:val="en-GB"/>
              </w:rPr>
              <w:t xml:space="preserve">If we are to apply A1 for the general rule, we need to update the above para.  </w:t>
            </w:r>
          </w:p>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Calibri"/>
                <w:sz w:val="22"/>
                <w:szCs w:val="22"/>
                <w:lang w:val="de-DE"/>
              </w:rPr>
              <w:t>O</w:t>
            </w:r>
            <w:r>
              <w:rPr>
                <w:rFonts w:eastAsia="Calibri"/>
                <w:sz w:val="22"/>
                <w:szCs w:val="22"/>
                <w:lang w:val="de-DE"/>
              </w:rPr>
              <w:t>PPO</w:t>
            </w:r>
          </w:p>
        </w:tc>
        <w:tc>
          <w:tcPr>
            <w:tcW w:w="8020" w:type="dxa"/>
          </w:tcPr>
          <w:p>
            <w:pPr>
              <w:spacing w:after="0"/>
              <w:jc w:val="both"/>
              <w:rPr>
                <w:rStyle w:val="58"/>
                <w:rFonts w:eastAsia="Calibri"/>
                <w:sz w:val="22"/>
                <w:szCs w:val="22"/>
                <w:lang w:val="de-DE"/>
              </w:rPr>
            </w:pPr>
            <w:r>
              <w:rPr>
                <w:rFonts w:eastAsia="Calibri"/>
                <w:sz w:val="22"/>
                <w:szCs w:val="22"/>
                <w:lang w:val="de-DE"/>
              </w:rPr>
              <w:t xml:space="preserve">the CR should be </w:t>
            </w:r>
            <w:r>
              <w:fldChar w:fldCharType="begin"/>
            </w:r>
            <w:r>
              <w:instrText xml:space="preserve"> HYPERLINK "http://www.3gpp.org/ftp/tsg_ran/WG2_RL2//TSGR2_115-e/Docs//R2-2107286.zip" </w:instrText>
            </w:r>
            <w:r>
              <w:fldChar w:fldCharType="separate"/>
            </w:r>
            <w:r>
              <w:rPr>
                <w:rStyle w:val="58"/>
                <w:rFonts w:eastAsia="Calibri"/>
                <w:sz w:val="22"/>
                <w:szCs w:val="22"/>
                <w:lang w:val="de-DE"/>
              </w:rPr>
              <w:t>R2-2107286</w:t>
            </w:r>
            <w:r>
              <w:rPr>
                <w:rStyle w:val="58"/>
                <w:rFonts w:eastAsia="Calibri"/>
                <w:sz w:val="22"/>
                <w:szCs w:val="22"/>
                <w:lang w:val="de-DE"/>
              </w:rPr>
              <w:fldChar w:fldCharType="end"/>
            </w:r>
          </w:p>
          <w:p>
            <w:pPr>
              <w:spacing w:after="0"/>
              <w:jc w:val="both"/>
              <w:rPr>
                <w:rFonts w:eastAsia="Calibri"/>
                <w:sz w:val="22"/>
                <w:szCs w:val="22"/>
                <w:lang w:val="de-DE"/>
              </w:rPr>
            </w:pPr>
            <w:r>
              <w:rPr>
                <w:rFonts w:eastAsia="Calibri"/>
                <w:sz w:val="22"/>
                <w:szCs w:val="22"/>
                <w:lang w:val="de-DE"/>
              </w:rPr>
              <w:t>the CR number is missed</w:t>
            </w:r>
          </w:p>
          <w:p>
            <w:pPr>
              <w:spacing w:after="0"/>
              <w:jc w:val="both"/>
              <w:rPr>
                <w:rFonts w:eastAsia="Calibri"/>
                <w:sz w:val="22"/>
                <w:szCs w:val="22"/>
                <w:lang w:val="de-DE"/>
              </w:rPr>
            </w:pPr>
            <w:r>
              <w:rPr>
                <w:rFonts w:eastAsia="Calibri"/>
                <w:sz w:val="22"/>
                <w:szCs w:val="22"/>
                <w:lang w:val="de-DE"/>
              </w:rPr>
              <w:t>The clarification is genenral explain the general ASN</w:t>
            </w:r>
            <w:r>
              <w:rPr>
                <w:rFonts w:hint="eastAsia" w:eastAsia="Calibri"/>
                <w:sz w:val="22"/>
                <w:szCs w:val="22"/>
                <w:lang w:val="de-DE"/>
              </w:rPr>
              <w:t>.</w:t>
            </w:r>
            <w:r>
              <w:rPr>
                <w:rFonts w:eastAsia="Calibri"/>
                <w:sz w:val="22"/>
                <w:szCs w:val="22"/>
                <w:lang w:val="de-DE"/>
              </w:rPr>
              <w:t>1 syntax and hence sounds bit redundant. A simpler version could to clarify that UE should maintain candidateBeamRSList and candidateBeamRSListExt-v1610 separately instead of one single list and that’s it. Similar wording can be used for genenral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Calibri"/>
                <w:sz w:val="22"/>
                <w:szCs w:val="22"/>
                <w:lang w:val="de-DE"/>
              </w:rPr>
              <w:t>LG</w:t>
            </w:r>
          </w:p>
        </w:tc>
        <w:tc>
          <w:tcPr>
            <w:tcW w:w="8020" w:type="dxa"/>
          </w:tcPr>
          <w:p>
            <w:pPr>
              <w:spacing w:after="0"/>
              <w:jc w:val="both"/>
              <w:rPr>
                <w:rFonts w:eastAsia="Malgun Gothic"/>
                <w:sz w:val="22"/>
                <w:szCs w:val="22"/>
                <w:lang w:val="de-DE" w:eastAsia="ko-KR"/>
              </w:rPr>
            </w:pPr>
            <w:r>
              <w:rPr>
                <w:rFonts w:hint="eastAsia" w:eastAsia="Malgun Gothic"/>
                <w:sz w:val="22"/>
                <w:szCs w:val="22"/>
                <w:lang w:val="de-DE" w:eastAsia="ko-KR"/>
              </w:rPr>
              <w:t xml:space="preserve">Our understanding </w:t>
            </w:r>
            <w:r>
              <w:rPr>
                <w:rFonts w:eastAsia="Malgun Gothic"/>
                <w:sz w:val="22"/>
                <w:szCs w:val="22"/>
                <w:lang w:val="de-DE" w:eastAsia="ko-KR"/>
              </w:rPr>
              <w:t xml:space="preserve">is that our discussion is restricted to those fields. </w:t>
            </w:r>
          </w:p>
          <w:p>
            <w:pPr>
              <w:spacing w:after="0"/>
              <w:jc w:val="both"/>
              <w:rPr>
                <w:rFonts w:eastAsia="Malgun Gothic"/>
                <w:sz w:val="22"/>
                <w:szCs w:val="22"/>
                <w:lang w:val="de-DE" w:eastAsia="ko-KR"/>
              </w:rPr>
            </w:pPr>
          </w:p>
          <w:p>
            <w:pPr>
              <w:spacing w:after="0"/>
              <w:jc w:val="both"/>
              <w:rPr>
                <w:rFonts w:eastAsia="Malgun Gothic"/>
                <w:sz w:val="22"/>
                <w:szCs w:val="22"/>
                <w:lang w:val="de-DE" w:eastAsia="ko-KR"/>
              </w:rPr>
            </w:pPr>
            <w:r>
              <w:rPr>
                <w:rFonts w:eastAsia="Malgun Gothic"/>
                <w:sz w:val="22"/>
                <w:szCs w:val="22"/>
                <w:lang w:val="de-DE" w:eastAsia="ko-KR"/>
              </w:rPr>
              <w:t xml:space="preserve">Regarding </w:t>
            </w:r>
            <w:r>
              <w:rPr>
                <w:rFonts w:hint="eastAsia" w:eastAsia="Malgun Gothic"/>
                <w:sz w:val="22"/>
                <w:szCs w:val="22"/>
                <w:lang w:val="de-DE" w:eastAsia="ko-KR"/>
              </w:rPr>
              <w:t xml:space="preserve">the </w:t>
            </w:r>
            <w:r>
              <w:rPr>
                <w:rFonts w:eastAsia="Malgun Gothic"/>
                <w:sz w:val="22"/>
                <w:szCs w:val="22"/>
                <w:lang w:val="de-DE" w:eastAsia="ko-KR"/>
              </w:rPr>
              <w:t>wording of the added sentence in the FD, we think the yellow</w:t>
            </w:r>
            <w:r>
              <w:rPr>
                <w:rFonts w:hint="eastAsia" w:eastAsia="Malgun Gothic"/>
                <w:sz w:val="22"/>
                <w:szCs w:val="22"/>
                <w:lang w:val="de-DE" w:eastAsia="ko-KR"/>
              </w:rPr>
              <w:t xml:space="preserve"> part </w:t>
            </w:r>
            <w:r>
              <w:rPr>
                <w:rFonts w:eastAsia="Malgun Gothic"/>
                <w:sz w:val="22"/>
                <w:szCs w:val="22"/>
                <w:lang w:val="de-DE" w:eastAsia="ko-KR"/>
              </w:rPr>
              <w:t>can be removed, because green sentences specify</w:t>
            </w:r>
            <w:r>
              <w:rPr>
                <w:rFonts w:hint="eastAsia" w:eastAsia="Malgun Gothic"/>
                <w:sz w:val="22"/>
                <w:szCs w:val="22"/>
                <w:lang w:val="de-DE" w:eastAsia="ko-KR"/>
              </w:rPr>
              <w:t xml:space="preserve"> the exact behaviors. </w:t>
            </w:r>
          </w:p>
          <w:p>
            <w:pPr>
              <w:spacing w:after="0"/>
              <w:jc w:val="both"/>
              <w:rPr>
                <w:rFonts w:eastAsia="Malgun Gothic"/>
                <w:sz w:val="22"/>
                <w:szCs w:val="22"/>
                <w:lang w:val="de-DE" w:eastAsia="ko-KR"/>
              </w:rPr>
            </w:pPr>
            <w:ins w:id="22" w:author="MediaTek (Nathan)" w:date="2021-07-09T18:27:00Z">
              <w:r>
                <w:rPr>
                  <w:rFonts w:eastAsia="Calibri"/>
                  <w:sz w:val="22"/>
                  <w:szCs w:val="22"/>
                  <w:highlight w:val="yellow"/>
                  <w:lang w:val="de-DE" w:eastAsia="sv-SE"/>
                </w:rPr>
                <w:t>The UE</w:t>
              </w:r>
            </w:ins>
            <w:ins w:id="23" w:author="MediaTek (Nathan)" w:date="2021-07-09T18:28:00Z">
              <w:r>
                <w:rPr>
                  <w:rFonts w:eastAsia="Calibri"/>
                  <w:sz w:val="22"/>
                  <w:szCs w:val="22"/>
                  <w:highlight w:val="yellow"/>
                  <w:lang w:val="de-DE" w:eastAsia="sv-SE"/>
                </w:rPr>
                <w:t xml:space="preserve"> maintains awareness of which elements were configured by </w:t>
              </w:r>
            </w:ins>
            <w:ins w:id="24" w:author="MediaTek (Nathan)" w:date="2021-07-09T18:29:00Z">
              <w:r>
                <w:rPr>
                  <w:rFonts w:eastAsia="Calibri"/>
                  <w:i/>
                  <w:sz w:val="22"/>
                  <w:szCs w:val="22"/>
                  <w:highlight w:val="yellow"/>
                  <w:lang w:val="de-DE" w:eastAsia="sv-SE"/>
                </w:rPr>
                <w:t>candidateBeamRSListExt-v1610</w:t>
              </w:r>
            </w:ins>
            <w:ins w:id="25" w:author="MediaTek (Nathan)" w:date="2021-07-09T18:29:00Z">
              <w:r>
                <w:rPr>
                  <w:rFonts w:eastAsia="Calibri"/>
                  <w:sz w:val="22"/>
                  <w:szCs w:val="22"/>
                  <w:highlight w:val="yellow"/>
                  <w:lang w:val="de-DE" w:eastAsia="sv-SE"/>
                </w:rPr>
                <w:t xml:space="preserve">, and subsequently received contents of </w:t>
              </w:r>
            </w:ins>
            <w:ins w:id="26" w:author="MediaTek (Nathan)" w:date="2021-07-09T18:29:00Z">
              <w:r>
                <w:rPr>
                  <w:rFonts w:eastAsia="Calibri"/>
                  <w:i/>
                  <w:sz w:val="22"/>
                  <w:szCs w:val="22"/>
                  <w:highlight w:val="yellow"/>
                  <w:lang w:val="de-DE" w:eastAsia="sv-SE"/>
                </w:rPr>
                <w:t>candidateBeamRSListExt-v1610</w:t>
              </w:r>
            </w:ins>
            <w:ins w:id="27" w:author="MediaTek (Nathan)" w:date="2021-07-09T18:29:00Z">
              <w:r>
                <w:rPr>
                  <w:rFonts w:eastAsia="Calibri"/>
                  <w:sz w:val="22"/>
                  <w:szCs w:val="22"/>
                  <w:highlight w:val="yellow"/>
                  <w:lang w:val="de-DE" w:eastAsia="sv-SE"/>
                </w:rPr>
                <w:t xml:space="preserve"> apply to these entries (i.e.,</w:t>
              </w:r>
            </w:ins>
            <w:ins w:id="28" w:author="MediaTek (Nathan)" w:date="2021-07-09T18:29:00Z">
              <w:r>
                <w:rPr>
                  <w:rFonts w:eastAsia="Calibri"/>
                  <w:sz w:val="22"/>
                  <w:szCs w:val="22"/>
                  <w:lang w:val="de-DE" w:eastAsia="sv-SE"/>
                </w:rPr>
                <w:t xml:space="preserve"> </w:t>
              </w:r>
            </w:ins>
            <w:ins w:id="29" w:author="MediaTek (Nathan)" w:date="2021-07-09T18:29:00Z">
              <w:r>
                <w:rPr>
                  <w:rFonts w:eastAsia="Calibri"/>
                  <w:sz w:val="22"/>
                  <w:szCs w:val="22"/>
                  <w:highlight w:val="green"/>
                  <w:lang w:val="de-DE" w:eastAsia="sv-SE"/>
                </w:rPr>
                <w:t xml:space="preserve">receiving </w:t>
              </w:r>
            </w:ins>
            <w:ins w:id="30" w:author="MediaTek (Nathan)" w:date="2021-07-09T18:29:00Z">
              <w:r>
                <w:rPr>
                  <w:rFonts w:eastAsia="Calibri"/>
                  <w:i/>
                  <w:sz w:val="22"/>
                  <w:szCs w:val="22"/>
                  <w:highlight w:val="green"/>
                  <w:lang w:val="de-DE" w:eastAsia="sv-SE"/>
                </w:rPr>
                <w:t>candidateBeamRSListExt-v1610</w:t>
              </w:r>
            </w:ins>
            <w:ins w:id="31" w:author="MediaTek (Nathan)" w:date="2021-07-09T18:29:00Z">
              <w:r>
                <w:rPr>
                  <w:rFonts w:eastAsia="Calibri"/>
                  <w:sz w:val="22"/>
                  <w:szCs w:val="22"/>
                  <w:highlight w:val="green"/>
                  <w:lang w:val="de-DE" w:eastAsia="sv-SE"/>
                </w:rPr>
                <w:t xml:space="preserve"> set to </w:t>
              </w:r>
            </w:ins>
            <w:ins w:id="32" w:author="MediaTek (Nathan)" w:date="2021-07-09T18:29:00Z">
              <w:r>
                <w:rPr>
                  <w:rFonts w:eastAsia="Calibri"/>
                  <w:i/>
                  <w:sz w:val="22"/>
                  <w:szCs w:val="22"/>
                  <w:highlight w:val="green"/>
                  <w:lang w:val="de-DE" w:eastAsia="sv-SE"/>
                </w:rPr>
                <w:t>release</w:t>
              </w:r>
            </w:ins>
            <w:ins w:id="33" w:author="MediaTek (Nathan)" w:date="2021-07-09T18:29:00Z">
              <w:r>
                <w:rPr>
                  <w:rFonts w:eastAsia="Calibri"/>
                  <w:sz w:val="22"/>
                  <w:szCs w:val="22"/>
                  <w:highlight w:val="green"/>
                  <w:lang w:val="de-DE" w:eastAsia="sv-SE"/>
                </w:rPr>
                <w:t xml:space="preserve"> releases the entries that were configured by </w:t>
              </w:r>
            </w:ins>
            <w:ins w:id="34" w:author="MediaTek (Nathan)" w:date="2021-07-09T18:29:00Z">
              <w:r>
                <w:rPr>
                  <w:rFonts w:eastAsia="Calibri"/>
                  <w:i/>
                  <w:sz w:val="22"/>
                  <w:szCs w:val="22"/>
                  <w:highlight w:val="green"/>
                  <w:lang w:val="de-DE" w:eastAsia="sv-SE"/>
                </w:rPr>
                <w:t>candidateBeamRSListExt-v1610</w:t>
              </w:r>
            </w:ins>
            <w:ins w:id="35" w:author="MediaTek (Nathan)" w:date="2021-07-14T06:33:00Z">
              <w:r>
                <w:rPr>
                  <w:rFonts w:eastAsia="Calibri"/>
                  <w:sz w:val="22"/>
                  <w:szCs w:val="22"/>
                  <w:highlight w:val="green"/>
                  <w:lang w:val="de-DE" w:eastAsia="sv-SE"/>
                </w:rPr>
                <w:t xml:space="preserve">, and receiving </w:t>
              </w:r>
            </w:ins>
            <w:ins w:id="36" w:author="MediaTek (Nathan)" w:date="2021-07-14T06:33:00Z">
              <w:r>
                <w:rPr>
                  <w:rFonts w:eastAsia="Calibri"/>
                  <w:i/>
                  <w:sz w:val="22"/>
                  <w:szCs w:val="22"/>
                  <w:highlight w:val="green"/>
                  <w:lang w:val="de-DE" w:eastAsia="sv-SE"/>
                </w:rPr>
                <w:t>candidateBeamRSListExt-v1610</w:t>
              </w:r>
            </w:ins>
            <w:ins w:id="37" w:author="MediaTek (Nathan)" w:date="2021-07-14T06:33:00Z">
              <w:r>
                <w:rPr>
                  <w:rFonts w:eastAsia="Calibri"/>
                  <w:sz w:val="22"/>
                  <w:szCs w:val="22"/>
                  <w:highlight w:val="green"/>
                  <w:lang w:val="de-DE" w:eastAsia="sv-SE"/>
                </w:rPr>
                <w:t xml:space="preserve"> set to </w:t>
              </w:r>
            </w:ins>
            <w:ins w:id="38" w:author="MediaTek (Nathan)" w:date="2021-07-14T06:33:00Z">
              <w:r>
                <w:rPr>
                  <w:rFonts w:eastAsia="Calibri"/>
                  <w:i/>
                  <w:sz w:val="22"/>
                  <w:szCs w:val="22"/>
                  <w:highlight w:val="green"/>
                  <w:lang w:val="de-DE" w:eastAsia="sv-SE"/>
                </w:rPr>
                <w:t>setup</w:t>
              </w:r>
            </w:ins>
            <w:ins w:id="39" w:author="MediaTek (Nathan)" w:date="2021-07-14T06:33:00Z">
              <w:r>
                <w:rPr>
                  <w:rFonts w:eastAsia="Calibri"/>
                  <w:sz w:val="22"/>
                  <w:szCs w:val="22"/>
                  <w:highlight w:val="green"/>
                  <w:lang w:val="de-DE" w:eastAsia="sv-SE"/>
                </w:rPr>
                <w:t xml:space="preserve"> replaces the entries that were configured by </w:t>
              </w:r>
            </w:ins>
            <w:ins w:id="40" w:author="MediaTek (Nathan)" w:date="2021-07-14T06:34:00Z">
              <w:r>
                <w:rPr>
                  <w:rFonts w:eastAsia="Calibri"/>
                  <w:i/>
                  <w:sz w:val="22"/>
                  <w:szCs w:val="22"/>
                  <w:highlight w:val="green"/>
                  <w:lang w:val="de-DE" w:eastAsia="sv-SE"/>
                </w:rPr>
                <w:t>candidateBeamRSListExt-v1610</w:t>
              </w:r>
            </w:ins>
            <w:ins w:id="41" w:author="MediaTek (Nathan)" w:date="2021-07-14T06:34:00Z">
              <w:r>
                <w:rPr>
                  <w:rFonts w:eastAsia="Calibri"/>
                  <w:sz w:val="22"/>
                  <w:szCs w:val="22"/>
                  <w:highlight w:val="green"/>
                  <w:lang w:val="de-DE" w:eastAsia="sv-SE"/>
                </w:rPr>
                <w:t xml:space="preserve"> with the newly signalled entries</w:t>
              </w:r>
            </w:ins>
            <w:ins w:id="42" w:author="MediaTek (Nathan)" w:date="2021-07-09T18:30:00Z">
              <w:r>
                <w:rPr>
                  <w:rFonts w:eastAsia="Calibri"/>
                  <w:sz w:val="22"/>
                  <w:szCs w:val="22"/>
                  <w:highlight w:val="green"/>
                  <w:lang w:val="de-DE" w:eastAsia="sv-SE"/>
                </w:rPr>
                <w:t>).</w:t>
              </w:r>
            </w:ins>
          </w:p>
        </w:tc>
      </w:tr>
    </w:tbl>
    <w:p>
      <w:pPr>
        <w:rPr>
          <w:lang w:val="de-DE" w:eastAsia="en-GB"/>
        </w:rPr>
      </w:pPr>
    </w:p>
    <w:p>
      <w:pPr>
        <w:rPr>
          <w:lang w:val="de-DE" w:eastAsia="en-GB"/>
        </w:rPr>
      </w:pPr>
    </w:p>
    <w:p>
      <w:pPr>
        <w:pStyle w:val="4"/>
      </w:pPr>
      <w:r>
        <w:t>2.1.2</w:t>
      </w:r>
      <w:r>
        <w:tab/>
      </w:r>
      <w:r>
        <w:t>Misc Corrections</w:t>
      </w:r>
    </w:p>
    <w:p>
      <w:pPr>
        <w:pStyle w:val="163"/>
      </w:pPr>
      <w:r>
        <w:fldChar w:fldCharType="begin"/>
      </w:r>
      <w:r>
        <w:instrText xml:space="preserve"> HYPERLINK "http://www.3gpp.org/ftp/tsg_ran/WG2_RL2//TSGR2_115-e/Docs//R2-2108291.zip" </w:instrText>
      </w:r>
      <w:r>
        <w:fldChar w:fldCharType="separate"/>
      </w:r>
      <w:r>
        <w:rPr>
          <w:rStyle w:val="58"/>
        </w:rPr>
        <w:t>R2-2108291</w:t>
      </w:r>
      <w:r>
        <w:rPr>
          <w:rStyle w:val="58"/>
        </w:rPr>
        <w:fldChar w:fldCharType="end"/>
      </w:r>
      <w:r>
        <w:tab/>
      </w:r>
      <w:r>
        <w:t>Miscellaneous non-controversial corrections Set XI</w:t>
      </w:r>
      <w:r>
        <w:tab/>
      </w:r>
      <w:r>
        <w:t>Ericsson</w:t>
      </w:r>
      <w:r>
        <w:tab/>
      </w:r>
      <w:r>
        <w:t>CR</w:t>
      </w:r>
      <w:r>
        <w:tab/>
      </w:r>
      <w:r>
        <w:t>Rel-16</w:t>
      </w:r>
      <w:r>
        <w:tab/>
      </w:r>
      <w:r>
        <w:t>38.331</w:t>
      </w:r>
      <w:r>
        <w:tab/>
      </w:r>
      <w:r>
        <w:t>16.5.0</w:t>
      </w:r>
      <w:r>
        <w:tab/>
      </w:r>
      <w:r>
        <w:t>2763</w:t>
      </w:r>
      <w:r>
        <w:tab/>
      </w:r>
      <w:r>
        <w:t>-</w:t>
      </w:r>
      <w:r>
        <w:tab/>
      </w:r>
      <w:r>
        <w:t>F</w:t>
      </w:r>
      <w:r>
        <w:tab/>
      </w:r>
      <w:r>
        <w:t>NR_newRAT-Core, TEI16</w:t>
      </w:r>
    </w:p>
    <w:p>
      <w:pPr>
        <w:pStyle w:val="113"/>
        <w:rPr>
          <w:lang w:val="en-GB" w:eastAsia="en-GB"/>
        </w:rPr>
      </w:pPr>
    </w:p>
    <w:p>
      <w:pPr>
        <w:rPr>
          <w:b/>
          <w:bCs/>
          <w:lang w:eastAsia="en-GB"/>
        </w:rPr>
      </w:pPr>
      <w:r>
        <w:rPr>
          <w:b/>
          <w:bCs/>
          <w:lang w:eastAsia="en-GB"/>
        </w:rPr>
        <w:t>Q2. Companies are asked to provide their comments on the proposed changes in the draft CR, and provide further findings on typos etc.</w:t>
      </w:r>
    </w:p>
    <w:tbl>
      <w:tblPr>
        <w:tblStyle w:val="52"/>
        <w:tblW w:w="9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8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8020"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8020" w:type="dxa"/>
          </w:tcPr>
          <w:p>
            <w:pPr>
              <w:spacing w:after="0"/>
              <w:jc w:val="both"/>
              <w:rPr>
                <w:rFonts w:eastAsia="Calibri"/>
                <w:sz w:val="22"/>
                <w:szCs w:val="22"/>
                <w:lang w:val="de-DE"/>
              </w:rPr>
            </w:pPr>
            <w:r>
              <w:rPr>
                <w:rFonts w:eastAsia="Calibri"/>
                <w:sz w:val="22"/>
                <w:szCs w:val="22"/>
                <w:lang w:val="de-DE"/>
              </w:rPr>
              <w:t>One additional typo: in section 5.3.13.2, third level 3 bullet, „resumeCause“ and „mps-PriorityAccess“ should be in italics.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Lenovo</w:t>
            </w:r>
          </w:p>
        </w:tc>
        <w:tc>
          <w:tcPr>
            <w:tcW w:w="8020" w:type="dxa"/>
          </w:tcPr>
          <w:p>
            <w:pPr>
              <w:spacing w:after="0"/>
              <w:jc w:val="both"/>
              <w:rPr>
                <w:rFonts w:eastAsia="Calibri"/>
                <w:sz w:val="22"/>
                <w:szCs w:val="22"/>
                <w:lang w:val="de-DE"/>
              </w:rPr>
            </w:pPr>
            <w:r>
              <w:rPr>
                <w:rFonts w:eastAsia="Calibri"/>
                <w:sz w:val="22"/>
                <w:szCs w:val="22"/>
                <w:lang w:val="de-DE"/>
              </w:rPr>
              <w:t>The changes are ok but further issues can be fixed as well:</w:t>
            </w:r>
          </w:p>
          <w:p>
            <w:pPr>
              <w:pStyle w:val="133"/>
              <w:numPr>
                <w:ilvl w:val="0"/>
                <w:numId w:val="16"/>
              </w:numPr>
              <w:jc w:val="both"/>
              <w:rPr>
                <w:rFonts w:ascii="Arial" w:hAnsi="Arial" w:cs="Arial"/>
                <w:lang w:val="de-DE"/>
              </w:rPr>
            </w:pPr>
            <w:r>
              <w:rPr>
                <w:rFonts w:ascii="Arial" w:hAnsi="Arial" w:cs="Arial"/>
                <w:lang w:val="de-DE"/>
              </w:rPr>
              <w:t>R15 issue:</w:t>
            </w:r>
          </w:p>
          <w:p>
            <w:pPr>
              <w:pStyle w:val="113"/>
              <w:ind w:left="0" w:firstLine="0"/>
              <w:rPr>
                <w:rFonts w:cs="Arial"/>
                <w:sz w:val="22"/>
                <w:szCs w:val="20"/>
              </w:rPr>
            </w:pPr>
            <w:r>
              <w:rPr>
                <w:rFonts w:cs="Arial"/>
                <w:sz w:val="22"/>
                <w:szCs w:val="20"/>
              </w:rPr>
              <w:t>In 6.4</w:t>
            </w:r>
            <w:r>
              <w:rPr>
                <w:rFonts w:cs="Arial"/>
                <w:sz w:val="22"/>
                <w:szCs w:val="20"/>
                <w:lang w:val="de-DE"/>
              </w:rPr>
              <w:t xml:space="preserve"> the d</w:t>
            </w:r>
            <w:r>
              <w:rPr>
                <w:rFonts w:eastAsia="Times New Roman" w:cs="Arial"/>
                <w:sz w:val="22"/>
                <w:szCs w:val="20"/>
                <w:lang w:val="de-DE" w:eastAsia="de-DE"/>
              </w:rPr>
              <w:t xml:space="preserve">escription of maxBarringInfoSet is not correct, it should say „Maximum number of access control parameter sets“. </w:t>
            </w:r>
          </w:p>
          <w:p>
            <w:pPr>
              <w:rPr>
                <w:rFonts w:ascii="Courier New" w:hAnsi="Courier New" w:eastAsia="Times New Roman" w:cs="Courier New"/>
                <w:sz w:val="16"/>
                <w:szCs w:val="16"/>
                <w:lang w:val="de-DE" w:eastAsia="de-DE"/>
              </w:rPr>
            </w:pPr>
            <w:r>
              <w:rPr>
                <w:rFonts w:ascii="Courier New" w:hAnsi="Courier New" w:eastAsia="Times New Roman" w:cs="Courier New"/>
                <w:color w:val="000000"/>
                <w:sz w:val="16"/>
                <w:szCs w:val="16"/>
                <w:shd w:val="clear" w:color="auto" w:fill="E6E6E6"/>
                <w:lang w:val="de-DE" w:eastAsia="de-DE"/>
              </w:rPr>
              <w:t xml:space="preserve">MaxAccessCat-1                          </w:t>
            </w:r>
            <w:r>
              <w:rPr>
                <w:rFonts w:ascii="Courier New" w:hAnsi="Courier New" w:eastAsia="Times New Roman" w:cs="Courier New"/>
                <w:color w:val="993366"/>
                <w:sz w:val="16"/>
                <w:szCs w:val="16"/>
                <w:shd w:val="clear" w:color="auto" w:fill="E6E6E6"/>
                <w:lang w:val="de-DE" w:eastAsia="de-DE"/>
              </w:rPr>
              <w:t>INTEGER</w:t>
            </w:r>
            <w:r>
              <w:rPr>
                <w:rFonts w:ascii="Courier New" w:hAnsi="Courier New" w:eastAsia="Times New Roman" w:cs="Courier New"/>
                <w:color w:val="000000"/>
                <w:sz w:val="16"/>
                <w:szCs w:val="16"/>
                <w:shd w:val="clear" w:color="auto" w:fill="E6E6E6"/>
                <w:lang w:val="de-DE" w:eastAsia="de-DE"/>
              </w:rPr>
              <w:t xml:space="preserve"> ::= 63      </w:t>
            </w:r>
            <w:r>
              <w:rPr>
                <w:rFonts w:ascii="Courier New" w:hAnsi="Courier New" w:eastAsia="Times New Roman" w:cs="Courier New"/>
                <w:color w:val="7E7E7E"/>
                <w:sz w:val="16"/>
                <w:szCs w:val="16"/>
                <w:shd w:val="clear" w:color="auto" w:fill="E6E6E6"/>
                <w:lang w:val="de-DE" w:eastAsia="de-DE"/>
              </w:rPr>
              <w:t>-- Maximum number of Access Categories minus 1</w:t>
            </w:r>
          </w:p>
          <w:p>
            <w:pPr>
              <w:rPr>
                <w:rFonts w:ascii="Courier New" w:hAnsi="Courier New" w:eastAsia="Times New Roman" w:cs="Courier New"/>
                <w:sz w:val="16"/>
                <w:szCs w:val="16"/>
                <w:lang w:val="de-DE" w:eastAsia="de-DE"/>
              </w:rPr>
            </w:pPr>
            <w:r>
              <w:rPr>
                <w:rFonts w:ascii="Courier New" w:hAnsi="Courier New" w:eastAsia="Times New Roman" w:cs="Courier New"/>
                <w:color w:val="000000"/>
                <w:sz w:val="16"/>
                <w:szCs w:val="16"/>
                <w:shd w:val="clear" w:color="auto" w:fill="E6E6E6"/>
                <w:lang w:val="de-DE" w:eastAsia="de-DE"/>
              </w:rPr>
              <w:t xml:space="preserve">maxBarringInfoSet                       </w:t>
            </w:r>
            <w:r>
              <w:rPr>
                <w:rFonts w:ascii="Courier New" w:hAnsi="Courier New" w:eastAsia="Times New Roman" w:cs="Courier New"/>
                <w:color w:val="993366"/>
                <w:sz w:val="16"/>
                <w:szCs w:val="16"/>
                <w:shd w:val="clear" w:color="auto" w:fill="E6E6E6"/>
                <w:lang w:val="de-DE" w:eastAsia="de-DE"/>
              </w:rPr>
              <w:t>INTEGER</w:t>
            </w:r>
            <w:r>
              <w:rPr>
                <w:rFonts w:ascii="Courier New" w:hAnsi="Courier New" w:eastAsia="Times New Roman" w:cs="Courier New"/>
                <w:color w:val="000000"/>
                <w:sz w:val="16"/>
                <w:szCs w:val="16"/>
                <w:shd w:val="clear" w:color="auto" w:fill="E6E6E6"/>
                <w:lang w:val="de-DE" w:eastAsia="de-DE"/>
              </w:rPr>
              <w:t xml:space="preserve"> ::= 8       </w:t>
            </w:r>
            <w:r>
              <w:rPr>
                <w:rFonts w:ascii="Courier New" w:hAnsi="Courier New" w:eastAsia="Times New Roman" w:cs="Courier New"/>
                <w:color w:val="7E7E7E"/>
                <w:sz w:val="16"/>
                <w:szCs w:val="16"/>
                <w:shd w:val="clear" w:color="auto" w:fill="E6E6E6"/>
                <w:lang w:val="de-DE" w:eastAsia="de-DE"/>
              </w:rPr>
              <w:t xml:space="preserve">-- </w:t>
            </w:r>
            <w:r>
              <w:rPr>
                <w:rFonts w:ascii="Courier New" w:hAnsi="Courier New" w:eastAsia="Times New Roman" w:cs="Courier New"/>
                <w:color w:val="7E7E7E"/>
                <w:sz w:val="16"/>
                <w:szCs w:val="16"/>
                <w:highlight w:val="yellow"/>
                <w:lang w:val="de-DE" w:eastAsia="de-DE"/>
              </w:rPr>
              <w:t>Maximum number of Access Categories</w:t>
            </w:r>
          </w:p>
          <w:p>
            <w:pPr>
              <w:pStyle w:val="113"/>
              <w:numPr>
                <w:ilvl w:val="0"/>
                <w:numId w:val="16"/>
              </w:numPr>
              <w:rPr>
                <w:sz w:val="22"/>
                <w:lang w:val="de-DE"/>
              </w:rPr>
            </w:pPr>
            <w:r>
              <w:rPr>
                <w:sz w:val="22"/>
                <w:lang w:val="de-DE"/>
              </w:rPr>
              <w:t>R16 issues:</w:t>
            </w:r>
          </w:p>
          <w:p>
            <w:pPr>
              <w:pStyle w:val="133"/>
              <w:numPr>
                <w:ilvl w:val="0"/>
                <w:numId w:val="17"/>
              </w:numPr>
              <w:rPr>
                <w:rFonts w:ascii="Arial" w:hAnsi="Arial" w:eastAsia="Times New Roman" w:cs="Arial"/>
                <w:lang w:val="de-DE" w:eastAsia="de-DE"/>
              </w:rPr>
            </w:pPr>
            <w:r>
              <w:rPr>
                <w:rFonts w:ascii="Arial" w:hAnsi="Arial" w:eastAsia="Times New Roman" w:cs="Arial"/>
                <w:lang w:val="de-DE" w:eastAsia="de-DE"/>
              </w:rPr>
              <w:t>5.5.5.1: in the condition below there is a typo, should say „average“.</w:t>
            </w:r>
          </w:p>
          <w:p>
            <w:pPr>
              <w:spacing w:after="0"/>
              <w:rPr>
                <w:rFonts w:eastAsia="Times New Roman" w:cs="Arial"/>
                <w:sz w:val="22"/>
                <w:szCs w:val="22"/>
                <w:lang w:val="de-DE" w:eastAsia="de-DE"/>
              </w:rPr>
            </w:pPr>
          </w:p>
          <w:p>
            <w:pPr>
              <w:pStyle w:val="69"/>
              <w:numPr>
                <w:ilvl w:val="1"/>
                <w:numId w:val="16"/>
              </w:numPr>
              <w:spacing w:after="0"/>
              <w:rPr>
                <w:rFonts w:eastAsia="等线"/>
                <w:sz w:val="22"/>
                <w:szCs w:val="22"/>
                <w:lang w:val="de-DE"/>
              </w:rPr>
            </w:pPr>
            <w:r>
              <w:rPr>
                <w:rFonts w:eastAsia="等线"/>
                <w:sz w:val="22"/>
                <w:szCs w:val="22"/>
                <w:lang w:val="de-DE"/>
              </w:rPr>
              <w:t xml:space="preserve">if </w:t>
            </w:r>
            <w:r>
              <w:rPr>
                <w:rFonts w:eastAsia="等线"/>
                <w:sz w:val="22"/>
                <w:szCs w:val="22"/>
                <w:highlight w:val="yellow"/>
                <w:lang w:val="de-DE"/>
              </w:rPr>
              <w:t>avareage</w:t>
            </w:r>
            <w:r>
              <w:rPr>
                <w:rFonts w:eastAsia="等线"/>
                <w:sz w:val="22"/>
                <w:szCs w:val="22"/>
                <w:lang w:val="de-DE"/>
              </w:rPr>
              <w:t xml:space="preserve"> uplink PDCP delay values are available:</w:t>
            </w:r>
          </w:p>
          <w:p>
            <w:pPr>
              <w:spacing w:after="0"/>
              <w:jc w:val="both"/>
              <w:rPr>
                <w:rFonts w:eastAsia="Calibri"/>
                <w:sz w:val="22"/>
                <w:szCs w:val="22"/>
                <w:lang w:val="de-DE"/>
              </w:rPr>
            </w:pPr>
          </w:p>
          <w:p>
            <w:pPr>
              <w:pStyle w:val="133"/>
              <w:numPr>
                <w:ilvl w:val="0"/>
                <w:numId w:val="17"/>
              </w:numPr>
              <w:rPr>
                <w:rFonts w:ascii="Arial" w:hAnsi="Arial" w:eastAsia="Times New Roman" w:cs="Arial"/>
                <w:lang w:val="de-DE" w:eastAsia="de-DE"/>
              </w:rPr>
            </w:pPr>
            <w:r>
              <w:rPr>
                <w:rFonts w:ascii="Arial" w:hAnsi="Arial" w:eastAsia="Times New Roman" w:cs="Arial"/>
                <w:lang w:val="de-DE" w:eastAsia="de-DE"/>
              </w:rPr>
              <w:t>5.5.2.10: typo in the paragraph below, missing letter „t“ to be added in the word „reselecion“:</w:t>
            </w:r>
          </w:p>
          <w:p>
            <w:pPr>
              <w:spacing w:after="0"/>
              <w:rPr>
                <w:rFonts w:ascii="Calibri" w:hAnsi="Calibri" w:eastAsia="Times New Roman" w:cs="Calibri"/>
                <w:sz w:val="22"/>
                <w:szCs w:val="22"/>
                <w:lang w:val="de-DE" w:eastAsia="de-DE"/>
              </w:rPr>
            </w:pPr>
            <w:r>
              <w:rPr>
                <w:rFonts w:ascii="Calibri" w:hAnsi="Calibri" w:eastAsia="Times New Roman" w:cs="Calibri"/>
                <w:sz w:val="22"/>
                <w:szCs w:val="22"/>
                <w:lang w:val="de-DE" w:eastAsia="de-DE"/>
              </w:rPr>
              <w:t> </w:t>
            </w:r>
          </w:p>
          <w:p>
            <w:pPr>
              <w:spacing w:after="0"/>
              <w:rPr>
                <w:rFonts w:ascii="Calibri" w:hAnsi="Calibri" w:eastAsia="Times New Roman" w:cs="Calibri"/>
                <w:sz w:val="22"/>
                <w:szCs w:val="22"/>
                <w:lang w:val="en-US" w:eastAsia="de-DE"/>
              </w:rPr>
            </w:pPr>
            <w:r>
              <w:rPr>
                <w:rFonts w:ascii="Calibri" w:hAnsi="Calibri" w:eastAsia="Times New Roman" w:cs="Calibri"/>
                <w:sz w:val="22"/>
                <w:szCs w:val="22"/>
                <w:lang w:val="en-US" w:eastAsia="de-DE"/>
              </w:rPr>
              <w:t xml:space="preserve">If </w:t>
            </w:r>
            <w:r>
              <w:rPr>
                <w:rFonts w:ascii="Calibri" w:hAnsi="Calibri" w:eastAsia="Times New Roman" w:cs="Calibri"/>
                <w:i/>
                <w:iCs/>
                <w:sz w:val="22"/>
                <w:szCs w:val="22"/>
                <w:lang w:val="en-US" w:eastAsia="de-DE"/>
              </w:rPr>
              <w:t>smtc2-LP</w:t>
            </w:r>
            <w:r>
              <w:rPr>
                <w:rFonts w:ascii="Calibri" w:hAnsi="Calibri" w:eastAsia="Times New Roman" w:cs="Calibri"/>
                <w:sz w:val="22"/>
                <w:szCs w:val="22"/>
                <w:lang w:val="en-US" w:eastAsia="de-DE"/>
              </w:rPr>
              <w:t xml:space="preserve"> is present, for cells indicated in the </w:t>
            </w:r>
            <w:r>
              <w:rPr>
                <w:rFonts w:ascii="Calibri" w:hAnsi="Calibri" w:eastAsia="Times New Roman" w:cs="Calibri"/>
                <w:i/>
                <w:iCs/>
                <w:sz w:val="22"/>
                <w:szCs w:val="22"/>
                <w:lang w:val="en-US" w:eastAsia="de-DE"/>
              </w:rPr>
              <w:t>pci-List</w:t>
            </w:r>
            <w:r>
              <w:rPr>
                <w:rFonts w:ascii="Calibri" w:hAnsi="Calibri" w:eastAsia="Times New Roman" w:cs="Calibri"/>
                <w:sz w:val="22"/>
                <w:szCs w:val="22"/>
                <w:lang w:val="en-US" w:eastAsia="de-DE"/>
              </w:rPr>
              <w:t xml:space="preserve"> parameter in </w:t>
            </w:r>
            <w:r>
              <w:rPr>
                <w:rFonts w:ascii="Calibri" w:hAnsi="Calibri" w:eastAsia="Times New Roman" w:cs="Calibri"/>
                <w:i/>
                <w:iCs/>
                <w:sz w:val="22"/>
                <w:szCs w:val="22"/>
                <w:lang w:val="en-US" w:eastAsia="de-DE"/>
              </w:rPr>
              <w:t xml:space="preserve">smtc2-LP </w:t>
            </w:r>
            <w:r>
              <w:rPr>
                <w:rFonts w:ascii="Calibri" w:hAnsi="Calibri" w:eastAsia="Times New Roman" w:cs="Calibri"/>
                <w:sz w:val="22"/>
                <w:szCs w:val="22"/>
                <w:lang w:val="en-US" w:eastAsia="de-DE"/>
              </w:rPr>
              <w:t xml:space="preserve">in the same frequency (for intra frequency cell reselection) or different frequency (for inter frequency cell </w:t>
            </w:r>
            <w:r>
              <w:rPr>
                <w:rFonts w:ascii="Calibri" w:hAnsi="Calibri" w:eastAsia="Times New Roman" w:cs="Calibri"/>
                <w:sz w:val="22"/>
                <w:szCs w:val="22"/>
                <w:highlight w:val="yellow"/>
                <w:lang w:val="en-US" w:eastAsia="de-DE"/>
              </w:rPr>
              <w:t>reselec</w:t>
            </w:r>
            <w:r>
              <w:rPr>
                <w:rFonts w:ascii="Calibri" w:hAnsi="Calibri" w:eastAsia="Times New Roman" w:cs="Calibri"/>
                <w:color w:val="FF0000"/>
                <w:sz w:val="22"/>
                <w:szCs w:val="22"/>
                <w:highlight w:val="yellow"/>
                <w:lang w:val="en-US" w:eastAsia="de-DE"/>
              </w:rPr>
              <w:t>t</w:t>
            </w:r>
            <w:r>
              <w:rPr>
                <w:rFonts w:ascii="Calibri" w:hAnsi="Calibri" w:eastAsia="Times New Roman" w:cs="Calibri"/>
                <w:sz w:val="22"/>
                <w:szCs w:val="22"/>
                <w:highlight w:val="yellow"/>
                <w:lang w:val="en-US" w:eastAsia="de-DE"/>
              </w:rPr>
              <w:t>ion</w:t>
            </w:r>
            <w:r>
              <w:rPr>
                <w:rFonts w:ascii="Calibri" w:hAnsi="Calibri" w:eastAsia="Times New Roman" w:cs="Calibri"/>
                <w:sz w:val="22"/>
                <w:szCs w:val="22"/>
                <w:lang w:val="en-US" w:eastAsia="de-DE"/>
              </w:rPr>
              <w:t>), the UE shall …</w:t>
            </w:r>
          </w:p>
          <w:p>
            <w:pPr>
              <w:spacing w:after="0"/>
              <w:rPr>
                <w:rFonts w:ascii="Calibri" w:hAnsi="Calibri" w:eastAsia="Times New Roman" w:cs="Calibri"/>
                <w:sz w:val="22"/>
                <w:szCs w:val="22"/>
                <w:lang w:val="en-US" w:eastAsia="de-DE"/>
              </w:rPr>
            </w:pPr>
          </w:p>
          <w:p>
            <w:pPr>
              <w:pStyle w:val="133"/>
              <w:numPr>
                <w:ilvl w:val="0"/>
                <w:numId w:val="17"/>
              </w:numPr>
              <w:rPr>
                <w:rFonts w:ascii="Arial" w:hAnsi="Arial" w:eastAsia="Times New Roman" w:cs="Arial"/>
                <w:lang w:val="de-DE" w:eastAsia="de-DE"/>
              </w:rPr>
            </w:pPr>
            <w:r>
              <w:rPr>
                <w:rFonts w:ascii="Arial" w:hAnsi="Arial" w:eastAsia="Times New Roman" w:cs="Arial"/>
                <w:lang w:val="de-DE" w:eastAsia="de-DE"/>
              </w:rPr>
              <w:t>5.5.2.10a: in the paragraph below, „</w:t>
            </w:r>
            <w:r>
              <w:rPr>
                <w:rFonts w:ascii="Arial" w:hAnsi="Arial" w:eastAsia="Times New Roman" w:cs="Arial"/>
                <w:lang w:val="en-US" w:eastAsia="de-DE"/>
              </w:rPr>
              <w:t>measDuration” to be replaced by “measDuration</w:t>
            </w:r>
            <w:r>
              <w:rPr>
                <w:rFonts w:ascii="Arial" w:hAnsi="Arial" w:eastAsia="Times New Roman" w:cs="Arial"/>
                <w:color w:val="FF0000"/>
                <w:lang w:val="en-US" w:eastAsia="de-DE"/>
              </w:rPr>
              <w:t>Symbols</w:t>
            </w:r>
            <w:r>
              <w:rPr>
                <w:rFonts w:ascii="Arial" w:hAnsi="Arial" w:eastAsia="Times New Roman" w:cs="Arial"/>
                <w:lang w:val="en-US" w:eastAsia="de-DE"/>
              </w:rPr>
              <w:t>”:</w:t>
            </w:r>
          </w:p>
          <w:p>
            <w:pPr>
              <w:rPr>
                <w:rFonts w:eastAsia="Times New Roman" w:cs="Arial"/>
                <w:color w:val="C00000"/>
                <w:sz w:val="22"/>
                <w:szCs w:val="20"/>
                <w:lang w:val="de-DE" w:eastAsia="de-DE"/>
              </w:rPr>
            </w:pPr>
          </w:p>
          <w:p>
            <w:pPr>
              <w:spacing w:after="160"/>
              <w:rPr>
                <w:rFonts w:ascii="Calibri" w:hAnsi="Calibri" w:eastAsia="Times New Roman" w:cs="Calibri"/>
                <w:sz w:val="22"/>
                <w:szCs w:val="22"/>
                <w:lang w:val="en-US" w:eastAsia="de-DE"/>
              </w:rPr>
            </w:pPr>
            <w:r>
              <w:rPr>
                <w:rFonts w:ascii="Calibri" w:hAnsi="Calibri" w:eastAsia="Times New Roman" w:cs="Calibri"/>
                <w:sz w:val="22"/>
                <w:szCs w:val="22"/>
                <w:lang w:val="en-US" w:eastAsia="de-DE"/>
              </w:rPr>
              <w:t xml:space="preserve">On the frequency configured by </w:t>
            </w:r>
            <w:r>
              <w:rPr>
                <w:rFonts w:ascii="Calibri" w:hAnsi="Calibri" w:eastAsia="Times New Roman" w:cs="Calibri"/>
                <w:i/>
                <w:iCs/>
                <w:sz w:val="22"/>
                <w:szCs w:val="22"/>
                <w:lang w:val="en-US" w:eastAsia="de-DE"/>
              </w:rPr>
              <w:t>rmtc-Frequency</w:t>
            </w:r>
            <w:r>
              <w:rPr>
                <w:rFonts w:ascii="Calibri" w:hAnsi="Calibri" w:eastAsia="Times New Roman" w:cs="Calibri"/>
                <w:sz w:val="22"/>
                <w:szCs w:val="22"/>
                <w:lang w:val="en-US" w:eastAsia="de-DE"/>
              </w:rPr>
              <w:t xml:space="preserve">, the UE shall not consider RSSI measurements outside the configured RMTC occasion which lasts for </w:t>
            </w:r>
            <w:r>
              <w:rPr>
                <w:rFonts w:ascii="Calibri" w:hAnsi="Calibri" w:eastAsia="Times New Roman" w:cs="Calibri"/>
                <w:i/>
                <w:iCs/>
                <w:sz w:val="22"/>
                <w:szCs w:val="22"/>
                <w:highlight w:val="yellow"/>
                <w:lang w:val="en-US" w:eastAsia="de-DE"/>
              </w:rPr>
              <w:t xml:space="preserve">measDuration </w:t>
            </w:r>
            <w:r>
              <w:rPr>
                <w:rFonts w:ascii="Calibri" w:hAnsi="Calibri" w:eastAsia="Times New Roman" w:cs="Calibri"/>
                <w:sz w:val="22"/>
                <w:szCs w:val="22"/>
                <w:lang w:val="en-US" w:eastAsia="de-DE"/>
              </w:rPr>
              <w:t>for RSSI and channel occupancy measurements.</w:t>
            </w:r>
          </w:p>
          <w:p>
            <w:pPr>
              <w:spacing w:after="0"/>
              <w:jc w:val="both"/>
              <w:rPr>
                <w:rFonts w:eastAsia="Calibri"/>
                <w:sz w:val="22"/>
                <w:szCs w:val="22"/>
                <w:lang w:val="de-DE"/>
              </w:rPr>
            </w:pPr>
          </w:p>
          <w:p>
            <w:pPr>
              <w:pStyle w:val="113"/>
              <w:numPr>
                <w:ilvl w:val="0"/>
                <w:numId w:val="17"/>
              </w:numPr>
              <w:rPr>
                <w:sz w:val="22"/>
              </w:rPr>
            </w:pPr>
            <w:r>
              <w:rPr>
                <w:sz w:val="22"/>
              </w:rPr>
              <w:t>6.2.2</w:t>
            </w:r>
            <w:r>
              <w:rPr>
                <w:sz w:val="22"/>
                <w:lang w:val="de-DE"/>
              </w:rPr>
              <w:t xml:space="preserve">, </w:t>
            </w:r>
            <w:r>
              <w:rPr>
                <w:sz w:val="22"/>
              </w:rPr>
              <w:t>LoggedMeasurementConfiguration field descriptions</w:t>
            </w:r>
            <w:r>
              <w:rPr>
                <w:sz w:val="22"/>
                <w:lang w:val="de-DE"/>
              </w:rPr>
              <w:t xml:space="preserve">: </w:t>
            </w:r>
            <w:r>
              <w:rPr>
                <w:sz w:val="22"/>
              </w:rPr>
              <w:t>in the description of reportType the word should</w:t>
            </w:r>
            <w:r>
              <w:rPr>
                <w:sz w:val="22"/>
                <w:lang w:val="de-DE"/>
              </w:rPr>
              <w:t xml:space="preserve"> say</w:t>
            </w:r>
            <w:r>
              <w:rPr>
                <w:sz w:val="22"/>
              </w:rPr>
              <w:t xml:space="preserve"> “configuration”.</w:t>
            </w:r>
          </w:p>
          <w:p>
            <w:pPr>
              <w:spacing w:after="0"/>
              <w:jc w:val="both"/>
              <w:rPr>
                <w:rFonts w:eastAsia="Calibri"/>
                <w:sz w:val="22"/>
                <w:szCs w:val="22"/>
                <w:lang w:val="de-DE"/>
              </w:rPr>
            </w:pPr>
          </w:p>
          <w:p>
            <w:pPr>
              <w:spacing w:after="0"/>
              <w:jc w:val="both"/>
              <w:rPr>
                <w:rFonts w:eastAsia="Calibri" w:asciiTheme="minorHAnsi" w:hAnsiTheme="minorHAnsi" w:cstheme="minorHAnsi"/>
                <w:sz w:val="22"/>
                <w:szCs w:val="22"/>
                <w:lang w:val="de-DE" w:eastAsia="sv-SE"/>
              </w:rPr>
            </w:pPr>
            <w:r>
              <w:rPr>
                <w:rFonts w:eastAsia="Calibri" w:asciiTheme="minorHAnsi" w:hAnsiTheme="minorHAnsi" w:cstheme="minorHAnsi"/>
                <w:sz w:val="22"/>
                <w:szCs w:val="22"/>
                <w:lang w:val="de-DE" w:eastAsia="sv-SE"/>
              </w:rPr>
              <w:t xml:space="preserve">Parameter configures the type of MDT configuration, specifically Periodic MDT </w:t>
            </w:r>
            <w:r>
              <w:rPr>
                <w:rFonts w:eastAsia="Calibri" w:asciiTheme="minorHAnsi" w:hAnsiTheme="minorHAnsi" w:cstheme="minorHAnsi"/>
                <w:sz w:val="22"/>
                <w:szCs w:val="22"/>
                <w:highlight w:val="yellow"/>
                <w:lang w:val="de-DE" w:eastAsia="sv-SE"/>
              </w:rPr>
              <w:t>conifguraiton</w:t>
            </w:r>
            <w:r>
              <w:rPr>
                <w:rFonts w:eastAsia="Calibri" w:asciiTheme="minorHAnsi" w:hAnsiTheme="minorHAnsi" w:cstheme="minorHAnsi"/>
                <w:sz w:val="22"/>
                <w:szCs w:val="22"/>
                <w:lang w:val="de-DE" w:eastAsia="sv-SE"/>
              </w:rPr>
              <w:t xml:space="preserve"> or Event Triggerd MDT configuration.</w:t>
            </w:r>
          </w:p>
          <w:p>
            <w:pPr>
              <w:spacing w:after="0"/>
              <w:jc w:val="both"/>
              <w:rPr>
                <w:rFonts w:eastAsia="Calibri" w:asciiTheme="minorHAnsi" w:hAnsiTheme="minorHAnsi" w:cstheme="minorHAnsi"/>
                <w:sz w:val="22"/>
                <w:szCs w:val="22"/>
                <w:lang w:val="de-DE" w:eastAsia="sv-SE"/>
              </w:rPr>
            </w:pPr>
          </w:p>
          <w:p>
            <w:pPr>
              <w:pStyle w:val="113"/>
              <w:numPr>
                <w:ilvl w:val="0"/>
                <w:numId w:val="17"/>
              </w:numPr>
              <w:rPr>
                <w:sz w:val="22"/>
              </w:rPr>
            </w:pPr>
            <w:r>
              <w:rPr>
                <w:sz w:val="22"/>
              </w:rPr>
              <w:t>6.2.2</w:t>
            </w:r>
            <w:r>
              <w:rPr>
                <w:sz w:val="22"/>
                <w:lang w:val="de-DE"/>
              </w:rPr>
              <w:t>,</w:t>
            </w:r>
            <w:r>
              <w:rPr>
                <w:sz w:val="22"/>
              </w:rPr>
              <w:t xml:space="preserve"> ConnEstFailReport field descriptions: the description of numberOfPreamblesSent can be removed since the field does not exist in IE ConnEstFailReport.</w:t>
            </w:r>
          </w:p>
          <w:p>
            <w:pPr>
              <w:spacing w:after="0"/>
              <w:jc w:val="both"/>
              <w:rPr>
                <w:rFonts w:eastAsia="Calibri" w:asciiTheme="minorHAnsi" w:hAnsiTheme="minorHAnsi" w:cstheme="minorHAnsi"/>
                <w:sz w:val="22"/>
                <w:szCs w:val="22"/>
                <w:lang w:val="de-DE" w:eastAsia="sv-SE"/>
              </w:rPr>
            </w:pPr>
          </w:p>
          <w:p>
            <w:pPr>
              <w:pStyle w:val="78"/>
              <w:rPr>
                <w:rFonts w:eastAsia="Calibri"/>
                <w:b/>
                <w:i/>
                <w:szCs w:val="22"/>
                <w:lang w:eastAsia="ko-KR"/>
              </w:rPr>
            </w:pPr>
            <w:r>
              <w:rPr>
                <w:rFonts w:eastAsia="Calibri"/>
                <w:b/>
                <w:i/>
                <w:szCs w:val="22"/>
                <w:lang w:eastAsia="ko-KR"/>
              </w:rPr>
              <w:t>NumberOfPreamblesSent</w:t>
            </w:r>
          </w:p>
          <w:p>
            <w:pPr>
              <w:spacing w:after="0"/>
              <w:jc w:val="both"/>
              <w:rPr>
                <w:rFonts w:eastAsia="Calibri"/>
                <w:sz w:val="22"/>
                <w:szCs w:val="22"/>
                <w:lang w:val="de-DE" w:eastAsia="ko-KR"/>
              </w:rPr>
            </w:pPr>
            <w:r>
              <w:rPr>
                <w:rFonts w:eastAsia="Calibri"/>
                <w:sz w:val="22"/>
                <w:szCs w:val="22"/>
                <w:lang w:val="de-DE" w:eastAsia="ko-KR"/>
              </w:rPr>
              <w:t>This field is used to indicate the number of random access preambles that were transmitted.</w:t>
            </w:r>
          </w:p>
          <w:p>
            <w:pPr>
              <w:spacing w:after="0"/>
              <w:jc w:val="both"/>
              <w:rPr>
                <w:rFonts w:eastAsia="Calibri" w:asciiTheme="minorHAnsi" w:hAnsiTheme="minorHAnsi"/>
                <w:sz w:val="22"/>
                <w:szCs w:val="22"/>
                <w:lang w:val="de-DE" w:eastAsia="ko-KR"/>
              </w:rPr>
            </w:pPr>
          </w:p>
          <w:p>
            <w:pPr>
              <w:pStyle w:val="133"/>
              <w:numPr>
                <w:ilvl w:val="0"/>
                <w:numId w:val="17"/>
              </w:numPr>
              <w:textAlignment w:val="center"/>
              <w:rPr>
                <w:rFonts w:ascii="Arial" w:hAnsi="Arial" w:eastAsia="Times New Roman" w:cs="Arial"/>
                <w:lang w:val="de-DE" w:eastAsia="de-DE"/>
              </w:rPr>
            </w:pPr>
            <w:r>
              <w:rPr>
                <w:rFonts w:ascii="Arial" w:hAnsi="Arial" w:eastAsia="Times New Roman" w:cs="Arial"/>
                <w:lang w:val="de-DE" w:eastAsia="de-DE"/>
              </w:rPr>
              <w:t>6.3.2, RSSI-ResourceConfigCLI field descriptions: „scs“ in field name rssi-scs should be set in capital letters to be aligned with ASN.1.</w:t>
            </w:r>
          </w:p>
          <w:p>
            <w:pPr>
              <w:pStyle w:val="133"/>
              <w:ind w:left="360"/>
              <w:textAlignment w:val="center"/>
              <w:rPr>
                <w:rFonts w:ascii="Arial" w:hAnsi="Arial" w:eastAsia="Times New Roman" w:cs="Arial"/>
                <w:lang w:val="de-DE" w:eastAsia="de-DE"/>
              </w:rPr>
            </w:pPr>
          </w:p>
          <w:p>
            <w:pPr>
              <w:spacing w:after="0"/>
              <w:rPr>
                <w:rFonts w:eastAsia="Times New Roman" w:cs="Arial"/>
                <w:sz w:val="18"/>
                <w:szCs w:val="18"/>
                <w:lang w:val="de-DE" w:eastAsia="de-DE"/>
              </w:rPr>
            </w:pPr>
            <w:r>
              <w:rPr>
                <w:rFonts w:eastAsia="Times New Roman" w:cs="Arial"/>
                <w:b/>
                <w:bCs/>
                <w:i/>
                <w:iCs/>
                <w:sz w:val="18"/>
                <w:szCs w:val="18"/>
                <w:lang w:val="de-DE" w:eastAsia="de-DE"/>
              </w:rPr>
              <w:t>rssi-</w:t>
            </w:r>
            <w:r>
              <w:rPr>
                <w:rFonts w:eastAsia="Times New Roman" w:cs="Arial"/>
                <w:b/>
                <w:bCs/>
                <w:i/>
                <w:iCs/>
                <w:sz w:val="18"/>
                <w:szCs w:val="18"/>
                <w:highlight w:val="yellow"/>
                <w:lang w:val="de-DE" w:eastAsia="de-DE"/>
              </w:rPr>
              <w:t>scs</w:t>
            </w:r>
          </w:p>
          <w:p>
            <w:pPr>
              <w:spacing w:after="0"/>
              <w:rPr>
                <w:rFonts w:ascii="Times New Roman" w:hAnsi="Times New Roman" w:eastAsia="Times New Roman"/>
                <w:sz w:val="22"/>
                <w:szCs w:val="20"/>
                <w:lang w:val="de-DE" w:eastAsia="de-DE"/>
              </w:rPr>
            </w:pPr>
            <w:r>
              <w:rPr>
                <w:rFonts w:ascii="Times New Roman" w:hAnsi="Times New Roman" w:eastAsia="Times New Roman"/>
                <w:sz w:val="22"/>
                <w:szCs w:val="20"/>
                <w:lang w:val="de-DE" w:eastAsia="de-DE"/>
              </w:rPr>
              <w:t>Reference subcarrier spacing for CLI-RSSI measurement. …</w:t>
            </w:r>
          </w:p>
          <w:p>
            <w:pPr>
              <w:rPr>
                <w:rFonts w:ascii="Calibri" w:hAnsi="Calibri" w:eastAsia="Times New Roman" w:cs="Calibri"/>
                <w:sz w:val="22"/>
                <w:szCs w:val="20"/>
                <w:lang w:val="en-US" w:eastAsia="de-DE"/>
              </w:rPr>
            </w:pPr>
            <w:r>
              <w:rPr>
                <w:rFonts w:ascii="Calibri" w:hAnsi="Calibri" w:eastAsia="Times New Roman" w:cs="Calibri"/>
                <w:sz w:val="22"/>
                <w:szCs w:val="20"/>
                <w:lang w:val="en-US" w:eastAsia="de-DE"/>
              </w:rPr>
              <w:t> </w:t>
            </w:r>
          </w:p>
          <w:p>
            <w:pPr>
              <w:pStyle w:val="133"/>
              <w:numPr>
                <w:ilvl w:val="0"/>
                <w:numId w:val="17"/>
              </w:numPr>
              <w:rPr>
                <w:rFonts w:ascii="Arial" w:hAnsi="Arial" w:eastAsia="Times New Roman" w:cs="Arial"/>
                <w:lang w:val="de-DE" w:eastAsia="de-DE"/>
              </w:rPr>
            </w:pPr>
            <w:r>
              <w:rPr>
                <w:rFonts w:ascii="Arial" w:hAnsi="Arial" w:eastAsia="Times New Roman" w:cs="Arial"/>
                <w:lang w:val="de-DE" w:eastAsia="de-DE"/>
              </w:rPr>
              <w:t xml:space="preserve">6.3.2, ServingCellConfig field descriptions: „iab-mt“ in field name tdd-UL-DL-ConfigurationDedicated-iab-mt should be set in capital letters to be aligned with ASN.1.    </w:t>
            </w:r>
          </w:p>
          <w:p>
            <w:pPr>
              <w:spacing w:after="0"/>
              <w:rPr>
                <w:rFonts w:ascii="Calibri" w:hAnsi="Calibri" w:eastAsia="Times New Roman" w:cs="Calibri"/>
                <w:sz w:val="22"/>
                <w:szCs w:val="20"/>
                <w:lang w:val="de-DE" w:eastAsia="de-DE"/>
              </w:rPr>
            </w:pPr>
            <w:r>
              <w:rPr>
                <w:rFonts w:ascii="Calibri" w:hAnsi="Calibri" w:eastAsia="Times New Roman" w:cs="Calibri"/>
                <w:sz w:val="22"/>
                <w:szCs w:val="20"/>
                <w:lang w:val="de-DE" w:eastAsia="de-DE"/>
              </w:rPr>
              <w:t> </w:t>
            </w:r>
          </w:p>
          <w:p>
            <w:pPr>
              <w:spacing w:after="0"/>
              <w:rPr>
                <w:rFonts w:eastAsia="Times New Roman" w:cs="Arial"/>
                <w:sz w:val="18"/>
                <w:szCs w:val="18"/>
                <w:lang w:val="de-DE" w:eastAsia="de-DE"/>
              </w:rPr>
            </w:pPr>
            <w:r>
              <w:rPr>
                <w:rFonts w:eastAsia="Times New Roman" w:cs="Arial"/>
                <w:b/>
                <w:bCs/>
                <w:i/>
                <w:iCs/>
                <w:sz w:val="18"/>
                <w:szCs w:val="18"/>
                <w:lang w:val="de-DE" w:eastAsia="de-DE"/>
              </w:rPr>
              <w:t>tdd-UL-DL-ConfigurationDedicated-i</w:t>
            </w:r>
            <w:r>
              <w:rPr>
                <w:rFonts w:eastAsia="Times New Roman" w:cs="Arial"/>
                <w:b/>
                <w:bCs/>
                <w:i/>
                <w:iCs/>
                <w:sz w:val="18"/>
                <w:szCs w:val="18"/>
                <w:highlight w:val="yellow"/>
                <w:lang w:val="de-DE" w:eastAsia="de-DE"/>
              </w:rPr>
              <w:t>ab-mt</w:t>
            </w:r>
          </w:p>
          <w:p>
            <w:pPr>
              <w:spacing w:after="0"/>
              <w:jc w:val="both"/>
              <w:rPr>
                <w:rFonts w:eastAsia="Calibri" w:asciiTheme="minorHAnsi" w:hAnsiTheme="minorHAnsi"/>
                <w:sz w:val="22"/>
                <w:szCs w:val="22"/>
                <w:lang w:val="de-DE" w:eastAsia="ko-KR"/>
              </w:rPr>
            </w:pPr>
          </w:p>
          <w:p>
            <w:pPr>
              <w:pStyle w:val="133"/>
              <w:numPr>
                <w:ilvl w:val="0"/>
                <w:numId w:val="17"/>
              </w:numPr>
              <w:jc w:val="both"/>
              <w:rPr>
                <w:rFonts w:ascii="Arial" w:hAnsi="Arial" w:cs="Arial"/>
                <w:lang w:val="de-DE"/>
              </w:rPr>
            </w:pPr>
            <w:r>
              <w:rPr>
                <w:rFonts w:ascii="Arial" w:hAnsi="Arial" w:cs="Arial"/>
                <w:lang w:val="de-DE"/>
              </w:rPr>
              <w:t>6.3.2, SlotFormatCombinationsPerCell field descriptions: in the description of enableConfiguredUL the word „channels“ should be added as shown below (PUCCH and CG-PUSCH are channels).</w:t>
            </w:r>
          </w:p>
          <w:p>
            <w:pPr>
              <w:spacing w:after="0"/>
              <w:jc w:val="both"/>
              <w:rPr>
                <w:rFonts w:eastAsia="Calibri" w:asciiTheme="minorHAnsi" w:hAnsiTheme="minorHAnsi"/>
                <w:sz w:val="22"/>
                <w:szCs w:val="22"/>
                <w:lang w:val="de-DE" w:eastAsia="ko-KR"/>
              </w:rPr>
            </w:pPr>
          </w:p>
          <w:p>
            <w:pPr>
              <w:spacing w:after="0"/>
              <w:rPr>
                <w:rFonts w:eastAsia="Times New Roman" w:cs="Arial"/>
                <w:sz w:val="18"/>
                <w:szCs w:val="18"/>
                <w:lang w:val="de-DE" w:eastAsia="de-DE"/>
              </w:rPr>
            </w:pPr>
            <w:r>
              <w:rPr>
                <w:rFonts w:eastAsia="Times New Roman" w:cs="Arial"/>
                <w:b/>
                <w:bCs/>
                <w:i/>
                <w:iCs/>
                <w:sz w:val="18"/>
                <w:szCs w:val="18"/>
                <w:lang w:val="de-DE" w:eastAsia="de-DE"/>
              </w:rPr>
              <w:t>EnableConfiguredUL</w:t>
            </w:r>
          </w:p>
          <w:p>
            <w:pPr>
              <w:spacing w:after="0"/>
              <w:jc w:val="both"/>
              <w:rPr>
                <w:rFonts w:eastAsia="Times New Roman" w:cs="Arial"/>
                <w:sz w:val="18"/>
                <w:szCs w:val="18"/>
                <w:lang w:val="de-DE" w:eastAsia="de-DE"/>
              </w:rPr>
            </w:pPr>
            <w:r>
              <w:rPr>
                <w:rFonts w:eastAsia="Times New Roman" w:cs="Arial"/>
                <w:sz w:val="18"/>
                <w:szCs w:val="18"/>
                <w:lang w:val="de-DE" w:eastAsia="de-DE"/>
              </w:rPr>
              <w:t>If configured, the UE is allowed to transmit uplink signals</w:t>
            </w:r>
            <w:r>
              <w:rPr>
                <w:rFonts w:eastAsia="Times New Roman" w:cs="Arial"/>
                <w:color w:val="FF0000"/>
                <w:sz w:val="18"/>
                <w:szCs w:val="18"/>
                <w:lang w:val="de-DE" w:eastAsia="de-DE"/>
              </w:rPr>
              <w:t xml:space="preserve">/channels </w:t>
            </w:r>
            <w:r>
              <w:rPr>
                <w:rFonts w:eastAsia="Times New Roman" w:cs="Arial"/>
                <w:sz w:val="18"/>
                <w:szCs w:val="18"/>
                <w:lang w:val="de-DE" w:eastAsia="de-DE"/>
              </w:rPr>
              <w:t>(SRS, PUCCH, CG-PUSCH) in the set of symbols of the slot when the UE does not detect a DCI format 2_0 providing a slot format for the set of symbols (see TS 38.213 [13], 11.1.1).</w:t>
            </w:r>
          </w:p>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Malgun Gothic"/>
                <w:sz w:val="22"/>
                <w:szCs w:val="22"/>
                <w:lang w:val="de-DE" w:eastAsia="ko-KR"/>
              </w:rPr>
              <w:t>Samsung</w:t>
            </w:r>
          </w:p>
        </w:tc>
        <w:tc>
          <w:tcPr>
            <w:tcW w:w="8020" w:type="dxa"/>
          </w:tcPr>
          <w:p>
            <w:pPr>
              <w:spacing w:after="0"/>
              <w:jc w:val="both"/>
              <w:rPr>
                <w:rFonts w:eastAsia="Malgun Gothic"/>
                <w:sz w:val="22"/>
                <w:szCs w:val="22"/>
                <w:lang w:val="de-DE" w:eastAsia="ko-KR"/>
              </w:rPr>
            </w:pPr>
            <w:r>
              <w:rPr>
                <w:rFonts w:hint="eastAsia" w:eastAsia="Malgun Gothic"/>
                <w:sz w:val="22"/>
                <w:szCs w:val="22"/>
                <w:lang w:val="de-DE" w:eastAsia="ko-KR"/>
              </w:rPr>
              <w:t>Fine for the changes but I want to know the intention of Cat</w:t>
            </w:r>
            <w:r>
              <w:rPr>
                <w:rFonts w:eastAsia="Malgun Gothic"/>
                <w:sz w:val="22"/>
                <w:szCs w:val="22"/>
                <w:lang w:val="de-DE" w:eastAsia="ko-KR"/>
              </w:rPr>
              <w:t xml:space="preserve">F for this CR. </w:t>
            </w:r>
          </w:p>
          <w:p>
            <w:pPr>
              <w:spacing w:after="0"/>
              <w:jc w:val="both"/>
              <w:rPr>
                <w:rFonts w:eastAsia="Malgun Gothic"/>
                <w:sz w:val="22"/>
                <w:szCs w:val="22"/>
                <w:lang w:val="de-DE" w:eastAsia="ko-KR"/>
              </w:rPr>
            </w:pPr>
            <w:r>
              <w:rPr>
                <w:rFonts w:eastAsia="Malgun Gothic"/>
                <w:sz w:val="22"/>
                <w:szCs w:val="22"/>
                <w:lang w:val="de-DE" w:eastAsia="ko-KR"/>
              </w:rPr>
              <w:t>It seems this CR has</w:t>
            </w:r>
            <w:r>
              <w:rPr>
                <w:rFonts w:eastAsia="Calibri"/>
                <w:sz w:val="22"/>
                <w:szCs w:val="22"/>
                <w:lang w:val="de-DE"/>
              </w:rPr>
              <w:t xml:space="preserve"> </w:t>
            </w:r>
            <w:r>
              <w:rPr>
                <w:rFonts w:eastAsia="Malgun Gothic"/>
                <w:sz w:val="22"/>
                <w:szCs w:val="22"/>
                <w:lang w:val="de-DE" w:eastAsia="ko-KR"/>
              </w:rPr>
              <w:t>more minor corrections than Rel-15 CR. In this case, we think Rel-16 CR category could be A instead of F based on the MCC guideline i.e. If there are more substantial changes in the later release CR, we should normally split the CRs to Cat A + Cat F parts so this is clear. But in this case the changes are anyway mostly editorial so we think it’s fine to just use Cat A for all of them.</w:t>
            </w:r>
          </w:p>
          <w:p>
            <w:pPr>
              <w:spacing w:after="0"/>
              <w:jc w:val="both"/>
              <w:rPr>
                <w:rFonts w:eastAsia="Calibri"/>
                <w:sz w:val="22"/>
                <w:szCs w:val="22"/>
                <w:lang w:val="de-DE"/>
              </w:rPr>
            </w:pPr>
            <w:r>
              <w:rPr>
                <w:rFonts w:eastAsia="Malgun Gothic"/>
                <w:sz w:val="22"/>
                <w:szCs w:val="22"/>
                <w:lang w:val="de-DE" w:eastAsia="ko-KR"/>
              </w:rPr>
              <w:t>BTW, it is not really ciritical, we are fine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8020" w:type="dxa"/>
          </w:tcPr>
          <w:p>
            <w:pPr>
              <w:spacing w:after="0"/>
              <w:jc w:val="both"/>
              <w:rPr>
                <w:rFonts w:eastAsiaTheme="minorEastAsia"/>
                <w:sz w:val="22"/>
                <w:szCs w:val="22"/>
                <w:lang w:val="de-DE" w:eastAsia="zh-CN"/>
              </w:rPr>
            </w:pPr>
            <w:r>
              <w:rPr>
                <w:rFonts w:eastAsiaTheme="minorEastAsia"/>
                <w:sz w:val="22"/>
                <w:szCs w:val="22"/>
                <w:lang w:val="de-DE" w:eastAsia="zh-CN"/>
              </w:rPr>
              <w:t>C</w:t>
            </w:r>
            <w:r>
              <w:rPr>
                <w:rFonts w:eastAsia="Calibri"/>
                <w:sz w:val="22"/>
                <w:szCs w:val="22"/>
                <w:lang w:val="de-DE"/>
              </w:rPr>
              <w:t>lauses affected needs to be populated in the final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Vivo</w:t>
            </w:r>
          </w:p>
        </w:tc>
        <w:tc>
          <w:tcPr>
            <w:tcW w:w="8020" w:type="dxa"/>
          </w:tcPr>
          <w:p>
            <w:pPr>
              <w:spacing w:after="0"/>
              <w:jc w:val="both"/>
              <w:rPr>
                <w:rFonts w:eastAsiaTheme="minorEastAsia"/>
                <w:sz w:val="22"/>
                <w:szCs w:val="22"/>
                <w:lang w:val="de-DE" w:eastAsia="zh-CN"/>
              </w:rPr>
            </w:pPr>
            <w:r>
              <w:rPr>
                <w:rFonts w:eastAsiaTheme="minorEastAsia"/>
                <w:sz w:val="22"/>
                <w:szCs w:val="22"/>
                <w:lang w:val="de-DE" w:eastAsia="zh-CN"/>
              </w:rPr>
              <w:t>Editorial changes,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Nokia</w:t>
            </w:r>
          </w:p>
        </w:tc>
        <w:tc>
          <w:tcPr>
            <w:tcW w:w="8020" w:type="dxa"/>
          </w:tcPr>
          <w:p>
            <w:pPr>
              <w:spacing w:after="0"/>
              <w:jc w:val="both"/>
              <w:rPr>
                <w:rFonts w:eastAsiaTheme="minorEastAsia"/>
                <w:sz w:val="22"/>
                <w:szCs w:val="22"/>
                <w:lang w:val="de-DE" w:eastAsia="zh-CN"/>
              </w:rPr>
            </w:pPr>
            <w:r>
              <w:rPr>
                <w:rFonts w:eastAsiaTheme="minorEastAsia"/>
                <w:sz w:val="22"/>
                <w:szCs w:val="22"/>
                <w:lang w:val="de-DE" w:eastAsia="zh-CN"/>
              </w:rPr>
              <w:t>Same as Huawei. Also Cat F aseems bit strong for this one</w:t>
            </w:r>
          </w:p>
          <w:p>
            <w:pPr>
              <w:spacing w:after="0"/>
              <w:jc w:val="both"/>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Convida Wireless</w:t>
            </w:r>
          </w:p>
        </w:tc>
        <w:tc>
          <w:tcPr>
            <w:tcW w:w="8020" w:type="dxa"/>
          </w:tcPr>
          <w:p>
            <w:pPr>
              <w:spacing w:after="0"/>
              <w:jc w:val="both"/>
              <w:rPr>
                <w:rFonts w:eastAsiaTheme="minorEastAsia"/>
                <w:sz w:val="22"/>
                <w:szCs w:val="22"/>
                <w:lang w:val="de-DE" w:eastAsia="zh-CN"/>
              </w:rPr>
            </w:pPr>
            <w:r>
              <w:rPr>
                <w:rFonts w:eastAsiaTheme="minorEastAsia"/>
                <w:sz w:val="22"/>
                <w:szCs w:val="22"/>
                <w:lang w:val="de-DE" w:eastAsia="zh-CN"/>
              </w:rPr>
              <w:t>It reads NR_newRAT-Core on the coversheet. It is a Rel-15 work item. Hence, this is a Rel-16 mirror CR to a Rel-15 correction? If so, the category must be A. Otherwise, if this is only TEI16, it is a Category F CR. Observe, Rel-16 CR cannot be submitted to TSG RAN approval with a Rel-15 WI code unless it is a mirror CR. Also 1) the changes are minor but still some text is added and removed, and 2) Rel-16 is already frozen but Category D is prohibited to frozen Releases. Therefore this cannot be a Category D CR even if Category F is perceived strong.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8020" w:type="dxa"/>
          </w:tcPr>
          <w:p>
            <w:pPr>
              <w:spacing w:after="0"/>
              <w:jc w:val="both"/>
              <w:rPr>
                <w:rFonts w:eastAsiaTheme="minorEastAsia"/>
                <w:sz w:val="22"/>
                <w:szCs w:val="22"/>
                <w:lang w:val="de-DE" w:eastAsia="zh-CN"/>
              </w:rPr>
            </w:pPr>
            <w:r>
              <w:rPr>
                <w:rFonts w:eastAsiaTheme="minorEastAsia"/>
                <w:sz w:val="22"/>
                <w:szCs w:val="22"/>
                <w:lang w:val="de-DE" w:eastAsia="zh-CN"/>
              </w:rPr>
              <w:t>The 38331 Rapporteur has been informed of some other typos:</w:t>
            </w:r>
          </w:p>
          <w:p>
            <w:pPr>
              <w:pStyle w:val="133"/>
              <w:numPr>
                <w:ilvl w:val="0"/>
                <w:numId w:val="15"/>
              </w:numPr>
              <w:jc w:val="both"/>
              <w:rPr>
                <w:rFonts w:eastAsiaTheme="minorEastAsia"/>
                <w:lang w:val="de-DE" w:eastAsia="zh-CN"/>
              </w:rPr>
            </w:pPr>
            <w:r>
              <w:rPr>
                <w:rFonts w:eastAsiaTheme="minorEastAsia"/>
                <w:lang w:val="de-DE" w:eastAsia="zh-CN"/>
              </w:rPr>
              <w:t>„Synchrnonous“ in section 5.5.2.9</w:t>
            </w:r>
          </w:p>
          <w:p>
            <w:pPr>
              <w:pStyle w:val="133"/>
              <w:numPr>
                <w:ilvl w:val="0"/>
                <w:numId w:val="15"/>
              </w:numPr>
              <w:jc w:val="both"/>
              <w:rPr>
                <w:rFonts w:eastAsiaTheme="minorEastAsia"/>
                <w:lang w:val="de-DE" w:eastAsia="zh-CN"/>
              </w:rPr>
            </w:pPr>
            <w:r>
              <w:rPr>
                <w:rFonts w:eastAsiaTheme="minorEastAsia"/>
                <w:lang w:val="de-DE" w:eastAsia="zh-CN"/>
              </w:rPr>
              <w:t>„reselecion“ in section 5.5.2.10</w:t>
            </w:r>
          </w:p>
          <w:p>
            <w:pPr>
              <w:pStyle w:val="133"/>
              <w:numPr>
                <w:ilvl w:val="0"/>
                <w:numId w:val="15"/>
              </w:numPr>
              <w:jc w:val="both"/>
              <w:rPr>
                <w:rFonts w:eastAsiaTheme="minorEastAsia"/>
                <w:lang w:val="de-DE" w:eastAsia="zh-CN"/>
              </w:rPr>
            </w:pPr>
            <w:r>
              <w:rPr>
                <w:rFonts w:eastAsiaTheme="minorEastAsia"/>
                <w:lang w:val="de-DE" w:eastAsia="zh-CN"/>
              </w:rPr>
              <w:t xml:space="preserve">Missing space in </w:t>
            </w:r>
            <w:r>
              <w:rPr>
                <w:rFonts w:eastAsiaTheme="minorEastAsia"/>
                <w:lang w:val="de-DE" w:eastAsia="zh-CN"/>
              </w:rPr>
              <w:br w:type="textWrapping"/>
            </w:r>
          </w:p>
          <w:p>
            <w:pPr>
              <w:pStyle w:val="137"/>
              <w:rPr>
                <w:szCs w:val="22"/>
                <w:lang w:val="de-DE"/>
              </w:rPr>
            </w:pPr>
            <w:r>
              <w:rPr>
                <w:szCs w:val="22"/>
                <w:lang w:val="de-DE"/>
              </w:rPr>
              <w:t>SI-RequestConfi</w:t>
            </w:r>
            <w:r>
              <w:rPr>
                <w:szCs w:val="22"/>
                <w:highlight w:val="yellow"/>
                <w:lang w:val="de-DE"/>
              </w:rPr>
              <w:t>g:</w:t>
            </w:r>
            <w:r>
              <w:rPr>
                <w:szCs w:val="22"/>
                <w:lang w:val="de-DE"/>
              </w:rPr>
              <w:t xml:space="preserve">:=                 </w:t>
            </w:r>
            <w:r>
              <w:rPr>
                <w:color w:val="993366"/>
                <w:szCs w:val="22"/>
                <w:lang w:val="de-DE"/>
              </w:rPr>
              <w:t>SEQUENCE</w:t>
            </w:r>
            <w:r>
              <w:rPr>
                <w:szCs w:val="22"/>
                <w:lang w:val="de-DE"/>
              </w:rPr>
              <w:t xml:space="preserve"> {</w:t>
            </w:r>
          </w:p>
          <w:p>
            <w:pPr>
              <w:pStyle w:val="133"/>
              <w:numPr>
                <w:ilvl w:val="0"/>
                <w:numId w:val="15"/>
              </w:numPr>
              <w:jc w:val="both"/>
              <w:rPr>
                <w:rFonts w:eastAsiaTheme="minorEastAsia"/>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CATT</w:t>
            </w:r>
          </w:p>
        </w:tc>
        <w:tc>
          <w:tcPr>
            <w:tcW w:w="8020" w:type="dxa"/>
          </w:tcPr>
          <w:p>
            <w:pPr>
              <w:spacing w:after="0"/>
              <w:jc w:val="both"/>
              <w:rPr>
                <w:rFonts w:eastAsiaTheme="minorEastAsia"/>
                <w:sz w:val="22"/>
                <w:szCs w:val="22"/>
                <w:lang w:val="de-DE" w:eastAsia="zh-CN"/>
              </w:rPr>
            </w:pPr>
            <w:r>
              <w:rPr>
                <w:rFonts w:eastAsiaTheme="minorEastAsia"/>
                <w:sz w:val="22"/>
                <w:szCs w:val="22"/>
                <w:lang w:val="de-DE" w:eastAsia="zh-CN"/>
              </w:rPr>
              <w:t>N</w:t>
            </w:r>
            <w:r>
              <w:rPr>
                <w:rFonts w:hint="eastAsia" w:eastAsiaTheme="minorEastAsia"/>
                <w:sz w:val="22"/>
                <w:szCs w:val="22"/>
                <w:lang w:val="de-DE" w:eastAsia="zh-CN"/>
              </w:rPr>
              <w:t>o strong view, anyway these changes are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p>
        </w:tc>
        <w:tc>
          <w:tcPr>
            <w:tcW w:w="8020" w:type="dxa"/>
          </w:tcPr>
          <w:p>
            <w:pPr>
              <w:spacing w:after="0"/>
              <w:jc w:val="both"/>
              <w:rPr>
                <w:rFonts w:eastAsiaTheme="minorEastAsia"/>
                <w:sz w:val="22"/>
                <w:szCs w:val="22"/>
                <w:lang w:val="de-DE" w:eastAsia="zh-CN"/>
              </w:rPr>
            </w:pPr>
          </w:p>
        </w:tc>
      </w:tr>
    </w:tbl>
    <w:p>
      <w:pPr>
        <w:pStyle w:val="113"/>
        <w:ind w:left="0" w:firstLine="0"/>
        <w:rPr>
          <w:b/>
          <w:lang w:val="en-GB"/>
        </w:rPr>
      </w:pPr>
    </w:p>
    <w:p>
      <w:pPr>
        <w:pStyle w:val="163"/>
      </w:pPr>
      <w:r>
        <w:fldChar w:fldCharType="begin"/>
      </w:r>
      <w:r>
        <w:instrText xml:space="preserve"> HYPERLINK "http://www.3gpp.org/ftp/tsg_ran/WG2_RL2//TSGR2_115-e/Docs//R2-2108587.zip" </w:instrText>
      </w:r>
      <w:r>
        <w:fldChar w:fldCharType="separate"/>
      </w:r>
      <w:r>
        <w:rPr>
          <w:rStyle w:val="58"/>
        </w:rPr>
        <w:t>R2-2108587</w:t>
      </w:r>
      <w:r>
        <w:rPr>
          <w:rStyle w:val="58"/>
        </w:rPr>
        <w:fldChar w:fldCharType="end"/>
      </w:r>
      <w:r>
        <w:t xml:space="preserve"> Correction on RRC multiplicity and type constraint definitions Huawei, HiSilicon        CR       Rel-16           38.331 16.5.0  2782    -           F          NR_newRAT-Core</w:t>
      </w:r>
    </w:p>
    <w:p>
      <w:pPr>
        <w:pStyle w:val="113"/>
        <w:ind w:left="0" w:firstLine="0"/>
        <w:rPr>
          <w:b/>
        </w:rPr>
      </w:pPr>
    </w:p>
    <w:p>
      <w:pPr>
        <w:rPr>
          <w:b/>
          <w:bCs/>
          <w:lang w:eastAsia="en-GB"/>
        </w:rPr>
      </w:pPr>
      <w:r>
        <w:rPr>
          <w:b/>
          <w:bCs/>
          <w:lang w:eastAsia="en-GB"/>
        </w:rPr>
        <w:t>Q3. Companies are asked to provide their view on the need of the draft CR, and comments on the changes in the draft CR.</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CR needed?</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The CR has no normative impact, but it’s good to have from a spec cleanliness perspective.  We should normalise on one convention or the other (-1-r16 or -r16-1).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Lenovo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For consistency reasons it might be good to fix the suffices of the „minus one“ constants. However, we think that the correct format is „-1-r16“, i.e. the opposite to what is proposed in the CR. This format is also used in LTE. As result, the suffices of the following constants need to be fixed (and can be merged into the rapporteur CR):</w:t>
            </w:r>
          </w:p>
          <w:p>
            <w:pPr>
              <w:pStyle w:val="113"/>
              <w:numPr>
                <w:ilvl w:val="0"/>
                <w:numId w:val="18"/>
              </w:numPr>
              <w:overflowPunct/>
              <w:autoSpaceDE/>
              <w:autoSpaceDN/>
              <w:adjustRightInd/>
              <w:textAlignment w:val="auto"/>
              <w:rPr>
                <w:sz w:val="22"/>
              </w:rPr>
            </w:pPr>
            <w:r>
              <w:rPr>
                <w:sz w:val="22"/>
              </w:rPr>
              <w:t>maxAI-DCI-PayloadSize</w:t>
            </w:r>
            <w:r>
              <w:rPr>
                <w:sz w:val="22"/>
                <w:highlight w:val="yellow"/>
              </w:rPr>
              <w:t>-r16-1</w:t>
            </w:r>
          </w:p>
          <w:p>
            <w:pPr>
              <w:pStyle w:val="113"/>
              <w:numPr>
                <w:ilvl w:val="0"/>
                <w:numId w:val="18"/>
              </w:numPr>
              <w:overflowPunct/>
              <w:autoSpaceDE/>
              <w:autoSpaceDN/>
              <w:adjustRightInd/>
              <w:textAlignment w:val="auto"/>
              <w:rPr>
                <w:sz w:val="22"/>
              </w:rPr>
            </w:pPr>
            <w:r>
              <w:rPr>
                <w:sz w:val="22"/>
              </w:rPr>
              <w:t>maxNrofAvailabilityCombinationsPerSet-</w:t>
            </w:r>
            <w:r>
              <w:rPr>
                <w:sz w:val="22"/>
                <w:highlight w:val="yellow"/>
              </w:rPr>
              <w:t>r16-1</w:t>
            </w:r>
          </w:p>
          <w:p>
            <w:pPr>
              <w:pStyle w:val="113"/>
              <w:numPr>
                <w:ilvl w:val="0"/>
                <w:numId w:val="18"/>
              </w:numPr>
              <w:overflowPunct/>
              <w:autoSpaceDE/>
              <w:autoSpaceDN/>
              <w:adjustRightInd/>
              <w:textAlignment w:val="auto"/>
              <w:rPr>
                <w:sz w:val="22"/>
              </w:rPr>
            </w:pPr>
            <w:r>
              <w:rPr>
                <w:rFonts w:eastAsia="Calibri"/>
                <w:sz w:val="22"/>
                <w:szCs w:val="22"/>
                <w:lang w:val="de-DE"/>
              </w:rPr>
              <w:t>maxNrofCG-SL-</w:t>
            </w:r>
            <w:r>
              <w:rPr>
                <w:rFonts w:eastAsia="Calibri"/>
                <w:sz w:val="22"/>
                <w:szCs w:val="22"/>
                <w:highlight w:val="yellow"/>
                <w:lang w:val="de-DE"/>
              </w:rPr>
              <w:t>r16-1</w:t>
            </w:r>
          </w:p>
          <w:p>
            <w:pPr>
              <w:pStyle w:val="113"/>
              <w:numPr>
                <w:ilvl w:val="0"/>
                <w:numId w:val="18"/>
              </w:numPr>
              <w:overflowPunct/>
              <w:autoSpaceDE/>
              <w:autoSpaceDN/>
              <w:adjustRightInd/>
              <w:textAlignment w:val="auto"/>
              <w:rPr>
                <w:sz w:val="22"/>
              </w:rPr>
            </w:pPr>
            <w:r>
              <w:rPr>
                <w:sz w:val="22"/>
              </w:rPr>
              <w:t>maxCI-DCI-PayloadSize-</w:t>
            </w:r>
            <w:r>
              <w:rPr>
                <w:sz w:val="22"/>
                <w:highlight w:val="yellow"/>
              </w:rPr>
              <w:t>r16-1</w:t>
            </w:r>
            <w:r>
              <w:rPr>
                <w:sz w:val="22"/>
              </w:rPr>
              <w:t xml:space="preserve">             </w:t>
            </w:r>
          </w:p>
          <w:p>
            <w:pPr>
              <w:pStyle w:val="113"/>
              <w:numPr>
                <w:ilvl w:val="0"/>
                <w:numId w:val="18"/>
              </w:numPr>
              <w:overflowPunct/>
              <w:autoSpaceDE/>
              <w:autoSpaceDN/>
              <w:adjustRightInd/>
              <w:textAlignment w:val="auto"/>
              <w:rPr>
                <w:sz w:val="22"/>
              </w:rPr>
            </w:pPr>
            <w:r>
              <w:rPr>
                <w:sz w:val="22"/>
              </w:rPr>
              <w:t>maxNrofCLI-RSSI-Resources-</w:t>
            </w:r>
            <w:r>
              <w:rPr>
                <w:sz w:val="22"/>
                <w:highlight w:val="yellow"/>
              </w:rPr>
              <w:t>r16-1</w:t>
            </w:r>
            <w:r>
              <w:rPr>
                <w:sz w:val="22"/>
              </w:rPr>
              <w:t xml:space="preserve">         </w:t>
            </w:r>
          </w:p>
          <w:p>
            <w:pPr>
              <w:pStyle w:val="113"/>
              <w:numPr>
                <w:ilvl w:val="0"/>
                <w:numId w:val="18"/>
              </w:numPr>
              <w:overflowPunct/>
              <w:autoSpaceDE/>
              <w:autoSpaceDN/>
              <w:adjustRightInd/>
              <w:textAlignment w:val="auto"/>
              <w:rPr>
                <w:sz w:val="22"/>
              </w:rPr>
            </w:pPr>
            <w:r>
              <w:rPr>
                <w:sz w:val="22"/>
              </w:rPr>
              <w:t>maxNrofConfiguredGrantConfig-</w:t>
            </w:r>
            <w:r>
              <w:rPr>
                <w:sz w:val="22"/>
                <w:highlight w:val="yellow"/>
              </w:rPr>
              <w:t>r16-1</w:t>
            </w:r>
            <w:r>
              <w:rPr>
                <w:sz w:val="22"/>
              </w:rPr>
              <w:t xml:space="preserve">      </w:t>
            </w:r>
          </w:p>
          <w:p>
            <w:pPr>
              <w:pStyle w:val="113"/>
              <w:numPr>
                <w:ilvl w:val="0"/>
                <w:numId w:val="18"/>
              </w:numPr>
              <w:overflowPunct/>
              <w:autoSpaceDE/>
              <w:autoSpaceDN/>
              <w:adjustRightInd/>
              <w:textAlignment w:val="auto"/>
              <w:rPr>
                <w:sz w:val="22"/>
              </w:rPr>
            </w:pPr>
            <w:r>
              <w:rPr>
                <w:sz w:val="22"/>
              </w:rPr>
              <w:t>maxNrofConfiguredGrantConfigMAC-</w:t>
            </w:r>
            <w:r>
              <w:rPr>
                <w:sz w:val="22"/>
                <w:highlight w:val="yellow"/>
              </w:rPr>
              <w:t>r16-1</w:t>
            </w:r>
            <w:r>
              <w:rPr>
                <w:sz w:val="22"/>
              </w:rPr>
              <w:t xml:space="preserve">   </w:t>
            </w:r>
          </w:p>
          <w:p>
            <w:pPr>
              <w:pStyle w:val="113"/>
              <w:numPr>
                <w:ilvl w:val="0"/>
                <w:numId w:val="18"/>
              </w:numPr>
              <w:overflowPunct/>
              <w:autoSpaceDE/>
              <w:autoSpaceDN/>
              <w:adjustRightInd/>
              <w:textAlignment w:val="auto"/>
              <w:rPr>
                <w:sz w:val="22"/>
              </w:rPr>
            </w:pPr>
            <w:r>
              <w:rPr>
                <w:sz w:val="22"/>
              </w:rPr>
              <w:t>maxNrofSPS-Config-</w:t>
            </w:r>
            <w:r>
              <w:rPr>
                <w:sz w:val="22"/>
                <w:highlight w:val="yellow"/>
              </w:rPr>
              <w:t>r16-1</w:t>
            </w:r>
            <w:r>
              <w:rPr>
                <w:sz w:val="22"/>
              </w:rPr>
              <w:t xml:space="preserve">                 </w:t>
            </w:r>
          </w:p>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Malgun Gothic"/>
                <w:sz w:val="22"/>
                <w:szCs w:val="22"/>
                <w:lang w:val="de-DE" w:eastAsia="ko-KR"/>
              </w:rPr>
              <w:t>Samsung</w:t>
            </w:r>
          </w:p>
        </w:tc>
        <w:tc>
          <w:tcPr>
            <w:tcW w:w="1500" w:type="dxa"/>
          </w:tcPr>
          <w:p>
            <w:pPr>
              <w:spacing w:after="0"/>
              <w:jc w:val="both"/>
              <w:rPr>
                <w:rFonts w:eastAsiaTheme="minorEastAsia"/>
                <w:sz w:val="22"/>
                <w:szCs w:val="22"/>
                <w:lang w:val="de-DE" w:eastAsia="zh-CN"/>
              </w:rPr>
            </w:pPr>
            <w:r>
              <w:rPr>
                <w:rFonts w:hint="eastAsia" w:eastAsia="Malgun Gothic"/>
                <w:sz w:val="22"/>
                <w:szCs w:val="22"/>
                <w:lang w:val="de-DE" w:eastAsia="ko-KR"/>
              </w:rPr>
              <w:t>Yes</w:t>
            </w:r>
            <w:r>
              <w:rPr>
                <w:rFonts w:eastAsia="Malgun Gothic"/>
                <w:sz w:val="22"/>
                <w:szCs w:val="22"/>
                <w:lang w:val="de-DE" w:eastAsia="ko-KR"/>
              </w:rPr>
              <w:t>, but</w:t>
            </w:r>
          </w:p>
        </w:tc>
        <w:tc>
          <w:tcPr>
            <w:tcW w:w="6378" w:type="dxa"/>
          </w:tcPr>
          <w:p>
            <w:pPr>
              <w:spacing w:after="0"/>
              <w:jc w:val="both"/>
              <w:rPr>
                <w:rFonts w:eastAsia="Calibri"/>
                <w:sz w:val="22"/>
                <w:szCs w:val="22"/>
                <w:lang w:val="de-DE"/>
              </w:rPr>
            </w:pPr>
            <w:r>
              <w:rPr>
                <w:rFonts w:eastAsia="Calibri"/>
                <w:sz w:val="22"/>
                <w:szCs w:val="22"/>
                <w:lang w:val="de-DE"/>
              </w:rPr>
              <w:t xml:space="preserve">Intention for consistency in RRC spec would be fine. </w:t>
            </w:r>
          </w:p>
          <w:p>
            <w:pPr>
              <w:spacing w:after="0"/>
              <w:jc w:val="both"/>
              <w:rPr>
                <w:rFonts w:eastAsia="Calibri"/>
                <w:sz w:val="22"/>
                <w:szCs w:val="22"/>
                <w:lang w:val="de-DE"/>
              </w:rPr>
            </w:pPr>
            <w:r>
              <w:rPr>
                <w:rFonts w:eastAsia="Calibri"/>
                <w:sz w:val="22"/>
                <w:szCs w:val="22"/>
                <w:lang w:val="de-DE"/>
              </w:rPr>
              <w:t>But, it should be kept the legacy cases in 36.331 (i.e. use the suffix of “-1-r16” instead of the suffix of “-r16-1”.</w:t>
            </w:r>
          </w:p>
          <w:p>
            <w:pPr>
              <w:spacing w:after="0"/>
              <w:jc w:val="both"/>
              <w:rPr>
                <w:rFonts w:eastAsia="Calibri"/>
                <w:sz w:val="22"/>
                <w:szCs w:val="22"/>
                <w:lang w:val="de-DE"/>
              </w:rPr>
            </w:pPr>
            <w:r>
              <w:rPr>
                <w:rFonts w:eastAsia="Calibri"/>
                <w:sz w:val="22"/>
                <w:szCs w:val="22"/>
                <w:lang w:val="de-DE"/>
              </w:rPr>
              <w:t>This change can be merged in the Rap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Theme="minorEastAsia"/>
                <w:sz w:val="22"/>
                <w:szCs w:val="22"/>
                <w:lang w:val="de-DE" w:eastAsia="zh-CN"/>
              </w:rPr>
            </w:pPr>
            <w:r>
              <w:rPr>
                <w:rFonts w:hint="eastAsia" w:eastAsiaTheme="minorEastAsia"/>
                <w:sz w:val="22"/>
                <w:szCs w:val="22"/>
                <w:lang w:val="de-DE" w:eastAsia="zh-CN"/>
              </w:rPr>
              <w:t>P</w:t>
            </w:r>
            <w:r>
              <w:rPr>
                <w:rFonts w:eastAsiaTheme="minorEastAsia"/>
                <w:sz w:val="22"/>
                <w:szCs w:val="22"/>
                <w:lang w:val="de-DE"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eastAsia="Malgun Gothic"/>
                <w:sz w:val="22"/>
                <w:szCs w:val="22"/>
                <w:lang w:val="de-DE" w:eastAsia="ko-KR"/>
              </w:rPr>
              <w:t>vivo</w:t>
            </w:r>
          </w:p>
        </w:tc>
        <w:tc>
          <w:tcPr>
            <w:tcW w:w="1500" w:type="dxa"/>
          </w:tcPr>
          <w:p>
            <w:pPr>
              <w:spacing w:after="0"/>
              <w:jc w:val="both"/>
              <w:rPr>
                <w:rFonts w:eastAsia="Malgun Gothic"/>
                <w:sz w:val="22"/>
                <w:szCs w:val="22"/>
                <w:lang w:val="de-DE" w:eastAsia="ko-KR"/>
              </w:rPr>
            </w:pPr>
            <w:r>
              <w:rPr>
                <w:rFonts w:hint="eastAsia" w:eastAsia="Malgun Gothic"/>
                <w:sz w:val="22"/>
                <w:szCs w:val="22"/>
                <w:lang w:val="de-DE" w:eastAsia="ko-KR"/>
              </w:rPr>
              <w:t>Y</w:t>
            </w:r>
            <w:r>
              <w:rPr>
                <w:rFonts w:eastAsia="Malgun Gothic"/>
                <w:sz w:val="22"/>
                <w:szCs w:val="22"/>
                <w:lang w:val="de-DE" w:eastAsia="ko-KR"/>
              </w:rPr>
              <w:t>es, but</w:t>
            </w:r>
          </w:p>
        </w:tc>
        <w:tc>
          <w:tcPr>
            <w:tcW w:w="6378" w:type="dxa"/>
          </w:tcPr>
          <w:p>
            <w:pPr>
              <w:spacing w:after="0"/>
              <w:jc w:val="both"/>
              <w:rPr>
                <w:rFonts w:eastAsiaTheme="minorEastAsia"/>
                <w:sz w:val="22"/>
                <w:szCs w:val="22"/>
                <w:lang w:val="de-DE" w:eastAsia="zh-CN"/>
              </w:rPr>
            </w:pPr>
            <w:r>
              <w:rPr>
                <w:rFonts w:hint="eastAsia" w:eastAsiaTheme="minorEastAsia"/>
                <w:sz w:val="22"/>
                <w:szCs w:val="22"/>
                <w:lang w:val="de-DE" w:eastAsia="zh-CN"/>
              </w:rPr>
              <w:t>A</w:t>
            </w:r>
            <w:r>
              <w:rPr>
                <w:rFonts w:eastAsiaTheme="minorEastAsia"/>
                <w:sz w:val="22"/>
                <w:szCs w:val="22"/>
                <w:lang w:val="de-DE" w:eastAsia="zh-CN"/>
              </w:rPr>
              <w:t>gree with Lenovo and Samsung that we should stick to the legacy convention by using „-1-r16“.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Nokia, Nokia Shanghai Bell</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Partly</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The correct form is „-1-r16“, i.e. the release suffix comes last. This is because in case the constant name is referected in procedural text, the releases suffix „-r16“ can be dropped but the „-1“ cannot.</w:t>
            </w:r>
          </w:p>
          <w:p>
            <w:pPr>
              <w:spacing w:after="0"/>
              <w:jc w:val="both"/>
              <w:rPr>
                <w:rFonts w:eastAsiaTheme="minorEastAsia"/>
                <w:sz w:val="22"/>
                <w:szCs w:val="22"/>
                <w:lang w:val="de-DE" w:eastAsia="zh-CN"/>
              </w:rPr>
            </w:pPr>
            <w:r>
              <w:rPr>
                <w:rFonts w:eastAsiaTheme="minorEastAsia"/>
                <w:sz w:val="22"/>
                <w:szCs w:val="22"/>
                <w:lang w:val="de-DE" w:eastAsia="zh-CN"/>
              </w:rPr>
              <w:t>Any changes like this can be merged to the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QCOM</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Since there are 2 different opinions on how to fix the “-1“ suffix, it makes more sense to have it “</w:t>
            </w:r>
            <w:r>
              <w:rPr>
                <w:rFonts w:eastAsia="Calibri"/>
                <w:sz w:val="22"/>
                <w:szCs w:val="22"/>
                <w:lang w:val="de-DE"/>
              </w:rPr>
              <w:t>-1-r16“</w:t>
            </w:r>
            <w:r>
              <w:rPr>
                <w:rFonts w:eastAsiaTheme="minorEastAsia"/>
                <w:sz w:val="22"/>
                <w:szCs w:val="22"/>
                <w:lang w:val="de-DE"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 but</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 xml:space="preserve">We agree that same format as in 36.331 shall be used. </w:t>
            </w:r>
          </w:p>
          <w:p>
            <w:pPr>
              <w:spacing w:after="0"/>
              <w:jc w:val="both"/>
              <w:rPr>
                <w:rFonts w:eastAsiaTheme="minorEastAsia"/>
                <w:sz w:val="22"/>
                <w:szCs w:val="22"/>
                <w:lang w:val="de-DE" w:eastAsia="zh-CN"/>
              </w:rPr>
            </w:pPr>
            <w:r>
              <w:rPr>
                <w:rFonts w:eastAsiaTheme="minorEastAsia"/>
                <w:sz w:val="22"/>
                <w:szCs w:val="22"/>
                <w:lang w:val="de-DE" w:eastAsia="zh-CN"/>
              </w:rPr>
              <w:t>And we also agree this can be implemented in the Rapp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Yu Mincho"/>
                <w:sz w:val="22"/>
                <w:szCs w:val="22"/>
                <w:lang w:val="de-DE"/>
              </w:rPr>
              <w:t>N</w:t>
            </w:r>
            <w:r>
              <w:rPr>
                <w:rFonts w:eastAsia="Yu Mincho"/>
                <w:sz w:val="22"/>
                <w:szCs w:val="22"/>
                <w:lang w:val="de-DE"/>
              </w:rPr>
              <w:t>EC</w:t>
            </w:r>
          </w:p>
        </w:tc>
        <w:tc>
          <w:tcPr>
            <w:tcW w:w="1500" w:type="dxa"/>
          </w:tcPr>
          <w:p>
            <w:pPr>
              <w:spacing w:after="0"/>
              <w:jc w:val="both"/>
              <w:rPr>
                <w:rFonts w:eastAsiaTheme="minorEastAsia"/>
                <w:sz w:val="22"/>
                <w:szCs w:val="22"/>
                <w:lang w:val="de-DE" w:eastAsia="zh-CN"/>
              </w:rPr>
            </w:pPr>
            <w:r>
              <w:rPr>
                <w:rFonts w:eastAsia="Yu Mincho"/>
                <w:sz w:val="22"/>
                <w:szCs w:val="22"/>
                <w:lang w:val="de-DE"/>
              </w:rPr>
              <w:t>Yes</w:t>
            </w:r>
          </w:p>
        </w:tc>
        <w:tc>
          <w:tcPr>
            <w:tcW w:w="6378" w:type="dxa"/>
          </w:tcPr>
          <w:p>
            <w:pPr>
              <w:spacing w:after="0"/>
              <w:jc w:val="both"/>
              <w:rPr>
                <w:rFonts w:eastAsiaTheme="minorEastAsia"/>
                <w:sz w:val="22"/>
                <w:szCs w:val="22"/>
                <w:lang w:val="de-DE" w:eastAsia="zh-CN"/>
              </w:rPr>
            </w:pPr>
            <w:r>
              <w:rPr>
                <w:rFonts w:hint="eastAsia" w:eastAsia="Yu Mincho"/>
                <w:sz w:val="22"/>
                <w:szCs w:val="22"/>
                <w:lang w:val="de-DE"/>
              </w:rPr>
              <w:t>t</w:t>
            </w:r>
            <w:r>
              <w:rPr>
                <w:rFonts w:eastAsia="Yu Mincho"/>
                <w:sz w:val="22"/>
                <w:szCs w:val="22"/>
                <w:lang w:val="de-DE"/>
              </w:rPr>
              <w:t xml:space="preserve">his should be corrected to avoid any misunderstanding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eastAsiaTheme="minorEastAsia"/>
                <w:sz w:val="22"/>
                <w:szCs w:val="22"/>
                <w:lang w:val="de-DE" w:eastAsia="zh-CN"/>
              </w:rPr>
              <w:t>Intel</w:t>
            </w:r>
          </w:p>
        </w:tc>
        <w:tc>
          <w:tcPr>
            <w:tcW w:w="1500" w:type="dxa"/>
          </w:tcPr>
          <w:p>
            <w:pPr>
              <w:spacing w:after="0"/>
              <w:jc w:val="both"/>
              <w:rPr>
                <w:rFonts w:eastAsia="Yu Mincho"/>
                <w:sz w:val="22"/>
                <w:szCs w:val="22"/>
                <w:lang w:val="de-DE"/>
              </w:rPr>
            </w:pPr>
            <w:r>
              <w:rPr>
                <w:rFonts w:eastAsiaTheme="minorEastAsia"/>
                <w:sz w:val="22"/>
                <w:szCs w:val="22"/>
                <w:lang w:val="de-DE" w:eastAsia="zh-CN"/>
              </w:rPr>
              <w:t>Partly</w:t>
            </w:r>
          </w:p>
        </w:tc>
        <w:tc>
          <w:tcPr>
            <w:tcW w:w="6378" w:type="dxa"/>
          </w:tcPr>
          <w:p>
            <w:pPr>
              <w:spacing w:after="0"/>
              <w:jc w:val="both"/>
              <w:rPr>
                <w:rFonts w:eastAsia="Yu Mincho"/>
                <w:sz w:val="22"/>
                <w:szCs w:val="22"/>
                <w:lang w:val="de-DE"/>
              </w:rPr>
            </w:pPr>
            <w:r>
              <w:rPr>
                <w:rFonts w:eastAsiaTheme="minorEastAsia"/>
                <w:sz w:val="22"/>
                <w:szCs w:val="22"/>
                <w:lang w:val="de-DE" w:eastAsia="zh-CN"/>
              </w:rPr>
              <w:t xml:space="preserve">The suffix -r16 is a release suffix and it has to come last as commented by others.  That rule should take precedence over others.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Agree with Samsung. The CR could be merged with rapporteur CR, otherwise the CR category should be D instead of 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CATT</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Yes, but</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B</w:t>
            </w:r>
            <w:r>
              <w:rPr>
                <w:rFonts w:hint="eastAsia" w:eastAsiaTheme="minorEastAsia"/>
                <w:sz w:val="22"/>
                <w:szCs w:val="22"/>
                <w:lang w:val="de-DE" w:eastAsia="zh-CN"/>
              </w:rPr>
              <w:t xml:space="preserve">etter to </w:t>
            </w:r>
            <w:r>
              <w:rPr>
                <w:rFonts w:eastAsia="Calibri"/>
                <w:sz w:val="22"/>
                <w:szCs w:val="22"/>
                <w:lang w:val="de-DE"/>
              </w:rPr>
              <w:t xml:space="preserve">normalise </w:t>
            </w:r>
            <w:r>
              <w:rPr>
                <w:rFonts w:hint="eastAsia" w:eastAsiaTheme="minorEastAsia"/>
                <w:sz w:val="22"/>
                <w:szCs w:val="22"/>
                <w:lang w:val="de-DE" w:eastAsia="zh-CN"/>
              </w:rPr>
              <w:t>one common</w:t>
            </w:r>
            <w:r>
              <w:rPr>
                <w:rFonts w:eastAsia="Calibri"/>
                <w:sz w:val="22"/>
                <w:szCs w:val="22"/>
                <w:lang w:val="de-DE"/>
              </w:rPr>
              <w:t xml:space="preserve"> convention</w:t>
            </w:r>
            <w:r>
              <w:rPr>
                <w:rFonts w:hint="eastAsia" w:eastAsiaTheme="minorEastAsia"/>
                <w:sz w:val="22"/>
                <w:szCs w:val="22"/>
                <w:lang w:val="de-DE" w:eastAsia="zh-CN"/>
              </w:rPr>
              <w:t xml:space="preserve"> as in 36.331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p>
        </w:tc>
        <w:tc>
          <w:tcPr>
            <w:tcW w:w="1500" w:type="dxa"/>
          </w:tcPr>
          <w:p>
            <w:pPr>
              <w:spacing w:after="0"/>
              <w:jc w:val="both"/>
              <w:rPr>
                <w:rFonts w:eastAsiaTheme="minorEastAsia"/>
                <w:sz w:val="22"/>
                <w:szCs w:val="22"/>
                <w:lang w:val="de-DE" w:eastAsia="zh-CN"/>
              </w:rPr>
            </w:pPr>
          </w:p>
        </w:tc>
        <w:tc>
          <w:tcPr>
            <w:tcW w:w="6378" w:type="dxa"/>
          </w:tcPr>
          <w:p>
            <w:pPr>
              <w:spacing w:after="0"/>
              <w:jc w:val="both"/>
              <w:rPr>
                <w:rFonts w:eastAsiaTheme="minorEastAsia"/>
                <w:sz w:val="22"/>
                <w:szCs w:val="22"/>
                <w:lang w:val="de-DE" w:eastAsia="zh-CN"/>
              </w:rPr>
            </w:pPr>
          </w:p>
        </w:tc>
      </w:tr>
    </w:tbl>
    <w:p>
      <w:pPr>
        <w:pStyle w:val="113"/>
        <w:ind w:left="0" w:firstLine="0"/>
        <w:rPr>
          <w:b/>
          <w:lang w:val="en-GB"/>
        </w:rPr>
      </w:pPr>
    </w:p>
    <w:p>
      <w:pPr>
        <w:pStyle w:val="4"/>
      </w:pPr>
      <w:r>
        <w:t>2.1.3</w:t>
      </w:r>
      <w:r>
        <w:tab/>
      </w:r>
      <w:r>
        <w:t>eCall over IMS</w:t>
      </w:r>
    </w:p>
    <w:p>
      <w:pPr>
        <w:pStyle w:val="163"/>
      </w:pPr>
      <w:r>
        <w:fldChar w:fldCharType="begin"/>
      </w:r>
      <w:r>
        <w:instrText xml:space="preserve"> HYPERLINK "http://www.3gpp.org/ftp/tsg_ran/WG2_RL2//TSGR2_115-e/Docs//R2-2107129.zip" </w:instrText>
      </w:r>
      <w:r>
        <w:fldChar w:fldCharType="separate"/>
      </w:r>
      <w:r>
        <w:rPr>
          <w:rStyle w:val="58"/>
        </w:rPr>
        <w:t>R2-2107129</w:t>
      </w:r>
      <w:r>
        <w:rPr>
          <w:rStyle w:val="58"/>
        </w:rPr>
        <w:fldChar w:fldCharType="end"/>
      </w:r>
      <w:r>
        <w:tab/>
      </w:r>
      <w:r>
        <w:t>Early implementation of eCall over IMS in NR</w:t>
      </w:r>
      <w:r>
        <w:tab/>
      </w:r>
      <w:r>
        <w:t>Qualcomm Incorporated, Ericsson, Vodafone</w:t>
      </w:r>
      <w:r>
        <w:tab/>
      </w:r>
      <w:r>
        <w:t>CR</w:t>
      </w:r>
      <w:r>
        <w:tab/>
      </w:r>
      <w:r>
        <w:t>Rel-16</w:t>
      </w:r>
      <w:r>
        <w:tab/>
      </w:r>
      <w:r>
        <w:t>38.331</w:t>
      </w:r>
      <w:r>
        <w:tab/>
      </w:r>
      <w:r>
        <w:t>16.5.0</w:t>
      </w:r>
      <w:r>
        <w:tab/>
      </w:r>
      <w:r>
        <w:t>2714</w:t>
      </w:r>
      <w:r>
        <w:tab/>
      </w:r>
      <w:r>
        <w:t>-</w:t>
      </w:r>
      <w:r>
        <w:tab/>
      </w:r>
      <w:r>
        <w:t>F</w:t>
      </w:r>
      <w:r>
        <w:tab/>
      </w:r>
      <w:r>
        <w:t>TEI16</w:t>
      </w:r>
    </w:p>
    <w:p>
      <w:pPr>
        <w:pStyle w:val="113"/>
        <w:rPr>
          <w:lang w:val="en-GB" w:eastAsia="en-GB"/>
        </w:rPr>
      </w:pPr>
    </w:p>
    <w:p>
      <w:pPr>
        <w:rPr>
          <w:b/>
          <w:bCs/>
          <w:lang w:eastAsia="en-GB"/>
        </w:rPr>
      </w:pPr>
      <w:r>
        <w:rPr>
          <w:b/>
          <w:bCs/>
          <w:lang w:eastAsia="en-GB"/>
        </w:rPr>
        <w:t>Q4. Companies are asked to provide their view on the need of the draft CR, and comments on the changes in the draft CR.</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CR needed?</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Lenovo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Not necessarily</w:t>
            </w:r>
          </w:p>
        </w:tc>
        <w:tc>
          <w:tcPr>
            <w:tcW w:w="6378" w:type="dxa"/>
          </w:tcPr>
          <w:p>
            <w:pPr>
              <w:spacing w:after="0"/>
              <w:jc w:val="both"/>
              <w:rPr>
                <w:rFonts w:eastAsia="Calibri"/>
                <w:sz w:val="22"/>
                <w:szCs w:val="22"/>
                <w:lang w:val="de-DE"/>
              </w:rPr>
            </w:pPr>
            <w:r>
              <w:rPr>
                <w:rFonts w:eastAsia="Calibri"/>
                <w:sz w:val="22"/>
                <w:szCs w:val="22"/>
                <w:lang w:val="de-DE"/>
              </w:rPr>
              <w:t>We are ok to allow early implementation of eCall over IMS in NR. However, this can be always done acc. to Annex D in TS 38.331. There is no stringent need to add the original CR to the table in Annex 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hint="eastAsia" w:eastAsia="Malgun Gothic"/>
                <w:sz w:val="22"/>
                <w:szCs w:val="22"/>
                <w:lang w:val="de-DE" w:eastAsia="ko-KR"/>
              </w:rPr>
              <w:t>S</w:t>
            </w:r>
            <w:r>
              <w:rPr>
                <w:rFonts w:eastAsia="Malgun Gothic"/>
                <w:sz w:val="22"/>
                <w:szCs w:val="22"/>
                <w:lang w:val="de-DE" w:eastAsia="ko-KR"/>
              </w:rPr>
              <w:t>amsung</w:t>
            </w:r>
          </w:p>
        </w:tc>
        <w:tc>
          <w:tcPr>
            <w:tcW w:w="1500" w:type="dxa"/>
          </w:tcPr>
          <w:p>
            <w:pPr>
              <w:spacing w:after="0"/>
              <w:jc w:val="both"/>
              <w:rPr>
                <w:rFonts w:eastAsia="Malgun Gothic"/>
                <w:sz w:val="22"/>
                <w:szCs w:val="22"/>
                <w:lang w:val="de-DE" w:eastAsia="ko-KR"/>
              </w:rPr>
            </w:pPr>
            <w:r>
              <w:rPr>
                <w:rFonts w:hint="eastAsia" w:eastAsia="Malgun Gothic"/>
                <w:sz w:val="22"/>
                <w:szCs w:val="22"/>
                <w:lang w:val="de-DE" w:eastAsia="ko-KR"/>
              </w:rPr>
              <w:t>Y</w:t>
            </w:r>
            <w:r>
              <w:rPr>
                <w:rFonts w:eastAsia="Malgun Gothic"/>
                <w:sz w:val="22"/>
                <w:szCs w:val="22"/>
                <w:lang w:val="de-DE" w:eastAsia="ko-KR"/>
              </w:rPr>
              <w:t>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Huawei, HiSilicon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w:t>
            </w:r>
          </w:p>
        </w:tc>
        <w:tc>
          <w:tcPr>
            <w:tcW w:w="6378" w:type="dxa"/>
          </w:tcPr>
          <w:p>
            <w:pPr>
              <w:spacing w:after="0"/>
              <w:jc w:val="both"/>
              <w:rPr>
                <w:rFonts w:eastAsia="Calibri"/>
                <w:sz w:val="22"/>
                <w:szCs w:val="22"/>
                <w:lang w:val="de-DE"/>
              </w:rPr>
            </w:pPr>
            <w:r>
              <w:rPr>
                <w:rFonts w:eastAsia="Calibri"/>
                <w:sz w:val="22"/>
                <w:szCs w:val="22"/>
                <w:lang w:val="de-DE"/>
              </w:rPr>
              <w:t>The support of eCall has been discussed previously in Rel-16 triggered by the LS in R2-2002549 and it was decided to support it since Rel-16 as cited below "</w:t>
            </w:r>
            <w:r>
              <w:rPr>
                <w:rFonts w:eastAsia="Arial" w:cs="Arial"/>
                <w:sz w:val="22"/>
                <w:szCs w:val="22"/>
                <w:lang w:val="en-GB"/>
              </w:rPr>
              <w:t>TSG SA believes that the changes required in order to allow support for eCall over IMS (NG-eCall) over NR are minimal. CRs should be prepared for TSGs #88 in June 2020 in order to maximise the possibility of including this in Release 16.</w:t>
            </w:r>
            <w:r>
              <w:rPr>
                <w:rFonts w:eastAsia="Calibri"/>
                <w:sz w:val="22"/>
                <w:szCs w:val="22"/>
                <w:lang w:val="de-DE"/>
              </w:rPr>
              <w:t>" Thus we don't see need to have early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eastAsia="Malgun Gothic"/>
                <w:sz w:val="22"/>
                <w:szCs w:val="22"/>
                <w:lang w:val="de-DE" w:eastAsia="ko-KR"/>
              </w:rPr>
              <w:t>vivo</w:t>
            </w:r>
          </w:p>
        </w:tc>
        <w:tc>
          <w:tcPr>
            <w:tcW w:w="1500" w:type="dxa"/>
          </w:tcPr>
          <w:p>
            <w:pPr>
              <w:spacing w:after="0"/>
              <w:jc w:val="both"/>
              <w:rPr>
                <w:rFonts w:eastAsia="Malgun Gothic"/>
                <w:sz w:val="22"/>
                <w:szCs w:val="22"/>
                <w:lang w:val="de-DE" w:eastAsia="ko-KR"/>
              </w:rPr>
            </w:pPr>
            <w:r>
              <w:rPr>
                <w:rFonts w:hint="eastAsia" w:eastAsia="Malgun Gothic"/>
                <w:sz w:val="22"/>
                <w:szCs w:val="22"/>
                <w:lang w:val="de-DE" w:eastAsia="ko-KR"/>
              </w:rPr>
              <w:t>Y</w:t>
            </w:r>
            <w:r>
              <w:rPr>
                <w:rFonts w:eastAsia="Malgun Gothic"/>
                <w:sz w:val="22"/>
                <w:szCs w:val="22"/>
                <w:lang w:val="de-DE" w:eastAsia="ko-KR"/>
              </w:rPr>
              <w:t>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hint="eastAsia" w:eastAsia="Yu Mincho"/>
                <w:sz w:val="22"/>
                <w:szCs w:val="22"/>
                <w:lang w:val="de-DE"/>
              </w:rPr>
              <w:t>Q</w:t>
            </w:r>
            <w:r>
              <w:rPr>
                <w:rFonts w:eastAsia="Yu Mincho"/>
                <w:sz w:val="22"/>
                <w:szCs w:val="22"/>
                <w:lang w:val="de-DE"/>
              </w:rPr>
              <w:t>ualcomm Incorproated</w:t>
            </w:r>
          </w:p>
        </w:tc>
        <w:tc>
          <w:tcPr>
            <w:tcW w:w="1500" w:type="dxa"/>
          </w:tcPr>
          <w:p>
            <w:pPr>
              <w:spacing w:after="0"/>
              <w:jc w:val="both"/>
              <w:rPr>
                <w:rFonts w:eastAsia="Yu Mincho"/>
                <w:sz w:val="22"/>
                <w:szCs w:val="22"/>
                <w:lang w:val="de-DE"/>
              </w:rPr>
            </w:pPr>
            <w:r>
              <w:rPr>
                <w:rFonts w:hint="eastAsia" w:eastAsia="Yu Mincho"/>
                <w:sz w:val="22"/>
                <w:szCs w:val="22"/>
                <w:lang w:val="de-DE"/>
              </w:rPr>
              <w:t>P</w:t>
            </w:r>
            <w:r>
              <w:rPr>
                <w:rFonts w:eastAsia="Yu Mincho"/>
                <w:sz w:val="22"/>
                <w:szCs w:val="22"/>
                <w:lang w:val="de-DE"/>
              </w:rPr>
              <w:t>roponent</w:t>
            </w:r>
          </w:p>
        </w:tc>
        <w:tc>
          <w:tcPr>
            <w:tcW w:w="6378" w:type="dxa"/>
          </w:tcPr>
          <w:p>
            <w:pPr>
              <w:spacing w:after="0"/>
              <w:jc w:val="both"/>
              <w:rPr>
                <w:rFonts w:eastAsia="Yu Mincho"/>
                <w:sz w:val="22"/>
                <w:szCs w:val="22"/>
                <w:lang w:val="de-DE"/>
              </w:rPr>
            </w:pPr>
            <w:r>
              <w:rPr>
                <w:rFonts w:hint="eastAsia" w:eastAsia="Yu Mincho"/>
                <w:sz w:val="22"/>
                <w:szCs w:val="22"/>
                <w:lang w:val="de-DE"/>
              </w:rPr>
              <w:t>T</w:t>
            </w:r>
            <w:r>
              <w:rPr>
                <w:rFonts w:eastAsia="Yu Mincho"/>
                <w:sz w:val="22"/>
                <w:szCs w:val="22"/>
                <w:lang w:val="de-DE"/>
              </w:rPr>
              <w:t>o answer Lenovo’s question, the CR is necessary to clarify the test applicability, i.e. necessary information for RAN5.</w:t>
            </w:r>
          </w:p>
          <w:p>
            <w:pPr>
              <w:spacing w:after="0"/>
              <w:jc w:val="both"/>
              <w:rPr>
                <w:rFonts w:eastAsia="Yu Mincho"/>
                <w:sz w:val="22"/>
                <w:szCs w:val="22"/>
                <w:lang w:val="de-DE"/>
              </w:rPr>
            </w:pPr>
            <w:r>
              <w:rPr>
                <w:rFonts w:hint="eastAsia" w:eastAsia="Yu Mincho"/>
                <w:sz w:val="22"/>
                <w:szCs w:val="22"/>
                <w:lang w:val="de-DE"/>
              </w:rPr>
              <w:t>A</w:t>
            </w:r>
            <w:r>
              <w:rPr>
                <w:rFonts w:eastAsia="Yu Mincho"/>
                <w:sz w:val="22"/>
                <w:szCs w:val="22"/>
                <w:lang w:val="de-DE"/>
              </w:rPr>
              <w:t>nnex D is to explain „how“ the early implementation can be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eastAsia="Yu Mincho"/>
                <w:sz w:val="22"/>
                <w:szCs w:val="22"/>
                <w:lang w:val="de-DE"/>
              </w:rPr>
              <w:t>Vodafone</w:t>
            </w:r>
          </w:p>
        </w:tc>
        <w:tc>
          <w:tcPr>
            <w:tcW w:w="1500" w:type="dxa"/>
          </w:tcPr>
          <w:p>
            <w:pPr>
              <w:spacing w:after="0"/>
              <w:jc w:val="both"/>
              <w:rPr>
                <w:rFonts w:eastAsia="Yu Mincho"/>
                <w:sz w:val="22"/>
                <w:szCs w:val="22"/>
                <w:lang w:val="de-DE"/>
              </w:rPr>
            </w:pPr>
            <w:r>
              <w:rPr>
                <w:rFonts w:eastAsia="Yu Mincho"/>
                <w:sz w:val="22"/>
                <w:szCs w:val="22"/>
                <w:lang w:val="de-DE"/>
              </w:rPr>
              <w:t>yes</w:t>
            </w:r>
          </w:p>
        </w:tc>
        <w:tc>
          <w:tcPr>
            <w:tcW w:w="6378" w:type="dxa"/>
          </w:tcPr>
          <w:p>
            <w:pPr>
              <w:spacing w:after="0"/>
              <w:jc w:val="both"/>
              <w:rPr>
                <w:rFonts w:eastAsia="Yu Mincho"/>
                <w:sz w:val="22"/>
                <w:szCs w:val="22"/>
                <w:lang w:val="de-DE"/>
              </w:rPr>
            </w:pPr>
            <w:r>
              <w:rPr>
                <w:rFonts w:eastAsia="Yu Mincho"/>
                <w:sz w:val="22"/>
                <w:szCs w:val="22"/>
                <w:lang w:val="de-DE"/>
              </w:rPr>
              <w:t xml:space="preserve">To answer Huawei: The SA report is encouraging early implementation! The alternative was that this was done in rel 17. For us it is important that “5G cars“ can appear as soon as possible – and owing to the long life of cars, it is important that they all support eCall over NR.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Yu Mincho"/>
                <w:sz w:val="22"/>
                <w:szCs w:val="22"/>
                <w:lang w:val="de-DE"/>
              </w:rPr>
              <w:t>NEC</w:t>
            </w:r>
          </w:p>
        </w:tc>
        <w:tc>
          <w:tcPr>
            <w:tcW w:w="1500" w:type="dxa"/>
          </w:tcPr>
          <w:p>
            <w:pPr>
              <w:spacing w:after="0"/>
              <w:jc w:val="both"/>
              <w:rPr>
                <w:rFonts w:eastAsiaTheme="minorEastAsia"/>
                <w:sz w:val="22"/>
                <w:szCs w:val="22"/>
                <w:lang w:val="de-DE" w:eastAsia="zh-CN"/>
              </w:rPr>
            </w:pPr>
            <w:r>
              <w:rPr>
                <w:rFonts w:hint="eastAsia" w:eastAsia="Yu Mincho"/>
                <w:sz w:val="22"/>
                <w:szCs w:val="22"/>
                <w:lang w:val="de-DE"/>
              </w:rPr>
              <w:t>Y</w:t>
            </w:r>
            <w:r>
              <w:rPr>
                <w:rFonts w:eastAsia="Yu Mincho"/>
                <w:sz w:val="22"/>
                <w:szCs w:val="22"/>
                <w:lang w:val="de-DE"/>
              </w:rPr>
              <w:t>es</w:t>
            </w:r>
          </w:p>
        </w:tc>
        <w:tc>
          <w:tcPr>
            <w:tcW w:w="6378" w:type="dxa"/>
          </w:tcPr>
          <w:p>
            <w:pPr>
              <w:spacing w:after="0"/>
              <w:jc w:val="both"/>
              <w:rPr>
                <w:rFonts w:eastAsia="Calibri"/>
                <w:sz w:val="22"/>
                <w:szCs w:val="22"/>
                <w:lang w:val="de-DE"/>
              </w:rPr>
            </w:pPr>
            <w:r>
              <w:rPr>
                <w:rFonts w:eastAsia="Yu Mincho"/>
                <w:sz w:val="22"/>
                <w:szCs w:val="22"/>
                <w:lang w:val="de-DE"/>
              </w:rPr>
              <w:t xml:space="preserve">early implementation is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eastAsiaTheme="minorEastAsia"/>
                <w:sz w:val="22"/>
                <w:szCs w:val="22"/>
                <w:lang w:val="de-DE" w:eastAsia="zh-CN"/>
              </w:rPr>
              <w:t>Intel</w:t>
            </w:r>
          </w:p>
        </w:tc>
        <w:tc>
          <w:tcPr>
            <w:tcW w:w="1500" w:type="dxa"/>
          </w:tcPr>
          <w:p>
            <w:pPr>
              <w:spacing w:after="0"/>
              <w:jc w:val="both"/>
              <w:rPr>
                <w:rFonts w:eastAsia="Yu Mincho"/>
                <w:sz w:val="22"/>
                <w:szCs w:val="22"/>
                <w:lang w:val="de-DE"/>
              </w:rPr>
            </w:pPr>
            <w:r>
              <w:rPr>
                <w:rFonts w:eastAsiaTheme="minorEastAsia"/>
                <w:sz w:val="22"/>
                <w:szCs w:val="22"/>
                <w:lang w:val="de-DE" w:eastAsia="zh-CN"/>
              </w:rPr>
              <w:t>Yes</w:t>
            </w:r>
          </w:p>
        </w:tc>
        <w:tc>
          <w:tcPr>
            <w:tcW w:w="6378" w:type="dxa"/>
          </w:tcPr>
          <w:p>
            <w:pPr>
              <w:spacing w:after="0"/>
              <w:jc w:val="both"/>
              <w:rPr>
                <w:rFonts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w:t>
            </w:r>
          </w:p>
        </w:tc>
        <w:tc>
          <w:tcPr>
            <w:tcW w:w="6378" w:type="dxa"/>
          </w:tcPr>
          <w:p>
            <w:pPr>
              <w:spacing w:after="0"/>
              <w:jc w:val="both"/>
              <w:rPr>
                <w:rFonts w:eastAsia="Yu Mincho"/>
                <w:sz w:val="22"/>
                <w:szCs w:val="22"/>
                <w:lang w:val="de-DE"/>
              </w:rPr>
            </w:pPr>
            <w:r>
              <w:rPr>
                <w:rFonts w:eastAsiaTheme="minorEastAsia"/>
                <w:sz w:val="22"/>
                <w:szCs w:val="22"/>
                <w:lang w:val="de-DE" w:eastAsia="zh-CN"/>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CATT</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w:t>
            </w:r>
          </w:p>
        </w:tc>
        <w:tc>
          <w:tcPr>
            <w:tcW w:w="6378" w:type="dxa"/>
          </w:tcPr>
          <w:p>
            <w:pPr>
              <w:spacing w:after="0"/>
              <w:jc w:val="both"/>
              <w:rPr>
                <w:rFonts w:eastAsia="Yu Mincho"/>
                <w:sz w:val="22"/>
                <w:szCs w:val="22"/>
                <w:lang w:val="de-DE"/>
              </w:rPr>
            </w:pPr>
            <w:r>
              <w:rPr>
                <w:rFonts w:eastAsia="Calibri"/>
                <w:sz w:val="22"/>
                <w:szCs w:val="22"/>
                <w:lang w:val="de-DE"/>
              </w:rPr>
              <w:t>We</w:t>
            </w:r>
            <w:r>
              <w:rPr>
                <w:rFonts w:hint="eastAsia" w:eastAsiaTheme="minorEastAsia"/>
                <w:sz w:val="22"/>
                <w:szCs w:val="22"/>
                <w:lang w:val="de-DE" w:eastAsia="zh-CN"/>
              </w:rPr>
              <w:t xml:space="preserve"> agree with HW that there is no need to have early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en-GB" w:eastAsia="ko-KR"/>
              </w:rPr>
            </w:pPr>
            <w:r>
              <w:rPr>
                <w:rFonts w:hint="eastAsia" w:eastAsia="Malgun Gothic"/>
                <w:sz w:val="22"/>
                <w:szCs w:val="22"/>
                <w:lang w:val="en-GB" w:eastAsia="ko-KR"/>
              </w:rPr>
              <w:t>LG</w:t>
            </w:r>
          </w:p>
        </w:tc>
        <w:tc>
          <w:tcPr>
            <w:tcW w:w="1500" w:type="dxa"/>
          </w:tcPr>
          <w:p>
            <w:pPr>
              <w:spacing w:after="0"/>
              <w:jc w:val="both"/>
              <w:rPr>
                <w:rFonts w:eastAsia="Malgun Gothic"/>
                <w:sz w:val="22"/>
                <w:szCs w:val="22"/>
                <w:lang w:val="de-DE" w:eastAsia="ko-KR"/>
              </w:rPr>
            </w:pPr>
            <w:r>
              <w:rPr>
                <w:rFonts w:hint="eastAsia" w:eastAsia="Malgun Gothic"/>
                <w:sz w:val="22"/>
                <w:szCs w:val="22"/>
                <w:lang w:val="de-DE" w:eastAsia="ko-KR"/>
              </w:rPr>
              <w:t>Yes</w:t>
            </w:r>
          </w:p>
        </w:tc>
        <w:tc>
          <w:tcPr>
            <w:tcW w:w="6378" w:type="dxa"/>
          </w:tcPr>
          <w:p>
            <w:pPr>
              <w:spacing w:after="0"/>
              <w:jc w:val="both"/>
              <w:rPr>
                <w:rFonts w:eastAsiaTheme="minorEastAsia"/>
                <w:sz w:val="22"/>
                <w:szCs w:val="22"/>
                <w:lang w:val="de-DE" w:eastAsia="zh-CN"/>
              </w:rPr>
            </w:pPr>
          </w:p>
        </w:tc>
      </w:tr>
    </w:tbl>
    <w:p>
      <w:pPr>
        <w:pStyle w:val="113"/>
        <w:ind w:left="0" w:firstLine="0"/>
        <w:rPr>
          <w:b/>
        </w:rPr>
      </w:pPr>
    </w:p>
    <w:p>
      <w:pPr>
        <w:rPr>
          <w:b/>
        </w:rPr>
      </w:pPr>
    </w:p>
    <w:p>
      <w:pPr>
        <w:pStyle w:val="4"/>
      </w:pPr>
      <w:r>
        <w:t>2.1.4</w:t>
      </w:r>
      <w:r>
        <w:tab/>
      </w:r>
      <w:r>
        <w:t>NR-U</w:t>
      </w:r>
    </w:p>
    <w:p>
      <w:pPr>
        <w:pStyle w:val="163"/>
      </w:pPr>
      <w:r>
        <w:fldChar w:fldCharType="begin"/>
      </w:r>
      <w:r>
        <w:instrText xml:space="preserve"> HYPERLINK "http://www.3gpp.org/ftp/tsg_ran/WG2_RL2//TSGR2_115-e/Docs//R2-2107482.zip" </w:instrText>
      </w:r>
      <w:r>
        <w:fldChar w:fldCharType="separate"/>
      </w:r>
      <w:r>
        <w:rPr>
          <w:rStyle w:val="58"/>
        </w:rPr>
        <w:t>R2-2107482</w:t>
      </w:r>
      <w:r>
        <w:rPr>
          <w:rStyle w:val="58"/>
        </w:rPr>
        <w:fldChar w:fldCharType="end"/>
      </w:r>
      <w:r>
        <w:tab/>
      </w:r>
      <w:r>
        <w:t>Correction on description of lbt-FailureInstanceMaxCount in LBT-FailureRecoveryConfig</w:t>
      </w:r>
      <w:r>
        <w:tab/>
      </w:r>
      <w:r>
        <w:t>ZTE Corporation, Sanechips</w:t>
      </w:r>
      <w:r>
        <w:tab/>
      </w:r>
      <w:r>
        <w:t>CR</w:t>
      </w:r>
      <w:r>
        <w:tab/>
      </w:r>
      <w:r>
        <w:t>Rel-16</w:t>
      </w:r>
      <w:r>
        <w:tab/>
      </w:r>
      <w:r>
        <w:t>38.331</w:t>
      </w:r>
      <w:r>
        <w:tab/>
      </w:r>
      <w:r>
        <w:t>16.5.0</w:t>
      </w:r>
      <w:r>
        <w:tab/>
      </w:r>
      <w:r>
        <w:t>2727</w:t>
      </w:r>
      <w:r>
        <w:tab/>
      </w:r>
      <w:r>
        <w:t>-</w:t>
      </w:r>
      <w:r>
        <w:tab/>
      </w:r>
      <w:r>
        <w:t>F</w:t>
      </w:r>
      <w:r>
        <w:tab/>
      </w:r>
      <w:r>
        <w:t>NR_unlic-Core</w:t>
      </w:r>
    </w:p>
    <w:p>
      <w:pPr>
        <w:pStyle w:val="162"/>
        <w:ind w:left="0" w:firstLine="0"/>
      </w:pPr>
    </w:p>
    <w:p>
      <w:pPr>
        <w:rPr>
          <w:b/>
          <w:bCs/>
          <w:lang w:eastAsia="en-GB"/>
        </w:rPr>
      </w:pPr>
      <w:r>
        <w:rPr>
          <w:b/>
          <w:bCs/>
          <w:lang w:eastAsia="en-GB"/>
        </w:rPr>
        <w:t>Q5. Companies are asked to provide their view on the need of the draft CR, and comments on the changes in the draft CR.</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CR needed?</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w:t>
            </w:r>
          </w:p>
        </w:tc>
        <w:tc>
          <w:tcPr>
            <w:tcW w:w="6378" w:type="dxa"/>
          </w:tcPr>
          <w:p>
            <w:pPr>
              <w:spacing w:after="0"/>
              <w:jc w:val="both"/>
              <w:rPr>
                <w:rFonts w:eastAsia="Calibri"/>
                <w:sz w:val="22"/>
                <w:szCs w:val="22"/>
                <w:lang w:val="de-DE"/>
              </w:rPr>
            </w:pPr>
            <w:r>
              <w:rPr>
                <w:rFonts w:eastAsia="Calibri"/>
                <w:sz w:val="22"/>
                <w:szCs w:val="22"/>
                <w:lang w:val="de-DE"/>
              </w:rPr>
              <w:t>We understand this aligns with the MAC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Apple</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w:t>
            </w:r>
          </w:p>
        </w:tc>
        <w:tc>
          <w:tcPr>
            <w:tcW w:w="6378" w:type="dxa"/>
          </w:tcPr>
          <w:p>
            <w:pPr>
              <w:spacing w:after="0"/>
              <w:jc w:val="both"/>
              <w:rPr>
                <w:rFonts w:eastAsia="Calibri"/>
                <w:sz w:val="22"/>
                <w:szCs w:val="22"/>
                <w:lang w:val="de-DE"/>
              </w:rPr>
            </w:pPr>
            <w:r>
              <w:rPr>
                <w:rFonts w:eastAsia="Calibri"/>
                <w:sz w:val="22"/>
                <w:szCs w:val="22"/>
                <w:lang w:val="de-DE"/>
              </w:rPr>
              <w:t>We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Malgun Gothic"/>
                <w:sz w:val="22"/>
                <w:szCs w:val="22"/>
                <w:lang w:val="de-DE" w:eastAsia="ko-KR"/>
              </w:rPr>
              <w:t>Samsung</w:t>
            </w:r>
          </w:p>
        </w:tc>
        <w:tc>
          <w:tcPr>
            <w:tcW w:w="1500" w:type="dxa"/>
          </w:tcPr>
          <w:p>
            <w:pPr>
              <w:spacing w:after="0"/>
              <w:jc w:val="both"/>
              <w:rPr>
                <w:rFonts w:eastAsiaTheme="minorEastAsia"/>
                <w:sz w:val="22"/>
                <w:szCs w:val="22"/>
                <w:lang w:val="de-DE" w:eastAsia="zh-CN"/>
              </w:rPr>
            </w:pPr>
            <w:r>
              <w:rPr>
                <w:rFonts w:hint="eastAsia" w:eastAsia="Malgun Gothic"/>
                <w:sz w:val="22"/>
                <w:szCs w:val="22"/>
                <w:lang w:val="de-DE" w:eastAsia="ko-KR"/>
              </w:rPr>
              <w:t>Yes</w:t>
            </w:r>
          </w:p>
        </w:tc>
        <w:tc>
          <w:tcPr>
            <w:tcW w:w="6378" w:type="dxa"/>
          </w:tcPr>
          <w:p>
            <w:pPr>
              <w:spacing w:after="0"/>
              <w:jc w:val="both"/>
              <w:rPr>
                <w:rFonts w:eastAsia="Calibri"/>
                <w:sz w:val="22"/>
                <w:szCs w:val="22"/>
                <w:lang w:val="de-DE"/>
              </w:rPr>
            </w:pPr>
            <w:r>
              <w:rPr>
                <w:rFonts w:eastAsia="Calibri"/>
                <w:sz w:val="22"/>
                <w:szCs w:val="22"/>
                <w:lang w:val="de-DE"/>
              </w:rPr>
              <w:t>Fine with the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M</w:t>
            </w:r>
            <w:r>
              <w:rPr>
                <w:rFonts w:eastAsiaTheme="minorEastAsia"/>
                <w:sz w:val="22"/>
                <w:szCs w:val="22"/>
                <w:lang w:val="de-DE" w:eastAsia="zh-CN"/>
              </w:rPr>
              <w:t>aybe not</w:t>
            </w:r>
          </w:p>
        </w:tc>
        <w:tc>
          <w:tcPr>
            <w:tcW w:w="6378" w:type="dxa"/>
          </w:tcPr>
          <w:p>
            <w:pPr>
              <w:spacing w:after="0"/>
              <w:jc w:val="both"/>
              <w:rPr>
                <w:rFonts w:eastAsiaTheme="minorEastAsia"/>
                <w:sz w:val="22"/>
                <w:szCs w:val="22"/>
                <w:lang w:val="de-DE" w:eastAsia="zh-CN"/>
              </w:rPr>
            </w:pPr>
            <w:r>
              <w:rPr>
                <w:rFonts w:hint="eastAsia" w:eastAsiaTheme="minorEastAsia"/>
                <w:sz w:val="22"/>
                <w:szCs w:val="22"/>
                <w:lang w:val="de-DE" w:eastAsia="zh-CN"/>
              </w:rPr>
              <w:t>T</w:t>
            </w:r>
            <w:r>
              <w:rPr>
                <w:rFonts w:eastAsiaTheme="minorEastAsia"/>
                <w:sz w:val="22"/>
                <w:szCs w:val="22"/>
                <w:lang w:val="de-DE" w:eastAsia="zh-CN"/>
              </w:rPr>
              <w:t xml:space="preserve">he coversheet contains an error that </w:t>
            </w:r>
            <w:r>
              <w:rPr>
                <w:rFonts w:hint="eastAsia" w:eastAsiaTheme="minorEastAsia"/>
                <w:sz w:val="22"/>
                <w:szCs w:val="22"/>
                <w:lang w:val="de-DE" w:eastAsia="zh-CN"/>
              </w:rPr>
              <w:t>“</w:t>
            </w:r>
            <w:r>
              <w:rPr>
                <w:rFonts w:eastAsia="Calibri"/>
                <w:sz w:val="22"/>
                <w:szCs w:val="22"/>
                <w:lang w:val="de-DE"/>
              </w:rPr>
              <w:t>Related RAN1 LS in R2-2106911</w:t>
            </w:r>
            <w:r>
              <w:rPr>
                <w:rFonts w:hint="eastAsia" w:eastAsiaTheme="minorEastAsia"/>
                <w:sz w:val="22"/>
                <w:szCs w:val="22"/>
                <w:lang w:val="de-DE" w:eastAsia="zh-CN"/>
              </w:rPr>
              <w:t>”</w:t>
            </w:r>
            <w:r>
              <w:rPr>
                <w:rFonts w:eastAsiaTheme="minorEastAsia"/>
                <w:sz w:val="22"/>
                <w:szCs w:val="22"/>
                <w:lang w:val="de-DE" w:eastAsia="zh-CN"/>
              </w:rPr>
              <w:t>is not true.</w:t>
            </w:r>
          </w:p>
          <w:p>
            <w:pPr>
              <w:spacing w:after="0"/>
              <w:jc w:val="both"/>
              <w:rPr>
                <w:rFonts w:eastAsiaTheme="minorEastAsia"/>
                <w:sz w:val="22"/>
                <w:szCs w:val="22"/>
                <w:lang w:val="de-DE" w:eastAsia="zh-CN"/>
              </w:rPr>
            </w:pPr>
            <w:r>
              <w:rPr>
                <w:rFonts w:hint="eastAsia" w:eastAsiaTheme="minorEastAsia"/>
                <w:sz w:val="22"/>
                <w:szCs w:val="22"/>
                <w:lang w:val="de-DE" w:eastAsia="zh-CN"/>
              </w:rPr>
              <w:t>T</w:t>
            </w:r>
            <w:r>
              <w:rPr>
                <w:rFonts w:eastAsiaTheme="minorEastAsia"/>
                <w:sz w:val="22"/>
                <w:szCs w:val="22"/>
                <w:lang w:val="de-DE" w:eastAsia="zh-CN"/>
              </w:rPr>
              <w:t xml:space="preserve">he field description already links to TS 38.321 for more details, so we can live without this text enhancement, as we see no room for ambiguity.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en-GB" w:eastAsia="zh-CN"/>
              </w:rPr>
              <w:t>v</w:t>
            </w:r>
            <w:r>
              <w:rPr>
                <w:rFonts w:eastAsiaTheme="minorEastAsia"/>
                <w:sz w:val="22"/>
                <w:szCs w:val="22"/>
                <w:lang w:val="en-GB" w:eastAsia="zh-CN"/>
              </w:rPr>
              <w:t>ivo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Nokia</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Not critical</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Editorial. There is not really room for misunderstanding. This could be just part of editorial rapporetuer CR as well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QCOM</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 strong view</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More like an editorial change, MAC spec is already clearly stated how the procedure should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Not critical</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Good to be consistent with MAC spec, but agree with Nokia that this could be merged with Rapp CR.</w:t>
            </w:r>
          </w:p>
          <w:p>
            <w:pPr>
              <w:spacing w:after="0"/>
              <w:jc w:val="both"/>
              <w:rPr>
                <w:rFonts w:eastAsiaTheme="minorEastAsia"/>
                <w:sz w:val="22"/>
                <w:szCs w:val="22"/>
                <w:lang w:val="de-DE" w:eastAsia="zh-CN"/>
              </w:rPr>
            </w:pPr>
            <w:r>
              <w:rPr>
                <w:rFonts w:eastAsiaTheme="minorEastAsia"/>
                <w:sz w:val="22"/>
                <w:szCs w:val="22"/>
                <w:lang w:val="de-DE" w:eastAsia="zh-CN"/>
              </w:rPr>
              <w:t>We should write “lower layers” instead of “the physical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Yu Mincho"/>
                <w:sz w:val="22"/>
                <w:szCs w:val="22"/>
                <w:lang w:val="de-DE"/>
              </w:rPr>
              <w:t>N</w:t>
            </w:r>
            <w:r>
              <w:rPr>
                <w:rFonts w:eastAsia="Yu Mincho"/>
                <w:sz w:val="22"/>
                <w:szCs w:val="22"/>
                <w:lang w:val="de-DE"/>
              </w:rPr>
              <w:t>EC</w:t>
            </w:r>
          </w:p>
        </w:tc>
        <w:tc>
          <w:tcPr>
            <w:tcW w:w="1500" w:type="dxa"/>
          </w:tcPr>
          <w:p>
            <w:pPr>
              <w:spacing w:after="0"/>
              <w:jc w:val="both"/>
              <w:rPr>
                <w:rFonts w:eastAsiaTheme="minorEastAsia"/>
                <w:sz w:val="22"/>
                <w:szCs w:val="22"/>
                <w:lang w:val="de-DE" w:eastAsia="zh-CN"/>
              </w:rPr>
            </w:pPr>
            <w:r>
              <w:rPr>
                <w:rFonts w:hint="eastAsia" w:eastAsia="Yu Mincho"/>
                <w:sz w:val="22"/>
                <w:szCs w:val="22"/>
                <w:lang w:val="de-DE"/>
              </w:rPr>
              <w:t>Y</w:t>
            </w:r>
            <w:r>
              <w:rPr>
                <w:rFonts w:eastAsia="Yu Mincho"/>
                <w:sz w:val="22"/>
                <w:szCs w:val="22"/>
                <w:lang w:val="de-DE"/>
              </w:rPr>
              <w:t>es but</w:t>
            </w:r>
          </w:p>
        </w:tc>
        <w:tc>
          <w:tcPr>
            <w:tcW w:w="6378" w:type="dxa"/>
          </w:tcPr>
          <w:p>
            <w:pPr>
              <w:spacing w:after="0"/>
              <w:jc w:val="both"/>
              <w:rPr>
                <w:rFonts w:eastAsia="Yu Mincho"/>
                <w:sz w:val="22"/>
                <w:szCs w:val="22"/>
                <w:lang w:val="de-DE"/>
              </w:rPr>
            </w:pPr>
            <w:r>
              <w:rPr>
                <w:rFonts w:hint="eastAsia" w:eastAsia="Yu Mincho"/>
                <w:sz w:val="22"/>
                <w:szCs w:val="22"/>
                <w:lang w:val="de-DE"/>
              </w:rPr>
              <w:t>m</w:t>
            </w:r>
            <w:r>
              <w:rPr>
                <w:rFonts w:eastAsia="Yu Mincho"/>
                <w:sz w:val="22"/>
                <w:szCs w:val="22"/>
                <w:lang w:val="de-DE"/>
              </w:rPr>
              <w:t>erge with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eastAsiaTheme="minorEastAsia"/>
                <w:sz w:val="22"/>
                <w:szCs w:val="22"/>
                <w:lang w:val="de-DE" w:eastAsia="zh-CN"/>
              </w:rPr>
              <w:t>Intel</w:t>
            </w:r>
          </w:p>
        </w:tc>
        <w:tc>
          <w:tcPr>
            <w:tcW w:w="1500" w:type="dxa"/>
          </w:tcPr>
          <w:p>
            <w:pPr>
              <w:spacing w:after="0"/>
              <w:jc w:val="both"/>
              <w:rPr>
                <w:rFonts w:eastAsia="Yu Mincho"/>
                <w:sz w:val="22"/>
                <w:szCs w:val="22"/>
                <w:lang w:val="de-DE"/>
              </w:rPr>
            </w:pPr>
            <w:r>
              <w:rPr>
                <w:rFonts w:eastAsiaTheme="minorEastAsia"/>
                <w:sz w:val="22"/>
                <w:szCs w:val="22"/>
                <w:lang w:val="de-DE" w:eastAsia="zh-CN"/>
              </w:rPr>
              <w:t>May be</w:t>
            </w:r>
          </w:p>
        </w:tc>
        <w:tc>
          <w:tcPr>
            <w:tcW w:w="6378" w:type="dxa"/>
          </w:tcPr>
          <w:p>
            <w:pPr>
              <w:spacing w:after="0"/>
              <w:jc w:val="both"/>
              <w:rPr>
                <w:rFonts w:eastAsia="Yu Mincho"/>
                <w:sz w:val="22"/>
                <w:szCs w:val="22"/>
                <w:lang w:val="de-DE"/>
              </w:rPr>
            </w:pPr>
            <w:r>
              <w:rPr>
                <w:rFonts w:eastAsiaTheme="minorEastAsia"/>
                <w:sz w:val="22"/>
                <w:szCs w:val="22"/>
                <w:lang w:val="de-DE" w:eastAsia="zh-CN"/>
              </w:rPr>
              <w:t>We are OK to do this but don’t see this as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 xml:space="preserve">And we agree that </w:t>
            </w:r>
            <w:r>
              <w:rPr>
                <w:rFonts w:hint="eastAsia" w:eastAsiaTheme="minorEastAsia"/>
                <w:sz w:val="22"/>
                <w:szCs w:val="22"/>
                <w:lang w:val="de-DE" w:eastAsia="zh-CN"/>
              </w:rPr>
              <w:t>“</w:t>
            </w:r>
            <w:r>
              <w:rPr>
                <w:rFonts w:eastAsia="Calibri"/>
                <w:sz w:val="22"/>
                <w:szCs w:val="22"/>
                <w:lang w:val="de-DE"/>
              </w:rPr>
              <w:t>Related RAN1 LS in R2-2106911</w:t>
            </w:r>
            <w:r>
              <w:rPr>
                <w:rFonts w:hint="eastAsia" w:eastAsiaTheme="minorEastAsia"/>
                <w:sz w:val="22"/>
                <w:szCs w:val="22"/>
                <w:lang w:val="de-DE" w:eastAsia="zh-CN"/>
              </w:rPr>
              <w:t>”</w:t>
            </w:r>
            <w:r>
              <w:rPr>
                <w:rFonts w:eastAsiaTheme="minorEastAsia"/>
                <w:sz w:val="22"/>
                <w:szCs w:val="22"/>
                <w:lang w:val="de-DE" w:eastAsia="zh-CN"/>
              </w:rPr>
              <w:t>is not true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CATT</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Yes</w:t>
            </w:r>
          </w:p>
        </w:tc>
        <w:tc>
          <w:tcPr>
            <w:tcW w:w="6378" w:type="dxa"/>
          </w:tcPr>
          <w:p>
            <w:pPr>
              <w:spacing w:after="0"/>
              <w:jc w:val="both"/>
              <w:rPr>
                <w:rFonts w:eastAsiaTheme="minorEastAsia"/>
                <w:sz w:val="22"/>
                <w:szCs w:val="22"/>
                <w:lang w:val="de-DE" w:eastAsia="zh-CN"/>
              </w:rPr>
            </w:pPr>
            <w:r>
              <w:rPr>
                <w:rFonts w:hint="eastAsia" w:eastAsiaTheme="minorEastAsia"/>
                <w:sz w:val="22"/>
                <w:szCs w:val="22"/>
                <w:lang w:val="de-DE" w:eastAsia="zh-CN"/>
              </w:rPr>
              <w:t>This is reasonable.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hint="eastAsia" w:eastAsia="Malgun Gothic"/>
                <w:sz w:val="22"/>
                <w:szCs w:val="22"/>
                <w:lang w:val="de-DE" w:eastAsia="ko-KR"/>
              </w:rPr>
              <w:t>LG</w:t>
            </w:r>
          </w:p>
        </w:tc>
        <w:tc>
          <w:tcPr>
            <w:tcW w:w="1500" w:type="dxa"/>
          </w:tcPr>
          <w:p>
            <w:pPr>
              <w:spacing w:after="0"/>
              <w:jc w:val="both"/>
              <w:rPr>
                <w:rFonts w:eastAsia="Malgun Gothic"/>
                <w:sz w:val="22"/>
                <w:szCs w:val="22"/>
                <w:lang w:val="de-DE" w:eastAsia="ko-KR"/>
              </w:rPr>
            </w:pPr>
            <w:r>
              <w:rPr>
                <w:rFonts w:hint="eastAsia" w:eastAsia="Malgun Gothic"/>
                <w:sz w:val="22"/>
                <w:szCs w:val="22"/>
                <w:lang w:val="de-DE" w:eastAsia="ko-KR"/>
              </w:rPr>
              <w:t>Not critical</w:t>
            </w:r>
          </w:p>
        </w:tc>
        <w:tc>
          <w:tcPr>
            <w:tcW w:w="6378" w:type="dxa"/>
          </w:tcPr>
          <w:p>
            <w:pPr>
              <w:spacing w:after="0"/>
              <w:jc w:val="both"/>
              <w:rPr>
                <w:rFonts w:eastAsia="Malgun Gothic"/>
                <w:sz w:val="22"/>
                <w:szCs w:val="22"/>
                <w:lang w:val="de-DE" w:eastAsia="ko-KR"/>
              </w:rPr>
            </w:pPr>
            <w:r>
              <w:rPr>
                <w:rFonts w:hint="eastAsia" w:eastAsia="Malgun Gothic"/>
                <w:sz w:val="22"/>
                <w:szCs w:val="22"/>
                <w:lang w:val="de-DE" w:eastAsia="ko-KR"/>
              </w:rPr>
              <w:t xml:space="preserve">Can be merged in rapporteur </w:t>
            </w:r>
            <w:r>
              <w:rPr>
                <w:rFonts w:eastAsia="Malgun Gothic"/>
                <w:sz w:val="22"/>
                <w:szCs w:val="22"/>
                <w:lang w:val="de-DE" w:eastAsia="ko-KR"/>
              </w:rPr>
              <w:t>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hint="default" w:eastAsia="宋体"/>
                <w:sz w:val="22"/>
                <w:szCs w:val="22"/>
                <w:lang w:val="en-US" w:eastAsia="zh-CN"/>
              </w:rPr>
            </w:pPr>
            <w:r>
              <w:rPr>
                <w:rFonts w:hint="eastAsia"/>
                <w:sz w:val="22"/>
                <w:szCs w:val="22"/>
                <w:lang w:val="en-US" w:eastAsia="zh-CN"/>
              </w:rPr>
              <w:t>ZTE</w:t>
            </w:r>
          </w:p>
        </w:tc>
        <w:tc>
          <w:tcPr>
            <w:tcW w:w="1500" w:type="dxa"/>
          </w:tcPr>
          <w:p>
            <w:pPr>
              <w:spacing w:after="0"/>
              <w:jc w:val="both"/>
              <w:rPr>
                <w:rFonts w:hint="default" w:eastAsia="宋体"/>
                <w:sz w:val="22"/>
                <w:szCs w:val="22"/>
                <w:lang w:val="en-US" w:eastAsia="zh-CN"/>
              </w:rPr>
            </w:pPr>
            <w:r>
              <w:rPr>
                <w:rFonts w:hint="eastAsia"/>
                <w:sz w:val="22"/>
                <w:szCs w:val="22"/>
                <w:lang w:val="en-US" w:eastAsia="zh-CN"/>
              </w:rPr>
              <w:t>Yes</w:t>
            </w:r>
          </w:p>
        </w:tc>
        <w:tc>
          <w:tcPr>
            <w:tcW w:w="6378" w:type="dxa"/>
          </w:tcPr>
          <w:p>
            <w:pPr>
              <w:spacing w:after="0"/>
              <w:jc w:val="both"/>
              <w:rPr>
                <w:rFonts w:hint="default" w:eastAsia="宋体"/>
                <w:sz w:val="22"/>
                <w:szCs w:val="22"/>
                <w:lang w:val="en-US" w:eastAsia="zh-CN"/>
              </w:rPr>
            </w:pPr>
            <w:r>
              <w:rPr>
                <w:rFonts w:hint="eastAsia"/>
                <w:sz w:val="22"/>
                <w:szCs w:val="22"/>
                <w:lang w:val="en-US" w:eastAsia="zh-CN"/>
              </w:rPr>
              <w:t>Proponent</w:t>
            </w:r>
          </w:p>
        </w:tc>
      </w:tr>
    </w:tbl>
    <w:p>
      <w:pPr>
        <w:pStyle w:val="113"/>
        <w:ind w:left="0" w:firstLine="0"/>
        <w:rPr>
          <w:b/>
          <w:lang w:val="en-GB"/>
        </w:rPr>
      </w:pPr>
    </w:p>
    <w:p>
      <w:pPr>
        <w:pStyle w:val="4"/>
      </w:pPr>
      <w:r>
        <w:t>2.1.5</w:t>
      </w:r>
      <w:r>
        <w:tab/>
      </w:r>
      <w:r>
        <w:t>2-step RACH</w:t>
      </w:r>
    </w:p>
    <w:p>
      <w:pPr>
        <w:pStyle w:val="163"/>
      </w:pPr>
      <w:r>
        <w:fldChar w:fldCharType="begin"/>
      </w:r>
      <w:r>
        <w:instrText xml:space="preserve"> HYPERLINK "http://www.3gpp.org/ftp/tsg_ran/WG2_RL2//TSGR2_115-e/Docs//R2-2106911.zip" </w:instrText>
      </w:r>
      <w:r>
        <w:fldChar w:fldCharType="separate"/>
      </w:r>
      <w:r>
        <w:rPr>
          <w:rStyle w:val="58"/>
        </w:rPr>
        <w:t>R2-2106911</w:t>
      </w:r>
      <w:r>
        <w:rPr>
          <w:rStyle w:val="58"/>
        </w:rPr>
        <w:fldChar w:fldCharType="end"/>
      </w:r>
      <w:r>
        <w:tab/>
      </w:r>
      <w:r>
        <w:t>LS on the description of RRC parameter p0-AlphaSets (</w:t>
      </w:r>
      <w:r>
        <w:fldChar w:fldCharType="begin"/>
      </w:r>
      <w:r>
        <w:instrText xml:space="preserve"> HYPERLINK "http://www.3gpp.org/ftp/tsg_ran/WG1_RL1//TSGR1_105-e/Docs//R1-2106168.zip" </w:instrText>
      </w:r>
      <w:r>
        <w:fldChar w:fldCharType="separate"/>
      </w:r>
      <w:r>
        <w:rPr>
          <w:rStyle w:val="58"/>
        </w:rPr>
        <w:t>R1-2106168</w:t>
      </w:r>
      <w:r>
        <w:rPr>
          <w:rStyle w:val="58"/>
        </w:rPr>
        <w:fldChar w:fldCharType="end"/>
      </w:r>
      <w:r>
        <w:t>; contact: ZTE)</w:t>
      </w:r>
      <w:r>
        <w:tab/>
      </w:r>
      <w:r>
        <w:t>RAN1</w:t>
      </w:r>
      <w:r>
        <w:tab/>
      </w:r>
      <w:r>
        <w:t>LS in</w:t>
      </w:r>
      <w:r>
        <w:tab/>
      </w:r>
      <w:r>
        <w:t>Rel-16</w:t>
      </w:r>
      <w:r>
        <w:tab/>
      </w:r>
      <w:r>
        <w:t>NR_2step_RACH-Core</w:t>
      </w:r>
      <w:r>
        <w:tab/>
      </w:r>
      <w:r>
        <w:t>To:RAN2</w:t>
      </w:r>
    </w:p>
    <w:p>
      <w:pPr>
        <w:pStyle w:val="163"/>
      </w:pPr>
      <w:r>
        <w:fldChar w:fldCharType="begin"/>
      </w:r>
      <w:r>
        <w:instrText xml:space="preserve"> HYPERLINK "http://www.3gpp.org/ftp/tsg_ran/WG2_RL2//TSGR2_115-e/Docs//R2-2107485.zip" </w:instrText>
      </w:r>
      <w:r>
        <w:fldChar w:fldCharType="separate"/>
      </w:r>
      <w:r>
        <w:rPr>
          <w:rStyle w:val="58"/>
        </w:rPr>
        <w:t>R2-2107485</w:t>
      </w:r>
      <w:r>
        <w:rPr>
          <w:rStyle w:val="58"/>
        </w:rPr>
        <w:fldChar w:fldCharType="end"/>
      </w:r>
      <w:r>
        <w:tab/>
      </w:r>
      <w:r>
        <w:t>Correction to description of po-AlfphaSets</w:t>
      </w:r>
      <w:r>
        <w:tab/>
      </w:r>
      <w:r>
        <w:t>ZTE Corporation, Sanechips</w:t>
      </w:r>
      <w:r>
        <w:tab/>
      </w:r>
      <w:r>
        <w:t>CR</w:t>
      </w:r>
      <w:r>
        <w:tab/>
      </w:r>
      <w:r>
        <w:t>Rel-16</w:t>
      </w:r>
      <w:r>
        <w:tab/>
      </w:r>
      <w:r>
        <w:t>38.331</w:t>
      </w:r>
      <w:r>
        <w:tab/>
      </w:r>
      <w:r>
        <w:t>16.5.0</w:t>
      </w:r>
      <w:r>
        <w:tab/>
      </w:r>
      <w:r>
        <w:t>2728</w:t>
      </w:r>
      <w:r>
        <w:tab/>
      </w:r>
      <w:r>
        <w:t>-</w:t>
      </w:r>
      <w:r>
        <w:tab/>
      </w:r>
      <w:r>
        <w:t>F</w:t>
      </w:r>
      <w:r>
        <w:tab/>
      </w:r>
      <w:r>
        <w:t>NR_2step_RACH-Core</w:t>
      </w:r>
    </w:p>
    <w:p>
      <w:pPr>
        <w:pStyle w:val="113"/>
        <w:rPr>
          <w:lang w:val="en-GB" w:eastAsia="en-GB"/>
        </w:rPr>
      </w:pPr>
    </w:p>
    <w:p>
      <w:pPr>
        <w:rPr>
          <w:b/>
          <w:bCs/>
          <w:lang w:eastAsia="en-GB"/>
        </w:rPr>
      </w:pPr>
      <w:r>
        <w:rPr>
          <w:b/>
          <w:bCs/>
          <w:lang w:eastAsia="en-GB"/>
        </w:rPr>
        <w:t>Q6. Companies are asked to provide comments/questions on the RAN1 LS, their view on the need of the draft CR, and comments on the changes in the draft CR.</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CR needed?</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Lenovo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We are fine to follow RAN1 recommendation and the CR looks ok. However, on the cover page the typos in the title (p</w:t>
            </w:r>
            <w:r>
              <w:rPr>
                <w:rFonts w:eastAsia="Calibri"/>
                <w:color w:val="FF0000"/>
                <w:sz w:val="22"/>
                <w:szCs w:val="22"/>
                <w:lang w:val="de-DE"/>
              </w:rPr>
              <w:t>o</w:t>
            </w:r>
            <w:r>
              <w:rPr>
                <w:rFonts w:eastAsia="Calibri"/>
                <w:sz w:val="22"/>
                <w:szCs w:val="22"/>
                <w:lang w:val="de-DE"/>
              </w:rPr>
              <w:t>-Al</w:t>
            </w:r>
            <w:r>
              <w:rPr>
                <w:rFonts w:eastAsia="Calibri"/>
                <w:color w:val="FF0000"/>
                <w:sz w:val="22"/>
                <w:szCs w:val="22"/>
                <w:lang w:val="de-DE"/>
              </w:rPr>
              <w:t>f</w:t>
            </w:r>
            <w:r>
              <w:rPr>
                <w:rFonts w:eastAsia="Calibri"/>
                <w:sz w:val="22"/>
                <w:szCs w:val="22"/>
                <w:lang w:val="de-DE"/>
              </w:rPr>
              <w:t>phaSets) should be fixed to “p0-AlphaSets”.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Apple</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Ok as per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Malgun Gothic"/>
                <w:sz w:val="22"/>
                <w:szCs w:val="22"/>
                <w:lang w:val="de-DE" w:eastAsia="ko-KR"/>
              </w:rPr>
              <w:t>Samsung</w:t>
            </w:r>
          </w:p>
        </w:tc>
        <w:tc>
          <w:tcPr>
            <w:tcW w:w="1500" w:type="dxa"/>
          </w:tcPr>
          <w:p>
            <w:pPr>
              <w:spacing w:after="0"/>
              <w:jc w:val="both"/>
              <w:rPr>
                <w:rFonts w:eastAsiaTheme="minorEastAsia"/>
                <w:sz w:val="22"/>
                <w:szCs w:val="22"/>
                <w:lang w:val="de-DE" w:eastAsia="zh-CN"/>
              </w:rPr>
            </w:pPr>
            <w:r>
              <w:rPr>
                <w:rFonts w:hint="eastAsia" w:eastAsia="Malgun Gothic"/>
                <w:sz w:val="22"/>
                <w:szCs w:val="22"/>
                <w:lang w:val="de-DE" w:eastAsia="ko-KR"/>
              </w:rPr>
              <w:t>Yes</w:t>
            </w:r>
          </w:p>
        </w:tc>
        <w:tc>
          <w:tcPr>
            <w:tcW w:w="6378" w:type="dxa"/>
          </w:tcPr>
          <w:p>
            <w:pPr>
              <w:spacing w:after="0"/>
              <w:jc w:val="both"/>
              <w:rPr>
                <w:rFonts w:eastAsia="Calibri"/>
                <w:sz w:val="22"/>
                <w:szCs w:val="22"/>
                <w:lang w:val="de-DE"/>
              </w:rPr>
            </w:pPr>
            <w:r>
              <w:rPr>
                <w:rFonts w:eastAsia="Calibri"/>
                <w:sz w:val="22"/>
                <w:szCs w:val="22"/>
                <w:lang w:val="de-DE"/>
              </w:rPr>
              <w:t>This CR is in line with RAN1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en-GB" w:eastAsia="zh-CN"/>
              </w:rPr>
              <w:t>v</w:t>
            </w:r>
            <w:r>
              <w:rPr>
                <w:rFonts w:eastAsiaTheme="minorEastAsia"/>
                <w:sz w:val="22"/>
                <w:szCs w:val="22"/>
                <w:lang w:val="en-GB" w:eastAsia="zh-CN"/>
              </w:rPr>
              <w:t>ivo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 xml:space="preserve">Nokia </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aligns with RAN1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Yu Mincho"/>
                <w:sz w:val="22"/>
                <w:szCs w:val="22"/>
                <w:lang w:val="de-DE"/>
              </w:rPr>
              <w:t>N</w:t>
            </w:r>
            <w:r>
              <w:rPr>
                <w:rFonts w:eastAsia="Yu Mincho"/>
                <w:sz w:val="22"/>
                <w:szCs w:val="22"/>
                <w:lang w:val="de-DE"/>
              </w:rPr>
              <w:t>EC</w:t>
            </w:r>
          </w:p>
        </w:tc>
        <w:tc>
          <w:tcPr>
            <w:tcW w:w="1500" w:type="dxa"/>
          </w:tcPr>
          <w:p>
            <w:pPr>
              <w:spacing w:after="0"/>
              <w:jc w:val="both"/>
              <w:rPr>
                <w:rFonts w:eastAsiaTheme="minorEastAsia"/>
                <w:sz w:val="22"/>
                <w:szCs w:val="22"/>
                <w:lang w:val="de-DE" w:eastAsia="zh-CN"/>
              </w:rPr>
            </w:pPr>
            <w:r>
              <w:rPr>
                <w:rFonts w:hint="eastAsia" w:eastAsia="Yu Mincho"/>
                <w:sz w:val="22"/>
                <w:szCs w:val="22"/>
                <w:lang w:val="de-DE"/>
              </w:rPr>
              <w:t>Y</w:t>
            </w:r>
            <w:r>
              <w:rPr>
                <w:rFonts w:eastAsia="Yu Mincho"/>
                <w:sz w:val="22"/>
                <w:szCs w:val="22"/>
                <w:lang w:val="de-DE"/>
              </w:rPr>
              <w:t>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eastAsiaTheme="minorEastAsia"/>
                <w:sz w:val="22"/>
                <w:szCs w:val="22"/>
                <w:lang w:val="de-DE" w:eastAsia="zh-CN"/>
              </w:rPr>
              <w:t>Intel</w:t>
            </w:r>
          </w:p>
        </w:tc>
        <w:tc>
          <w:tcPr>
            <w:tcW w:w="1500" w:type="dxa"/>
          </w:tcPr>
          <w:p>
            <w:pPr>
              <w:spacing w:after="0"/>
              <w:jc w:val="both"/>
              <w:rPr>
                <w:rFonts w:eastAsia="Yu Mincho"/>
                <w:sz w:val="22"/>
                <w:szCs w:val="22"/>
                <w:lang w:val="de-DE"/>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CATT</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hint="eastAsia" w:eastAsia="Malgun Gothic"/>
                <w:sz w:val="22"/>
                <w:szCs w:val="22"/>
                <w:lang w:val="de-DE" w:eastAsia="ko-KR"/>
              </w:rPr>
              <w:t>LG</w:t>
            </w:r>
          </w:p>
        </w:tc>
        <w:tc>
          <w:tcPr>
            <w:tcW w:w="1500" w:type="dxa"/>
          </w:tcPr>
          <w:p>
            <w:pPr>
              <w:spacing w:after="0"/>
              <w:jc w:val="both"/>
              <w:rPr>
                <w:rFonts w:eastAsia="Malgun Gothic"/>
                <w:sz w:val="22"/>
                <w:szCs w:val="22"/>
                <w:lang w:val="de-DE" w:eastAsia="ko-KR"/>
              </w:rPr>
            </w:pPr>
            <w:r>
              <w:rPr>
                <w:rFonts w:eastAsia="Malgun Gothic"/>
                <w:sz w:val="22"/>
                <w:szCs w:val="22"/>
                <w:lang w:val="de-DE" w:eastAsia="ko-KR"/>
              </w:rPr>
              <w:t>Yes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hint="default" w:eastAsia="宋体"/>
                <w:sz w:val="22"/>
                <w:szCs w:val="22"/>
                <w:lang w:val="en-US" w:eastAsia="zh-CN"/>
              </w:rPr>
            </w:pPr>
            <w:r>
              <w:rPr>
                <w:rFonts w:hint="eastAsia"/>
                <w:sz w:val="22"/>
                <w:szCs w:val="22"/>
                <w:lang w:val="en-US" w:eastAsia="zh-CN"/>
              </w:rPr>
              <w:t>ZTE</w:t>
            </w:r>
          </w:p>
        </w:tc>
        <w:tc>
          <w:tcPr>
            <w:tcW w:w="1500" w:type="dxa"/>
          </w:tcPr>
          <w:p>
            <w:pPr>
              <w:spacing w:after="0"/>
              <w:jc w:val="both"/>
              <w:rPr>
                <w:rFonts w:hint="default" w:eastAsia="宋体"/>
                <w:sz w:val="22"/>
                <w:szCs w:val="22"/>
                <w:lang w:val="en-US" w:eastAsia="zh-CN"/>
              </w:rPr>
            </w:pPr>
            <w:r>
              <w:rPr>
                <w:rFonts w:hint="eastAsia"/>
                <w:sz w:val="22"/>
                <w:szCs w:val="22"/>
                <w:lang w:val="en-US" w:eastAsia="zh-CN"/>
              </w:rPr>
              <w:t>Yes</w:t>
            </w:r>
          </w:p>
        </w:tc>
        <w:tc>
          <w:tcPr>
            <w:tcW w:w="6378" w:type="dxa"/>
          </w:tcPr>
          <w:p>
            <w:pPr>
              <w:spacing w:after="0"/>
              <w:jc w:val="both"/>
              <w:rPr>
                <w:rFonts w:eastAsia="Calibri"/>
                <w:sz w:val="22"/>
                <w:szCs w:val="22"/>
                <w:lang w:val="de-DE"/>
              </w:rPr>
            </w:pPr>
          </w:p>
        </w:tc>
      </w:tr>
    </w:tbl>
    <w:p>
      <w:pPr>
        <w:pStyle w:val="113"/>
        <w:ind w:left="0" w:firstLine="0"/>
        <w:rPr>
          <w:b/>
        </w:rPr>
      </w:pPr>
    </w:p>
    <w:p>
      <w:pPr>
        <w:rPr>
          <w:b/>
          <w:bCs/>
          <w:lang w:eastAsia="en-GB"/>
        </w:rPr>
      </w:pPr>
    </w:p>
    <w:p>
      <w:pPr>
        <w:pStyle w:val="113"/>
        <w:rPr>
          <w:lang w:val="en-GB" w:eastAsia="en-GB"/>
        </w:rPr>
      </w:pPr>
    </w:p>
    <w:p>
      <w:pPr>
        <w:pStyle w:val="163"/>
      </w:pPr>
      <w:r>
        <w:fldChar w:fldCharType="begin"/>
      </w:r>
      <w:r>
        <w:instrText xml:space="preserve"> HYPERLINK "http://www.3gpp.org/ftp/tsg_ran/WG2_RL2//TSGR2_115-e/Docs//R2-2108268.zip" </w:instrText>
      </w:r>
      <w:r>
        <w:fldChar w:fldCharType="separate"/>
      </w:r>
      <w:r>
        <w:rPr>
          <w:rStyle w:val="58"/>
        </w:rPr>
        <w:t>R2-2108268</w:t>
      </w:r>
      <w:r>
        <w:rPr>
          <w:rStyle w:val="58"/>
        </w:rPr>
        <w:fldChar w:fldCharType="end"/>
      </w:r>
      <w:r>
        <w:tab/>
      </w:r>
      <w:r>
        <w:t>Correction to 38.331 on field description of the MsgA-TransMax</w:t>
      </w:r>
      <w:r>
        <w:tab/>
      </w:r>
      <w:r>
        <w:t>ZTE Corporation, vivo, LG Electronic, OPPO, Samsung</w:t>
      </w:r>
      <w:r>
        <w:tab/>
      </w:r>
      <w:r>
        <w:t>CR</w:t>
      </w:r>
      <w:r>
        <w:tab/>
      </w:r>
      <w:r>
        <w:t>Rel-16</w:t>
      </w:r>
      <w:r>
        <w:tab/>
      </w:r>
      <w:r>
        <w:t>38.331</w:t>
      </w:r>
      <w:r>
        <w:tab/>
      </w:r>
      <w:r>
        <w:t>16.5.0</w:t>
      </w:r>
      <w:r>
        <w:tab/>
      </w:r>
      <w:r>
        <w:t>2760</w:t>
      </w:r>
      <w:r>
        <w:tab/>
      </w:r>
      <w:r>
        <w:t>-</w:t>
      </w:r>
      <w:r>
        <w:tab/>
      </w:r>
      <w:r>
        <w:t>F</w:t>
      </w:r>
      <w:r>
        <w:tab/>
      </w:r>
      <w:r>
        <w:t>NR_2step_RACH-Core</w:t>
      </w:r>
    </w:p>
    <w:p>
      <w:pPr>
        <w:pStyle w:val="113"/>
        <w:rPr>
          <w:lang w:val="en-GB" w:eastAsia="en-GB"/>
        </w:rPr>
      </w:pPr>
    </w:p>
    <w:p>
      <w:pPr>
        <w:rPr>
          <w:b/>
          <w:bCs/>
          <w:lang w:eastAsia="en-GB"/>
        </w:rPr>
      </w:pPr>
      <w:r>
        <w:rPr>
          <w:b/>
          <w:bCs/>
          <w:lang w:eastAsia="en-GB"/>
        </w:rPr>
        <w:t>Q7. Companies are asked to provide their view on the need of the draft CR, and comments on the changes in the draft CR.</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CR needed?</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Apple</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Malgun Gothic"/>
                <w:sz w:val="22"/>
                <w:szCs w:val="22"/>
                <w:lang w:val="de-DE" w:eastAsia="ko-KR"/>
              </w:rPr>
              <w:t>Samsung</w:t>
            </w:r>
          </w:p>
        </w:tc>
        <w:tc>
          <w:tcPr>
            <w:tcW w:w="1500" w:type="dxa"/>
          </w:tcPr>
          <w:p>
            <w:pPr>
              <w:spacing w:after="0"/>
              <w:jc w:val="both"/>
              <w:rPr>
                <w:rFonts w:eastAsiaTheme="minorEastAsia"/>
                <w:sz w:val="22"/>
                <w:szCs w:val="22"/>
                <w:lang w:val="de-DE" w:eastAsia="zh-CN"/>
              </w:rPr>
            </w:pPr>
            <w:r>
              <w:rPr>
                <w:rFonts w:hint="eastAsia" w:eastAsia="Malgun Gothic"/>
                <w:sz w:val="22"/>
                <w:szCs w:val="22"/>
                <w:lang w:val="de-DE" w:eastAsia="ko-KR"/>
              </w:rPr>
              <w:t>Yes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Huawei, HiSilicon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Not needed</w:t>
            </w:r>
          </w:p>
        </w:tc>
        <w:tc>
          <w:tcPr>
            <w:tcW w:w="6378" w:type="dxa"/>
          </w:tcPr>
          <w:p>
            <w:pPr>
              <w:spacing w:after="0"/>
              <w:jc w:val="both"/>
              <w:rPr>
                <w:rFonts w:eastAsia="Calibri"/>
                <w:sz w:val="22"/>
                <w:szCs w:val="22"/>
                <w:lang w:val="de-DE"/>
              </w:rPr>
            </w:pPr>
            <w:r>
              <w:rPr>
                <w:rFonts w:eastAsia="Calibri"/>
                <w:sz w:val="22"/>
                <w:szCs w:val="22"/>
                <w:lang w:val="de-DE"/>
              </w:rPr>
              <w:t>The change in this CR changes nothing at the moment as the only place where msgA-TransMax is configured in RACH-ConfigDedicated is cfra-TwoStep, so there is no confusion. The change in MAC agreed last meeting was actually relevant as it changed the UE behaviour, but this one is not needed in our opinion.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p>
        </w:tc>
        <w:tc>
          <w:tcPr>
            <w:tcW w:w="1500" w:type="dxa"/>
          </w:tcPr>
          <w:p>
            <w:pPr>
              <w:spacing w:after="0"/>
              <w:jc w:val="both"/>
              <w:rPr>
                <w:rFonts w:eastAsiaTheme="minorEastAsia"/>
                <w:sz w:val="22"/>
                <w:szCs w:val="22"/>
                <w:lang w:val="de-DE" w:eastAsia="zh-CN"/>
              </w:rPr>
            </w:pP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Vivo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Theme="minorEastAsia"/>
                <w:sz w:val="22"/>
                <w:szCs w:val="22"/>
                <w:lang w:val="de-DE" w:eastAsia="zh-CN"/>
              </w:rPr>
            </w:pPr>
            <w:r>
              <w:rPr>
                <w:rFonts w:hint="eastAsia" w:eastAsiaTheme="minorEastAsia"/>
                <w:sz w:val="22"/>
                <w:szCs w:val="22"/>
                <w:lang w:val="de-DE" w:eastAsia="zh-CN"/>
              </w:rPr>
              <w:t>P</w:t>
            </w:r>
            <w:r>
              <w:rPr>
                <w:rFonts w:eastAsiaTheme="minorEastAsia"/>
                <w:sz w:val="22"/>
                <w:szCs w:val="22"/>
                <w:lang w:val="de-DE" w:eastAsia="zh-CN"/>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eastAsiaTheme="minorEastAsia"/>
                <w:sz w:val="22"/>
                <w:szCs w:val="22"/>
                <w:lang w:val="en-GB" w:eastAsia="zh-CN"/>
              </w:rPr>
              <w:t>Nokia</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OK</w:t>
            </w:r>
          </w:p>
        </w:tc>
        <w:tc>
          <w:tcPr>
            <w:tcW w:w="6378" w:type="dxa"/>
          </w:tcPr>
          <w:p>
            <w:pPr>
              <w:spacing w:after="0"/>
              <w:jc w:val="both"/>
              <w:rPr>
                <w:rFonts w:eastAsia="Calibri"/>
                <w:sz w:val="22"/>
                <w:szCs w:val="22"/>
                <w:lang w:val="de-DE"/>
              </w:rPr>
            </w:pPr>
            <w:r>
              <w:rPr>
                <w:rFonts w:eastAsia="Calibri"/>
                <w:sz w:val="22"/>
                <w:szCs w:val="22"/>
                <w:lang w:val="de-DE"/>
              </w:rPr>
              <w:t>not critical but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QCOM</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CR aligns 38.331 and 38.321 on application of msgA-TransMax. Without this CR, UE can't fallback to 4-step RACH (if 2-step RACH fails) for CFRA based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Fine to correct but not critical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Yu Mincho"/>
                <w:sz w:val="22"/>
                <w:szCs w:val="22"/>
                <w:lang w:val="en-GB"/>
              </w:rPr>
              <w:t>N</w:t>
            </w:r>
            <w:r>
              <w:rPr>
                <w:rFonts w:eastAsia="Yu Mincho"/>
                <w:sz w:val="22"/>
                <w:szCs w:val="22"/>
                <w:lang w:val="en-GB"/>
              </w:rPr>
              <w:t>EC</w:t>
            </w:r>
          </w:p>
        </w:tc>
        <w:tc>
          <w:tcPr>
            <w:tcW w:w="1500" w:type="dxa"/>
          </w:tcPr>
          <w:p>
            <w:pPr>
              <w:spacing w:after="0"/>
              <w:jc w:val="both"/>
              <w:rPr>
                <w:rFonts w:eastAsiaTheme="minorEastAsia"/>
                <w:sz w:val="22"/>
                <w:szCs w:val="22"/>
                <w:lang w:val="de-DE" w:eastAsia="zh-CN"/>
              </w:rPr>
            </w:pPr>
            <w:r>
              <w:rPr>
                <w:rFonts w:hint="eastAsia" w:eastAsia="Yu Mincho"/>
                <w:sz w:val="22"/>
                <w:szCs w:val="22"/>
                <w:lang w:val="de-DE"/>
              </w:rPr>
              <w:t>Y</w:t>
            </w:r>
            <w:r>
              <w:rPr>
                <w:rFonts w:eastAsia="Yu Mincho"/>
                <w:sz w:val="22"/>
                <w:szCs w:val="22"/>
                <w:lang w:val="de-DE"/>
              </w:rPr>
              <w:t>es</w:t>
            </w:r>
          </w:p>
        </w:tc>
        <w:tc>
          <w:tcPr>
            <w:tcW w:w="6378" w:type="dxa"/>
          </w:tcPr>
          <w:p>
            <w:pPr>
              <w:spacing w:after="0"/>
              <w:jc w:val="both"/>
              <w:rPr>
                <w:rFonts w:eastAsia="Calibri"/>
                <w:sz w:val="22"/>
                <w:szCs w:val="22"/>
                <w:lang w:val="de-DE"/>
              </w:rPr>
            </w:pPr>
            <w:r>
              <w:rPr>
                <w:rFonts w:hint="eastAsia" w:eastAsia="Yu Mincho"/>
                <w:sz w:val="22"/>
                <w:szCs w:val="22"/>
                <w:lang w:val="de-DE"/>
              </w:rPr>
              <w:t>u</w:t>
            </w:r>
            <w:r>
              <w:rPr>
                <w:rFonts w:eastAsia="Yu Mincho"/>
                <w:sz w:val="22"/>
                <w:szCs w:val="22"/>
                <w:lang w:val="de-DE"/>
              </w:rPr>
              <w:t xml:space="preserve">nderstood this is the leftover from last meeting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eastAsiaTheme="minorEastAsia"/>
                <w:sz w:val="22"/>
                <w:szCs w:val="22"/>
                <w:lang w:val="de-DE" w:eastAsia="zh-CN"/>
              </w:rPr>
              <w:t>Intel</w:t>
            </w:r>
          </w:p>
        </w:tc>
        <w:tc>
          <w:tcPr>
            <w:tcW w:w="1500" w:type="dxa"/>
          </w:tcPr>
          <w:p>
            <w:pPr>
              <w:spacing w:after="0"/>
              <w:jc w:val="both"/>
              <w:rPr>
                <w:rFonts w:eastAsia="Yu Mincho"/>
                <w:sz w:val="22"/>
                <w:szCs w:val="22"/>
                <w:lang w:val="de-DE"/>
              </w:rPr>
            </w:pPr>
            <w:r>
              <w:rPr>
                <w:rFonts w:eastAsiaTheme="minorEastAsia"/>
                <w:sz w:val="22"/>
                <w:szCs w:val="22"/>
                <w:lang w:val="de-DE" w:eastAsia="zh-CN"/>
              </w:rPr>
              <w:t>OK</w:t>
            </w:r>
          </w:p>
        </w:tc>
        <w:tc>
          <w:tcPr>
            <w:tcW w:w="6378" w:type="dxa"/>
          </w:tcPr>
          <w:p>
            <w:pPr>
              <w:spacing w:after="0"/>
              <w:jc w:val="both"/>
              <w:rPr>
                <w:rFonts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OPPO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 xml:space="preserve">es </w:t>
            </w:r>
          </w:p>
        </w:tc>
        <w:tc>
          <w:tcPr>
            <w:tcW w:w="6378" w:type="dxa"/>
          </w:tcPr>
          <w:p>
            <w:pPr>
              <w:spacing w:after="0"/>
              <w:jc w:val="both"/>
              <w:rPr>
                <w:rFonts w:eastAsia="Yu Mincho"/>
                <w:sz w:val="22"/>
                <w:szCs w:val="22"/>
                <w:lang w:val="de-DE"/>
              </w:rPr>
            </w:pPr>
            <w:r>
              <w:rPr>
                <w:rFonts w:eastAsiaTheme="minorEastAsia"/>
                <w:sz w:val="22"/>
                <w:szCs w:val="22"/>
                <w:lang w:val="de-DE"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en-GB" w:eastAsia="zh-CN"/>
              </w:rPr>
              <w:t>CATT</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Yes</w:t>
            </w:r>
          </w:p>
        </w:tc>
        <w:tc>
          <w:tcPr>
            <w:tcW w:w="6378" w:type="dxa"/>
          </w:tcPr>
          <w:p>
            <w:pPr>
              <w:spacing w:after="0"/>
              <w:jc w:val="both"/>
              <w:rPr>
                <w:rFonts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hint="eastAsia" w:eastAsia="Malgun Gothic"/>
                <w:sz w:val="22"/>
                <w:szCs w:val="22"/>
                <w:lang w:val="de-DE" w:eastAsia="ko-KR"/>
              </w:rPr>
              <w:t>LG</w:t>
            </w:r>
          </w:p>
        </w:tc>
        <w:tc>
          <w:tcPr>
            <w:tcW w:w="1500" w:type="dxa"/>
          </w:tcPr>
          <w:p>
            <w:pPr>
              <w:spacing w:after="0"/>
              <w:jc w:val="both"/>
              <w:rPr>
                <w:rFonts w:eastAsia="Malgun Gothic"/>
                <w:sz w:val="22"/>
                <w:szCs w:val="22"/>
                <w:lang w:val="de-DE" w:eastAsia="ko-KR"/>
              </w:rPr>
            </w:pPr>
            <w:r>
              <w:rPr>
                <w:rFonts w:eastAsia="Malgun Gothic"/>
                <w:sz w:val="22"/>
                <w:szCs w:val="22"/>
                <w:lang w:val="de-DE" w:eastAsia="ko-KR"/>
              </w:rPr>
              <w:t>Yes</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proponent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hint="default" w:eastAsia="宋体"/>
                <w:sz w:val="22"/>
                <w:szCs w:val="22"/>
                <w:lang w:val="en-US" w:eastAsia="zh-CN"/>
              </w:rPr>
            </w:pPr>
            <w:r>
              <w:rPr>
                <w:rFonts w:hint="eastAsia"/>
                <w:sz w:val="22"/>
                <w:szCs w:val="22"/>
                <w:lang w:val="en-US" w:eastAsia="zh-CN"/>
              </w:rPr>
              <w:t>ZTE</w:t>
            </w:r>
          </w:p>
        </w:tc>
        <w:tc>
          <w:tcPr>
            <w:tcW w:w="1500" w:type="dxa"/>
          </w:tcPr>
          <w:p>
            <w:pPr>
              <w:spacing w:after="0"/>
              <w:jc w:val="both"/>
              <w:rPr>
                <w:rFonts w:hint="default" w:eastAsia="宋体"/>
                <w:sz w:val="22"/>
                <w:szCs w:val="22"/>
                <w:lang w:val="en-US" w:eastAsia="zh-CN"/>
              </w:rPr>
            </w:pPr>
            <w:r>
              <w:rPr>
                <w:rFonts w:hint="eastAsia"/>
                <w:sz w:val="22"/>
                <w:szCs w:val="22"/>
                <w:lang w:val="en-US" w:eastAsia="zh-CN"/>
              </w:rPr>
              <w:t>Yes</w:t>
            </w:r>
          </w:p>
        </w:tc>
        <w:tc>
          <w:tcPr>
            <w:tcW w:w="6378" w:type="dxa"/>
          </w:tcPr>
          <w:p>
            <w:pPr>
              <w:spacing w:after="0"/>
              <w:jc w:val="both"/>
              <w:rPr>
                <w:rFonts w:hint="default" w:eastAsiaTheme="minorEastAsia"/>
                <w:sz w:val="22"/>
                <w:szCs w:val="22"/>
                <w:lang w:val="en-US" w:eastAsia="zh-CN"/>
              </w:rPr>
            </w:pPr>
            <w:r>
              <w:rPr>
                <w:rFonts w:hint="eastAsia" w:eastAsiaTheme="minorEastAsia"/>
                <w:sz w:val="22"/>
                <w:szCs w:val="22"/>
                <w:lang w:val="en-US" w:eastAsia="zh-CN"/>
              </w:rPr>
              <w:t>proponent</w:t>
            </w:r>
          </w:p>
        </w:tc>
      </w:tr>
    </w:tbl>
    <w:p>
      <w:pPr>
        <w:pStyle w:val="113"/>
        <w:ind w:left="0" w:firstLine="0"/>
        <w:rPr>
          <w:b/>
          <w:lang w:val="en-GB"/>
        </w:rPr>
      </w:pPr>
    </w:p>
    <w:p>
      <w:pPr>
        <w:pStyle w:val="113"/>
        <w:ind w:left="0" w:firstLine="0"/>
        <w:rPr>
          <w:b/>
          <w:lang w:val="en-GB"/>
        </w:rPr>
      </w:pPr>
    </w:p>
    <w:p>
      <w:pPr>
        <w:pStyle w:val="113"/>
        <w:rPr>
          <w:lang w:val="en-GB" w:eastAsia="en-GB"/>
        </w:rPr>
      </w:pPr>
    </w:p>
    <w:p>
      <w:pPr>
        <w:pStyle w:val="163"/>
      </w:pPr>
      <w:r>
        <w:fldChar w:fldCharType="begin"/>
      </w:r>
      <w:r>
        <w:instrText xml:space="preserve"> HYPERLINK "http://www.3gpp.org/ftp/tsg_ran/WG2_RL2//TSGR2_115-e/Docs//R2-2106996.zip" </w:instrText>
      </w:r>
      <w:r>
        <w:fldChar w:fldCharType="separate"/>
      </w:r>
      <w:r>
        <w:rPr>
          <w:rStyle w:val="58"/>
        </w:rPr>
        <w:t>R2-2106996</w:t>
      </w:r>
      <w:r>
        <w:rPr>
          <w:rStyle w:val="58"/>
        </w:rPr>
        <w:fldChar w:fldCharType="end"/>
      </w:r>
      <w:r>
        <w:tab/>
      </w:r>
      <w:r>
        <w:t>Correction on msg1-SubcarrierSpacing and msgA-SubcarrierSpacing</w:t>
      </w:r>
      <w:r>
        <w:tab/>
      </w:r>
      <w:r>
        <w:t>vivo</w:t>
      </w:r>
      <w:r>
        <w:tab/>
      </w:r>
      <w:r>
        <w:t>CR</w:t>
      </w:r>
      <w:r>
        <w:tab/>
      </w:r>
      <w:r>
        <w:t>Rel-16</w:t>
      </w:r>
      <w:r>
        <w:tab/>
      </w:r>
      <w:r>
        <w:t>38.331</w:t>
      </w:r>
      <w:r>
        <w:tab/>
      </w:r>
      <w:r>
        <w:t>16.5.0</w:t>
      </w:r>
      <w:r>
        <w:tab/>
      </w:r>
      <w:r>
        <w:t>2707</w:t>
      </w:r>
      <w:r>
        <w:tab/>
      </w:r>
      <w:r>
        <w:t>-</w:t>
      </w:r>
      <w:r>
        <w:tab/>
      </w:r>
      <w:r>
        <w:t>F</w:t>
      </w:r>
      <w:r>
        <w:tab/>
      </w:r>
      <w:r>
        <w:t>NR_2step_RACH-Core</w:t>
      </w:r>
    </w:p>
    <w:p>
      <w:pPr>
        <w:pStyle w:val="167"/>
      </w:pPr>
      <w:r>
        <w:t>Moved from 6.1.4.1.1</w:t>
      </w:r>
    </w:p>
    <w:p>
      <w:pPr>
        <w:rPr>
          <w:b/>
          <w:bCs/>
          <w:lang w:eastAsia="en-GB"/>
        </w:rPr>
      </w:pPr>
    </w:p>
    <w:p>
      <w:pPr>
        <w:rPr>
          <w:b/>
          <w:bCs/>
          <w:lang w:eastAsia="en-GB"/>
        </w:rPr>
      </w:pPr>
      <w:r>
        <w:rPr>
          <w:b/>
          <w:bCs/>
          <w:lang w:eastAsia="en-GB"/>
        </w:rPr>
        <w:t>Q8. Companies are asked to provide their view on the need of the draft CR, and comments on the changes in the draft CR.</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CR needed?</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Samsung</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See Comments</w:t>
            </w:r>
          </w:p>
        </w:tc>
        <w:tc>
          <w:tcPr>
            <w:tcW w:w="6378" w:type="dxa"/>
          </w:tcPr>
          <w:p>
            <w:pPr>
              <w:jc w:val="both"/>
              <w:rPr>
                <w:rFonts w:eastAsia="Calibri"/>
                <w:sz w:val="22"/>
                <w:szCs w:val="22"/>
                <w:lang w:val="de-DE"/>
              </w:rPr>
            </w:pPr>
            <w:r>
              <w:rPr>
                <w:rFonts w:hint="eastAsia" w:eastAsia="Calibri"/>
                <w:sz w:val="22"/>
                <w:szCs w:val="22"/>
                <w:lang w:val="de-DE"/>
              </w:rPr>
              <w:t xml:space="preserve">Regarding the 1st change, this may cause backward compatible issue. Legacy r15 </w:t>
            </w:r>
            <w:r>
              <w:rPr>
                <w:rFonts w:eastAsia="Calibri"/>
                <w:sz w:val="22"/>
                <w:szCs w:val="22"/>
                <w:lang w:val="de-DE"/>
              </w:rPr>
              <w:t>UE</w:t>
            </w:r>
            <w:r>
              <w:rPr>
                <w:rFonts w:hint="eastAsia" w:eastAsia="Calibri"/>
                <w:sz w:val="22"/>
                <w:szCs w:val="22"/>
                <w:lang w:val="de-DE"/>
              </w:rPr>
              <w:t xml:space="preserve"> does not expect msg1-SubcarrierSpacing to be configured if prach-RootSequenceIndex is not L139. So configuring msg1-SubcarrierSpacing when prach-RootSequenceIndex is not L139 and msgA-PRACH-RootSequenceIndex is L139 may cause problem, as legacy UE may consider the configuration as incorrect.</w:t>
            </w:r>
          </w:p>
          <w:p>
            <w:pPr>
              <w:rPr>
                <w:rFonts w:ascii="Malgun Gothic" w:hAnsi="Malgun Gothic" w:eastAsia="Calibri"/>
                <w:sz w:val="22"/>
                <w:szCs w:val="22"/>
                <w:lang w:val="de-DE" w:eastAsia="ko-KR"/>
              </w:rPr>
            </w:pPr>
            <w:r>
              <w:rPr>
                <w:rFonts w:eastAsia="Calibri"/>
                <w:sz w:val="22"/>
                <w:szCs w:val="22"/>
                <w:lang w:val="de-DE"/>
              </w:rPr>
              <w:t>In our view there</w:t>
            </w:r>
            <w:r>
              <w:rPr>
                <w:rFonts w:hint="eastAsia" w:eastAsia="Calibri"/>
                <w:sz w:val="22"/>
                <w:szCs w:val="22"/>
                <w:lang w:val="de-DE"/>
              </w:rPr>
              <w:t xml:space="preserve"> are two possible ways to handle:</w:t>
            </w:r>
          </w:p>
          <w:p>
            <w:pPr>
              <w:rPr>
                <w:rFonts w:eastAsia="Calibri"/>
                <w:sz w:val="22"/>
                <w:szCs w:val="22"/>
                <w:lang w:val="de-DE"/>
              </w:rPr>
            </w:pPr>
            <w:r>
              <w:rPr>
                <w:rFonts w:hint="eastAsia" w:eastAsia="Calibri"/>
                <w:sz w:val="22"/>
                <w:szCs w:val="22"/>
                <w:lang w:val="de-DE"/>
              </w:rPr>
              <w:t>Option 1: msgA-PRACH-RootSequenceIndex is set to L139 only if prach-RootSequenceIndex is L139.</w:t>
            </w:r>
          </w:p>
          <w:p>
            <w:pPr>
              <w:rPr>
                <w:rFonts w:eastAsia="Calibri"/>
                <w:sz w:val="22"/>
                <w:szCs w:val="22"/>
                <w:lang w:val="de-DE"/>
              </w:rPr>
            </w:pPr>
            <w:r>
              <w:rPr>
                <w:rFonts w:hint="eastAsia" w:eastAsia="Calibri"/>
                <w:sz w:val="22"/>
                <w:szCs w:val="22"/>
                <w:lang w:val="de-DE"/>
              </w:rPr>
              <w:t>Option 2: msgA-SubcarrierSpacing is also configured if msgA-PRACH-RootSequenceIndex is set to L139 and if prach-RootSequenceIndex is not L139. Note that currently msgA-SubcarrierSpacing is configured if msgA-PRACH-RootSequenceIndex is set to L139 and 4 step RA is not configured.</w:t>
            </w:r>
          </w:p>
          <w:p>
            <w:pPr>
              <w:rPr>
                <w:rFonts w:eastAsia="Yu Mincho"/>
                <w:sz w:val="22"/>
                <w:szCs w:val="22"/>
                <w:lang w:val="de-DE"/>
              </w:rPr>
            </w:pPr>
            <w:r>
              <w:rPr>
                <w:rFonts w:eastAsia="Calibri"/>
                <w:sz w:val="22"/>
                <w:szCs w:val="22"/>
                <w:lang w:val="de-DE"/>
              </w:rPr>
              <w:t>Option 1 restricts the network configuration whereas option 2 does not. So we prefer option 2 and change can be as follows:</w:t>
            </w:r>
          </w:p>
          <w:p>
            <w:pPr>
              <w:pStyle w:val="78"/>
              <w:rPr>
                <w:rFonts w:eastAsia="Calibri"/>
                <w:b/>
                <w:i/>
                <w:szCs w:val="22"/>
                <w:lang w:eastAsia="sv-SE"/>
              </w:rPr>
            </w:pPr>
            <w:r>
              <w:rPr>
                <w:rFonts w:eastAsia="Calibri"/>
                <w:b/>
                <w:i/>
                <w:szCs w:val="22"/>
                <w:lang w:eastAsia="sv-SE"/>
              </w:rPr>
              <w:t>msgA-SubcarrierSpacing</w:t>
            </w:r>
          </w:p>
          <w:p>
            <w:pPr>
              <w:spacing w:after="0"/>
              <w:jc w:val="both"/>
              <w:rPr>
                <w:rFonts w:eastAsia="Calibri"/>
                <w:sz w:val="22"/>
                <w:szCs w:val="22"/>
                <w:lang w:val="de-DE"/>
              </w:rPr>
            </w:pPr>
            <w:r>
              <w:rPr>
                <w:rFonts w:eastAsia="Calibri"/>
                <w:sz w:val="22"/>
                <w:szCs w:val="22"/>
                <w:lang w:val="de-DE" w:eastAsia="sv-SE"/>
              </w:rPr>
              <w:t>Subcarrier spacing of PRACH (see TS 38.211 [16], clause 5.3.2). Only the values 15 or 30 kHz (FR1), and 60 or 120 kHz (FR2) are applicable. The field is only present in case of 2-step only BWP</w:t>
            </w:r>
            <w:ins w:id="43" w:author="Samsung (Anil Agiwal)" w:date="2021-08-18T10:00:00Z">
              <w:r>
                <w:rPr>
                  <w:rFonts w:eastAsia="Calibri"/>
                  <w:sz w:val="22"/>
                  <w:szCs w:val="22"/>
                  <w:lang w:val="de-DE" w:eastAsia="sv-SE"/>
                </w:rPr>
                <w:t xml:space="preserve"> </w:t>
              </w:r>
            </w:ins>
            <w:ins w:id="44" w:author="Samsung (Anil Agiwal)" w:date="2021-08-18T10:00:00Z">
              <w:r>
                <w:rPr>
                  <w:rFonts w:eastAsia="Calibri"/>
                  <w:sz w:val="22"/>
                  <w:szCs w:val="22"/>
                  <w:highlight w:val="yellow"/>
                  <w:lang w:val="de-DE" w:eastAsia="sv-SE"/>
                </w:rPr>
                <w:t>or in case</w:t>
              </w:r>
            </w:ins>
            <w:ins w:id="45" w:author="Samsung (Anil Agiwal)" w:date="2021-08-18T10:00:00Z">
              <w:r>
                <w:rPr>
                  <w:rFonts w:hint="eastAsia" w:eastAsia="Calibri"/>
                  <w:sz w:val="22"/>
                  <w:szCs w:val="22"/>
                  <w:highlight w:val="yellow"/>
                  <w:lang w:val="de-DE"/>
                </w:rPr>
                <w:t xml:space="preserve"> msgA-PRACH-RootSequenceIndex L</w:t>
              </w:r>
            </w:ins>
            <w:ins w:id="46" w:author="Samsung (Anil Agiwal)" w:date="2021-08-18T10:00:00Z">
              <w:r>
                <w:rPr>
                  <w:rFonts w:eastAsia="Calibri"/>
                  <w:sz w:val="22"/>
                  <w:szCs w:val="22"/>
                  <w:highlight w:val="yellow"/>
                  <w:lang w:val="de-DE"/>
                </w:rPr>
                <w:t xml:space="preserve"> = </w:t>
              </w:r>
            </w:ins>
            <w:ins w:id="47" w:author="Samsung (Anil Agiwal)" w:date="2021-08-18T10:00:00Z">
              <w:r>
                <w:rPr>
                  <w:rFonts w:hint="eastAsia" w:eastAsia="Calibri"/>
                  <w:sz w:val="22"/>
                  <w:szCs w:val="22"/>
                  <w:highlight w:val="yellow"/>
                  <w:lang w:val="de-DE"/>
                </w:rPr>
                <w:t xml:space="preserve">139 and prach-RootSequenceIndex </w:t>
              </w:r>
            </w:ins>
            <w:ins w:id="48" w:author="Samsung (Anil Agiwal)" w:date="2021-08-18T10:00:00Z">
              <w:r>
                <w:rPr>
                  <w:rFonts w:eastAsia="Calibri"/>
                  <w:sz w:val="22"/>
                  <w:szCs w:val="22"/>
                  <w:highlight w:val="yellow"/>
                  <w:lang w:val="de-DE"/>
                </w:rPr>
                <w:t xml:space="preserve">L is not equal to </w:t>
              </w:r>
            </w:ins>
            <w:ins w:id="49" w:author="Samsung (Anil Agiwal)" w:date="2021-08-18T10:00:00Z">
              <w:r>
                <w:rPr>
                  <w:rFonts w:hint="eastAsia" w:eastAsia="Calibri"/>
                  <w:sz w:val="22"/>
                  <w:szCs w:val="22"/>
                  <w:highlight w:val="yellow"/>
                  <w:lang w:val="de-DE"/>
                </w:rPr>
                <w:t>139</w:t>
              </w:r>
            </w:ins>
            <w:ins w:id="50" w:author="vivo (Stephen)" w:date="2021-08-06T16:33:00Z">
              <w:r>
                <w:rPr>
                  <w:rFonts w:eastAsia="Calibri"/>
                  <w:sz w:val="22"/>
                  <w:szCs w:val="22"/>
                  <w:lang w:val="de-DE" w:eastAsia="sv-SE"/>
                </w:rPr>
                <w:t>.</w:t>
              </w:r>
            </w:ins>
            <w:del w:id="51" w:author="vivo (Stephen)" w:date="2021-08-06T16:33:00Z">
              <w:r>
                <w:rPr>
                  <w:rFonts w:eastAsia="Calibri"/>
                  <w:sz w:val="22"/>
                  <w:szCs w:val="22"/>
                  <w:lang w:val="de-DE" w:eastAsia="sv-SE"/>
                </w:rPr>
                <w:delText>, otherwise</w:delText>
              </w:r>
            </w:del>
            <w:ins w:id="52" w:author="vivo (Stephen)" w:date="2021-08-06T16:34:00Z">
              <w:r>
                <w:rPr>
                  <w:rFonts w:eastAsia="Calibri"/>
                  <w:sz w:val="22"/>
                  <w:szCs w:val="22"/>
                  <w:lang w:val="de-DE" w:eastAsia="sv-SE"/>
                </w:rPr>
                <w:t xml:space="preserve"> If absent,</w:t>
              </w:r>
            </w:ins>
            <w:r>
              <w:rPr>
                <w:rFonts w:eastAsia="Calibri"/>
                <w:sz w:val="22"/>
                <w:szCs w:val="22"/>
                <w:lang w:val="de-DE" w:eastAsia="sv-SE"/>
              </w:rPr>
              <w:t xml:space="preserve"> the UE applies the SCS as derived from the </w:t>
            </w:r>
            <w:r>
              <w:rPr>
                <w:rFonts w:eastAsia="Calibri"/>
                <w:i/>
                <w:sz w:val="22"/>
                <w:szCs w:val="22"/>
                <w:lang w:val="de-DE"/>
              </w:rPr>
              <w:t>msg1-SubcarrierSpacing</w:t>
            </w:r>
            <w:r>
              <w:rPr>
                <w:rFonts w:eastAsia="Calibri"/>
                <w:sz w:val="22"/>
                <w:szCs w:val="22"/>
                <w:lang w:val="de-DE" w:eastAsia="sv-SE"/>
              </w:rPr>
              <w:t xml:space="preserve"> in </w:t>
            </w:r>
            <w:r>
              <w:rPr>
                <w:rFonts w:eastAsia="Calibri"/>
                <w:i/>
                <w:sz w:val="22"/>
                <w:szCs w:val="22"/>
                <w:lang w:val="de-DE"/>
              </w:rPr>
              <w:t>RACH-ConfigCommon</w:t>
            </w:r>
            <w:ins w:id="53" w:author="vivo (Stephen)" w:date="2021-08-06T16:34:00Z">
              <w:r>
                <w:rPr>
                  <w:rFonts w:eastAsia="Calibri"/>
                  <w:i/>
                  <w:sz w:val="22"/>
                  <w:szCs w:val="22"/>
                  <w:lang w:val="de-DE"/>
                </w:rPr>
                <w:t xml:space="preserve"> </w:t>
              </w:r>
            </w:ins>
            <w:ins w:id="54" w:author="vivo (Stephen)" w:date="2021-08-06T16:34:00Z">
              <w:r>
                <w:rPr>
                  <w:rFonts w:eastAsia="Calibri"/>
                  <w:sz w:val="22"/>
                  <w:szCs w:val="22"/>
                  <w:lang w:val="de-DE"/>
                </w:rPr>
                <w:t xml:space="preserve">in case of </w:t>
              </w:r>
            </w:ins>
            <w:ins w:id="55" w:author="vivo (Stephen)" w:date="2021-08-06T16:35:00Z">
              <w:r>
                <w:rPr>
                  <w:rFonts w:eastAsia="Calibri"/>
                  <w:i/>
                  <w:sz w:val="22"/>
                  <w:szCs w:val="22"/>
                  <w:lang w:val="de-DE" w:eastAsia="sv-SE"/>
                </w:rPr>
                <w:t xml:space="preserve">msgA-PRACH-RootSequenceIndex </w:t>
              </w:r>
            </w:ins>
            <w:ins w:id="56" w:author="vivo (Stephen)" w:date="2021-08-06T16:35:00Z">
              <w:r>
                <w:rPr>
                  <w:rFonts w:eastAsia="Calibri"/>
                  <w:sz w:val="22"/>
                  <w:szCs w:val="22"/>
                  <w:lang w:val="de-DE" w:eastAsia="sv-SE"/>
                </w:rPr>
                <w:t>L=139</w:t>
              </w:r>
            </w:ins>
            <w:ins w:id="57" w:author="vivo (Stephen)" w:date="2021-08-06T16:34:00Z">
              <w:r>
                <w:rPr>
                  <w:rFonts w:eastAsia="Calibri"/>
                  <w:sz w:val="22"/>
                  <w:szCs w:val="22"/>
                  <w:lang w:val="de-DE" w:eastAsia="sv-SE"/>
                </w:rPr>
                <w:t xml:space="preserve">, otherwise, the UE applies the SCS as derived from the </w:t>
              </w:r>
            </w:ins>
            <w:ins w:id="58" w:author="vivo (Stephen)" w:date="2021-08-06T16:34:00Z">
              <w:r>
                <w:rPr>
                  <w:rFonts w:eastAsia="Calibri"/>
                  <w:i/>
                  <w:sz w:val="22"/>
                  <w:szCs w:val="22"/>
                  <w:lang w:val="de-DE" w:eastAsia="sv-SE"/>
                </w:rPr>
                <w:t>msgA-prach-ConfigurationIndex</w:t>
              </w:r>
            </w:ins>
            <w:ins w:id="59" w:author="vivo (Stephen)" w:date="2021-08-06T16:34:00Z">
              <w:r>
                <w:rPr>
                  <w:rFonts w:eastAsia="Calibri"/>
                  <w:sz w:val="22"/>
                  <w:szCs w:val="22"/>
                  <w:lang w:val="de-DE" w:eastAsia="sv-SE"/>
                </w:rPr>
                <w:t xml:space="preserve"> in </w:t>
              </w:r>
            </w:ins>
            <w:ins w:id="60" w:author="vivo (Stephen)" w:date="2021-08-06T16:34:00Z">
              <w:r>
                <w:rPr>
                  <w:rFonts w:eastAsia="Calibri"/>
                  <w:i/>
                  <w:sz w:val="22"/>
                  <w:szCs w:val="22"/>
                  <w:lang w:val="de-DE" w:eastAsia="sv-SE"/>
                </w:rPr>
                <w:t>RACH-ConfigGenericTwoStepRA</w:t>
              </w:r>
            </w:ins>
            <w:ins w:id="61" w:author="vivo (Stephen)" w:date="2021-08-06T16:34:00Z">
              <w:r>
                <w:rPr>
                  <w:rFonts w:eastAsia="Calibri"/>
                  <w:sz w:val="22"/>
                  <w:szCs w:val="22"/>
                  <w:lang w:val="de-DE" w:eastAsia="sv-SE"/>
                </w:rPr>
                <w:t xml:space="preserve"> (see tables Table 6.3.3.1-1, Table 6.3.3.1-2, Table 6.3.3.2-2 and Table 6.3.3.2-3, TS 38.211 [16])</w:t>
              </w:r>
            </w:ins>
            <w:r>
              <w:rPr>
                <w:rFonts w:eastAsia="Calibri"/>
                <w:sz w:val="22"/>
                <w:szCs w:val="22"/>
                <w:lang w:val="de-DE" w:eastAsia="sv-SE"/>
              </w:rPr>
              <w:t>. The value also applies to contention free 2-step random access type (</w:t>
            </w:r>
            <w:r>
              <w:rPr>
                <w:rFonts w:eastAsia="Calibri"/>
                <w:i/>
                <w:sz w:val="22"/>
                <w:szCs w:val="22"/>
                <w:lang w:val="de-DE" w:eastAsia="sv-SE"/>
              </w:rPr>
              <w:t>RACH-ConfigDedicated</w:t>
            </w:r>
            <w:r>
              <w:rPr>
                <w:rFonts w:eastAsia="Calibri"/>
                <w:sz w:val="22"/>
                <w:szCs w:val="22"/>
                <w:lang w:val="de-DE" w:eastAsia="sv-SE"/>
              </w:rPr>
              <w:t>)</w:t>
            </w:r>
            <w:ins w:id="62" w:author="vivo (Stephen)" w:date="2021-08-06T16:34:00Z">
              <w:r>
                <w:rPr>
                  <w:rFonts w:eastAsia="Calibri"/>
                  <w:sz w:val="22"/>
                  <w:szCs w:val="22"/>
                  <w:lang w:val="de-DE" w:eastAsia="sv-SE"/>
                </w:rPr>
                <w:t>.</w:t>
              </w:r>
            </w:ins>
            <w:r>
              <w:rPr>
                <w:rFonts w:eastAsia="Calibri"/>
                <w:sz w:val="22"/>
                <w:szCs w:val="22"/>
                <w:lang w:val="de-DE" w:eastAsia="sv-S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Huawei, HiSilicon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Not sure</w:t>
            </w:r>
          </w:p>
        </w:tc>
        <w:tc>
          <w:tcPr>
            <w:tcW w:w="6378" w:type="dxa"/>
          </w:tcPr>
          <w:p>
            <w:pPr>
              <w:spacing w:after="0"/>
              <w:jc w:val="both"/>
              <w:rPr>
                <w:rFonts w:eastAsia="Calibri"/>
                <w:sz w:val="22"/>
                <w:szCs w:val="22"/>
                <w:lang w:val="de-DE"/>
              </w:rPr>
            </w:pPr>
            <w:r>
              <w:rPr>
                <w:rFonts w:eastAsia="Calibri"/>
                <w:sz w:val="22"/>
                <w:szCs w:val="22"/>
                <w:lang w:val="de-DE"/>
              </w:rPr>
              <w:t>We are wondering whether RAN1 really considered the case that L=839 for 4-step RA while L=139 for 2-step RA, which is the configuration which causes the issues. If RAN1 intention was to support this case (which cannot be derived directly from the current agreements), then perhaps RAN1 should discuss whether for this case msgA-SubcarrierSpacing or msg1-SubcarrierSpacing should be used to indicate the SCS. We think this needs to be confirmed by RAN1 first.</w:t>
            </w:r>
          </w:p>
          <w:p>
            <w:pPr>
              <w:spacing w:after="0"/>
              <w:jc w:val="both"/>
              <w:rPr>
                <w:rFonts w:eastAsia="Calibri"/>
                <w:sz w:val="22"/>
                <w:szCs w:val="22"/>
                <w:lang w:val="de-DE"/>
              </w:rPr>
            </w:pPr>
            <w:r>
              <w:rPr>
                <w:rFonts w:eastAsia="Calibri"/>
                <w:sz w:val="22"/>
                <w:szCs w:val="22"/>
                <w:lang w:val="de-DE"/>
              </w:rPr>
              <w:t xml:space="preserve">Also, the current CR seems to cause an issue that in case msg1-SubcarrierSpacing is only configured by the network to indicate SCS for msgA, then the UE will mistakenly apply it also for msg1 SCS, even though the intention was to use SCS indicated by prach-ConfigurationIndex for 4-step RA.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r>
              <w:rPr>
                <w:rFonts w:hint="eastAsia" w:eastAsiaTheme="minorEastAsia"/>
                <w:sz w:val="22"/>
                <w:szCs w:val="22"/>
                <w:lang w:val="en-GB" w:eastAsia="zh-CN"/>
              </w:rPr>
              <w:t>vivo</w:t>
            </w:r>
          </w:p>
        </w:tc>
        <w:tc>
          <w:tcPr>
            <w:tcW w:w="1500" w:type="dxa"/>
          </w:tcPr>
          <w:p>
            <w:pPr>
              <w:spacing w:after="0"/>
              <w:jc w:val="both"/>
              <w:rPr>
                <w:rFonts w:eastAsia="Calibri"/>
                <w:sz w:val="22"/>
                <w:szCs w:val="22"/>
                <w:lang w:val="de-DE"/>
              </w:rPr>
            </w:pPr>
            <w:r>
              <w:rPr>
                <w:rFonts w:eastAsia="Calibri"/>
                <w:sz w:val="22"/>
                <w:szCs w:val="22"/>
                <w:lang w:val="de-DE"/>
              </w:rPr>
              <w:t>Yes with comments</w:t>
            </w:r>
          </w:p>
          <w:p>
            <w:pPr>
              <w:spacing w:after="0"/>
              <w:jc w:val="both"/>
              <w:rPr>
                <w:rFonts w:eastAsia="Calibri"/>
                <w:sz w:val="22"/>
                <w:szCs w:val="22"/>
                <w:lang w:val="de-DE"/>
              </w:rPr>
            </w:pPr>
          </w:p>
          <w:p>
            <w:pPr>
              <w:spacing w:after="0"/>
              <w:jc w:val="both"/>
              <w:rPr>
                <w:rFonts w:eastAsiaTheme="minorEastAsia"/>
                <w:sz w:val="22"/>
                <w:szCs w:val="22"/>
                <w:lang w:val="de-DE" w:eastAsia="zh-CN"/>
              </w:rPr>
            </w:pPr>
          </w:p>
        </w:tc>
        <w:tc>
          <w:tcPr>
            <w:tcW w:w="6378" w:type="dxa"/>
          </w:tcPr>
          <w:p>
            <w:pPr>
              <w:spacing w:after="120" w:afterLines="50"/>
              <w:jc w:val="both"/>
              <w:rPr>
                <w:rFonts w:eastAsia="Calibri"/>
                <w:sz w:val="22"/>
                <w:szCs w:val="22"/>
                <w:lang w:val="de-DE"/>
              </w:rPr>
            </w:pPr>
            <w:r>
              <w:rPr>
                <w:rFonts w:eastAsia="Calibri"/>
                <w:sz w:val="22"/>
                <w:szCs w:val="22"/>
                <w:lang w:val="de-DE"/>
              </w:rPr>
              <w:t xml:space="preserve">Thanks Samsung and Huawei for pointing out the backward compatible issue raised in the draft CR. </w:t>
            </w:r>
          </w:p>
          <w:p>
            <w:pPr>
              <w:spacing w:after="120" w:afterLines="50"/>
              <w:jc w:val="both"/>
              <w:rPr>
                <w:rFonts w:eastAsia="Calibri"/>
                <w:sz w:val="22"/>
                <w:szCs w:val="22"/>
                <w:lang w:val="de-DE"/>
              </w:rPr>
            </w:pPr>
            <w:r>
              <w:rPr>
                <w:rFonts w:eastAsia="Calibri"/>
                <w:sz w:val="22"/>
                <w:szCs w:val="22"/>
                <w:lang w:val="de-DE"/>
              </w:rPr>
              <w:t xml:space="preserve">To resolve this problem, we are fine with Samsung’s revision. </w:t>
            </w:r>
          </w:p>
          <w:p>
            <w:pPr>
              <w:spacing w:after="120" w:afterLines="50"/>
              <w:jc w:val="both"/>
              <w:rPr>
                <w:rFonts w:eastAsia="Calibri"/>
                <w:sz w:val="22"/>
                <w:szCs w:val="22"/>
                <w:lang w:val="de-DE"/>
              </w:rPr>
            </w:pPr>
            <w:r>
              <w:rPr>
                <w:rFonts w:eastAsia="Calibri"/>
                <w:sz w:val="22"/>
                <w:szCs w:val="22"/>
                <w:lang w:val="de-DE"/>
              </w:rPr>
              <w:t>Regarding Huawei’s concern on the potential case where L=839 for 4-step RA while L=139 for 2-step RA (i.e. 4-step RA with the long sequence for coverage performance and 2-step RA with the short sequence for radio-efficiency performance), in our memory, this case was not excluded during the previous RAN1 discussion. If companies think we should check with RAN1, we are also okay to send an LS to RAN1 for further 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QCOM</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CR fixes the current inconsistency in 38.331 of determing msgA-SubcarrierSpacing when msgA-PRACH-RootSequenceIndex = l139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Convida Wireless</w:t>
            </w:r>
          </w:p>
        </w:tc>
        <w:tc>
          <w:tcPr>
            <w:tcW w:w="1500" w:type="dxa"/>
          </w:tcPr>
          <w:p>
            <w:pPr>
              <w:spacing w:after="0"/>
              <w:jc w:val="both"/>
              <w:rPr>
                <w:rFonts w:eastAsiaTheme="minorEastAsia"/>
                <w:sz w:val="22"/>
                <w:szCs w:val="22"/>
                <w:lang w:val="de-DE" w:eastAsia="zh-CN"/>
              </w:rPr>
            </w:pPr>
            <w:r>
              <w:rPr>
                <w:rFonts w:eastAsia="Calibri"/>
                <w:sz w:val="22"/>
                <w:szCs w:val="22"/>
                <w:lang w:val="de-DE"/>
              </w:rPr>
              <w:t>No preference</w:t>
            </w:r>
          </w:p>
        </w:tc>
        <w:tc>
          <w:tcPr>
            <w:tcW w:w="6378" w:type="dxa"/>
          </w:tcPr>
          <w:p>
            <w:pPr>
              <w:spacing w:after="0"/>
              <w:jc w:val="both"/>
              <w:rPr>
                <w:rFonts w:eastAsia="Calibri"/>
                <w:sz w:val="22"/>
                <w:szCs w:val="22"/>
                <w:lang w:val="de-DE"/>
              </w:rPr>
            </w:pPr>
            <w:r>
              <w:rPr>
                <w:rFonts w:eastAsia="Calibri"/>
                <w:sz w:val="22"/>
                <w:szCs w:val="22"/>
                <w:lang w:val="de-DE"/>
              </w:rPr>
              <w:t>Agree with Samsung’s proposal to fix backwards compatibility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w:t>
            </w:r>
          </w:p>
        </w:tc>
        <w:tc>
          <w:tcPr>
            <w:tcW w:w="6378" w:type="dxa"/>
          </w:tcPr>
          <w:p>
            <w:pPr>
              <w:spacing w:after="0"/>
              <w:jc w:val="both"/>
              <w:rPr>
                <w:rFonts w:eastAsia="Calibri"/>
                <w:sz w:val="22"/>
                <w:szCs w:val="22"/>
                <w:u w:val="single"/>
                <w:lang w:val="de-DE"/>
              </w:rPr>
            </w:pPr>
            <w:r>
              <w:rPr>
                <w:rFonts w:eastAsia="Calibri"/>
                <w:sz w:val="22"/>
                <w:szCs w:val="22"/>
                <w:u w:val="single"/>
                <w:lang w:val="de-DE"/>
              </w:rPr>
              <w:t>Cover Sheet:</w:t>
            </w:r>
          </w:p>
          <w:p>
            <w:pPr>
              <w:spacing w:after="0"/>
              <w:jc w:val="both"/>
              <w:rPr>
                <w:rFonts w:eastAsia="Calibri"/>
                <w:sz w:val="22"/>
                <w:szCs w:val="22"/>
                <w:lang w:val="de-DE"/>
              </w:rPr>
            </w:pPr>
            <w:r>
              <w:rPr>
                <w:rFonts w:eastAsia="Calibri"/>
                <w:sz w:val="22"/>
                <w:szCs w:val="22"/>
                <w:lang w:val="de-DE"/>
              </w:rPr>
              <w:t>„</w:t>
            </w:r>
            <w:r>
              <w:rPr>
                <w:rFonts w:cs="Arial" w:eastAsiaTheme="minorEastAsia"/>
                <w:sz w:val="22"/>
                <w:szCs w:val="22"/>
                <w:lang w:val="de-DE" w:eastAsia="zh-CN"/>
              </w:rPr>
              <w:t xml:space="preserve">. However, the field description of </w:t>
            </w:r>
            <w:r>
              <w:rPr>
                <w:rFonts w:eastAsia="Calibri"/>
                <w:sz w:val="22"/>
                <w:szCs w:val="22"/>
                <w:lang w:val="de-DE"/>
              </w:rPr>
              <w:t xml:space="preserve">msgA-SubcarrierSpacing mandatorily requests </w:t>
            </w:r>
            <w:r>
              <w:rPr>
                <w:rFonts w:eastAsia="Calibri"/>
                <w:sz w:val="22"/>
                <w:szCs w:val="22"/>
                <w:lang w:val="de-DE" w:eastAsia="sv-SE"/>
              </w:rPr>
              <w:t xml:space="preserve">UE to apply the SCS as derived from the </w:t>
            </w:r>
            <w:r>
              <w:rPr>
                <w:rFonts w:eastAsia="Calibri"/>
                <w:i/>
                <w:sz w:val="22"/>
                <w:szCs w:val="22"/>
                <w:lang w:val="de-DE"/>
              </w:rPr>
              <w:t>msg1-SubcarrierSpacing</w:t>
            </w:r>
            <w:r>
              <w:rPr>
                <w:rFonts w:eastAsia="Calibri"/>
                <w:sz w:val="22"/>
                <w:szCs w:val="22"/>
                <w:lang w:val="de-DE" w:eastAsia="sv-SE"/>
              </w:rPr>
              <w:t xml:space="preserve"> in </w:t>
            </w:r>
            <w:r>
              <w:rPr>
                <w:rFonts w:eastAsia="Calibri"/>
                <w:i/>
                <w:sz w:val="22"/>
                <w:szCs w:val="22"/>
                <w:lang w:val="de-DE"/>
              </w:rPr>
              <w:t>RACH-ConfigCommon</w:t>
            </w:r>
            <w:r>
              <w:rPr>
                <w:rFonts w:eastAsia="Calibri"/>
                <w:sz w:val="22"/>
                <w:szCs w:val="22"/>
                <w:lang w:val="de-DE" w:eastAsia="sv-SE"/>
              </w:rPr>
              <w:t xml:space="preserve"> or from </w:t>
            </w:r>
            <w:r>
              <w:rPr>
                <w:rFonts w:cs="Arial" w:eastAsiaTheme="minorEastAsia"/>
                <w:sz w:val="22"/>
                <w:szCs w:val="22"/>
                <w:lang w:val="de-DE" w:eastAsia="zh-CN"/>
              </w:rPr>
              <w:t xml:space="preserve">the </w:t>
            </w:r>
            <w:r>
              <w:rPr>
                <w:rFonts w:eastAsia="Calibri"/>
                <w:i/>
                <w:sz w:val="22"/>
                <w:szCs w:val="22"/>
                <w:lang w:val="de-DE" w:eastAsia="sv-SE"/>
              </w:rPr>
              <w:t>prach-ConfigurationIndex</w:t>
            </w:r>
            <w:r>
              <w:rPr>
                <w:rFonts w:eastAsia="Calibri"/>
                <w:sz w:val="22"/>
                <w:szCs w:val="22"/>
                <w:lang w:val="de-DE" w:eastAsia="sv-SE"/>
              </w:rPr>
              <w:t xml:space="preserve"> in </w:t>
            </w:r>
            <w:r>
              <w:rPr>
                <w:rFonts w:eastAsia="Calibri"/>
                <w:i/>
                <w:sz w:val="22"/>
                <w:szCs w:val="22"/>
                <w:lang w:val="de-DE" w:eastAsia="sv-SE"/>
              </w:rPr>
              <w:t xml:space="preserve">RACH-ConfigGeneric </w:t>
            </w:r>
            <w:r>
              <w:rPr>
                <w:rFonts w:eastAsia="Calibri"/>
                <w:sz w:val="22"/>
                <w:szCs w:val="22"/>
                <w:lang w:val="de-DE" w:eastAsia="sv-SE"/>
              </w:rPr>
              <w:t xml:space="preserve">according to the </w:t>
            </w:r>
            <w:r>
              <w:rPr>
                <w:rFonts w:cs="Arial" w:eastAsiaTheme="minorEastAsia"/>
                <w:sz w:val="22"/>
                <w:szCs w:val="22"/>
                <w:lang w:val="de-DE" w:eastAsia="zh-CN"/>
              </w:rPr>
              <w:t>38.211 specification</w:t>
            </w:r>
            <w:r>
              <w:rPr>
                <w:rFonts w:eastAsia="Calibri"/>
                <w:sz w:val="22"/>
                <w:szCs w:val="22"/>
                <w:lang w:val="de-DE"/>
              </w:rPr>
              <w:t>“</w:t>
            </w:r>
          </w:p>
          <w:p>
            <w:pPr>
              <w:spacing w:after="0"/>
              <w:jc w:val="both"/>
              <w:rPr>
                <w:rFonts w:eastAsia="Calibri"/>
                <w:sz w:val="22"/>
                <w:szCs w:val="22"/>
                <w:lang w:val="en-GB"/>
              </w:rPr>
            </w:pPr>
            <w:r>
              <w:rPr>
                <w:rFonts w:eastAsia="Calibri"/>
                <w:sz w:val="22"/>
                <w:szCs w:val="22"/>
                <w:lang w:val="de-DE"/>
              </w:rPr>
              <w:sym w:font="Wingdings" w:char="F0E0"/>
            </w:r>
            <w:r>
              <w:rPr>
                <w:rFonts w:eastAsia="Calibri"/>
                <w:sz w:val="22"/>
                <w:szCs w:val="22"/>
                <w:lang w:val="de-DE"/>
              </w:rPr>
              <w:t xml:space="preserve"> </w:t>
            </w:r>
            <w:r>
              <w:rPr>
                <w:rFonts w:eastAsia="Calibri"/>
                <w:sz w:val="22"/>
                <w:szCs w:val="22"/>
                <w:lang w:val="en-GB"/>
              </w:rPr>
              <w:t>This is only needed for the PARCH with a length 139 and 2-step RACH only case.</w:t>
            </w:r>
          </w:p>
          <w:p>
            <w:pPr>
              <w:spacing w:after="0"/>
              <w:jc w:val="both"/>
              <w:rPr>
                <w:rFonts w:eastAsia="Calibri"/>
                <w:sz w:val="22"/>
                <w:szCs w:val="22"/>
                <w:lang w:val="de-DE"/>
              </w:rPr>
            </w:pPr>
            <w:r>
              <w:rPr>
                <w:rFonts w:eastAsia="Calibri"/>
                <w:sz w:val="22"/>
                <w:szCs w:val="22"/>
                <w:lang w:val="de-DE"/>
              </w:rPr>
              <w:br w:type="textWrapping"/>
            </w:r>
            <w:r>
              <w:rPr>
                <w:rFonts w:eastAsia="Calibri"/>
                <w:sz w:val="22"/>
                <w:szCs w:val="22"/>
                <w:lang w:val="de-DE"/>
              </w:rPr>
              <w:t>„</w:t>
            </w:r>
            <w:r>
              <w:rPr>
                <w:rFonts w:cs="Arial" w:eastAsiaTheme="minorEastAsia"/>
                <w:sz w:val="22"/>
                <w:szCs w:val="22"/>
                <w:lang w:val="de-DE" w:eastAsia="zh-CN"/>
              </w:rPr>
              <w:t xml:space="preserve">we can know if l139 is set for 2-step RACH, then </w:t>
            </w:r>
            <w:r>
              <w:rPr>
                <w:rFonts w:eastAsia="Calibri" w:cs="Arial"/>
                <w:i/>
                <w:sz w:val="22"/>
                <w:szCs w:val="21"/>
                <w:lang w:val="de-DE"/>
              </w:rPr>
              <w:t>msg1-subcarrierSpacing</w:t>
            </w:r>
            <w:r>
              <w:rPr>
                <w:rFonts w:eastAsia="Calibri" w:cs="Arial"/>
                <w:sz w:val="22"/>
                <w:szCs w:val="21"/>
                <w:lang w:val="de-DE"/>
              </w:rPr>
              <w:t xml:space="preserve"> should be mandatory present to indicate the PRACH SCS of MsgA Preamble even though l139 is not configured for 4-step RACH</w:t>
            </w:r>
            <w:r>
              <w:rPr>
                <w:rFonts w:eastAsia="Calibri"/>
                <w:sz w:val="22"/>
                <w:szCs w:val="22"/>
                <w:lang w:val="de-DE"/>
              </w:rPr>
              <w:t>“</w:t>
            </w:r>
          </w:p>
          <w:p>
            <w:pPr>
              <w:spacing w:after="0"/>
              <w:jc w:val="both"/>
              <w:rPr>
                <w:rFonts w:eastAsia="Calibri"/>
                <w:sz w:val="22"/>
                <w:szCs w:val="22"/>
                <w:lang w:val="en-GB"/>
              </w:rPr>
            </w:pPr>
            <w:r>
              <w:rPr>
                <w:rFonts w:eastAsia="Calibri"/>
                <w:sz w:val="22"/>
                <w:szCs w:val="22"/>
                <w:lang w:val="de-DE"/>
              </w:rPr>
              <w:sym w:font="Wingdings" w:char="F0E0"/>
            </w:r>
            <w:r>
              <w:rPr>
                <w:rFonts w:eastAsia="Calibri"/>
                <w:sz w:val="22"/>
                <w:szCs w:val="22"/>
                <w:lang w:val="de-DE"/>
              </w:rPr>
              <w:t xml:space="preserve"> </w:t>
            </w:r>
            <w:r>
              <w:rPr>
                <w:rFonts w:eastAsia="Calibri"/>
                <w:sz w:val="22"/>
                <w:szCs w:val="22"/>
                <w:lang w:val="en-GB"/>
              </w:rPr>
              <w:t>This is not correct for 2-step RACH only BWP. Even for the case both 2-step and 4-step RA are configured, a msg1 PRACH with a length other than L139 can not be configured together with a msgA PRACH with a length L139 since their SCS must be aligned and so does the PRACH format.</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u w:val="single"/>
                <w:lang w:val="de-DE"/>
              </w:rPr>
              <w:t>First correction</w:t>
            </w:r>
            <w:r>
              <w:rPr>
                <w:rFonts w:eastAsia="Calibri"/>
                <w:sz w:val="22"/>
                <w:szCs w:val="22"/>
                <w:lang w:val="de-DE"/>
              </w:rPr>
              <w:t xml:space="preserve"> (conditional presense l139):</w:t>
            </w:r>
          </w:p>
          <w:p>
            <w:pPr>
              <w:spacing w:after="0"/>
              <w:jc w:val="both"/>
              <w:rPr>
                <w:rFonts w:eastAsia="Calibri"/>
                <w:sz w:val="22"/>
                <w:szCs w:val="22"/>
                <w:lang w:val="en-GB"/>
              </w:rPr>
            </w:pPr>
            <w:r>
              <w:rPr>
                <w:rFonts w:eastAsia="Calibri"/>
                <w:sz w:val="22"/>
                <w:szCs w:val="22"/>
                <w:lang w:val="en-GB"/>
              </w:rPr>
              <w:t>This “</w:t>
            </w:r>
            <w:r>
              <w:rPr>
                <w:rFonts w:eastAsia="Calibri"/>
                <w:i/>
                <w:iCs/>
                <w:sz w:val="22"/>
                <w:szCs w:val="22"/>
                <w:lang w:val="en-GB"/>
              </w:rPr>
              <w:t>msgA-PRACH-RootSequenceIndex</w:t>
            </w:r>
            <w:r>
              <w:rPr>
                <w:rFonts w:eastAsia="Calibri"/>
                <w:sz w:val="22"/>
                <w:szCs w:val="22"/>
                <w:lang w:val="en-GB"/>
              </w:rPr>
              <w:t xml:space="preserve">” will be mandatory for 2-step RACH only case and optional for the case both 2-step and 4-step RA are configured. </w:t>
            </w:r>
          </w:p>
          <w:p>
            <w:pPr>
              <w:spacing w:after="0"/>
              <w:jc w:val="both"/>
              <w:rPr>
                <w:rFonts w:eastAsia="Calibri"/>
                <w:sz w:val="22"/>
                <w:szCs w:val="22"/>
                <w:lang w:val="en-GB"/>
              </w:rPr>
            </w:pPr>
          </w:p>
          <w:p>
            <w:pPr>
              <w:spacing w:after="0"/>
              <w:jc w:val="both"/>
              <w:rPr>
                <w:rFonts w:eastAsia="Calibri"/>
                <w:sz w:val="22"/>
                <w:szCs w:val="22"/>
                <w:lang w:val="en-GB"/>
              </w:rPr>
            </w:pPr>
            <w:r>
              <w:rPr>
                <w:rFonts w:eastAsia="Calibri"/>
                <w:sz w:val="22"/>
                <w:szCs w:val="22"/>
                <w:lang w:val="en-GB"/>
              </w:rPr>
              <w:t>For 2-step RACH only case (the former), SCS will be provided either by the PRACH format or the separately configured mandatory SCS.</w:t>
            </w:r>
          </w:p>
          <w:p>
            <w:pPr>
              <w:spacing w:after="0"/>
              <w:jc w:val="both"/>
              <w:rPr>
                <w:rFonts w:eastAsia="Calibri"/>
                <w:sz w:val="22"/>
                <w:szCs w:val="22"/>
                <w:lang w:val="en-GB"/>
              </w:rPr>
            </w:pPr>
            <w:r>
              <w:rPr>
                <w:rFonts w:eastAsia="Calibri"/>
                <w:sz w:val="22"/>
                <w:szCs w:val="22"/>
                <w:lang w:val="en-GB"/>
              </w:rPr>
              <w:t>For the case both 2-step and 4-step RA are configured (the latter), this msg1 SCS configuration may or may be not needed depending on msg1 PRACH format itself.</w:t>
            </w:r>
          </w:p>
          <w:p>
            <w:pPr>
              <w:spacing w:after="0"/>
              <w:jc w:val="both"/>
              <w:rPr>
                <w:rFonts w:eastAsia="Calibri"/>
                <w:sz w:val="22"/>
                <w:szCs w:val="22"/>
                <w:lang w:val="en-GB"/>
              </w:rPr>
            </w:pPr>
          </w:p>
          <w:p>
            <w:pPr>
              <w:spacing w:after="0"/>
              <w:jc w:val="both"/>
              <w:rPr>
                <w:rFonts w:eastAsia="Calibri"/>
                <w:sz w:val="22"/>
                <w:szCs w:val="22"/>
                <w:lang w:val="en-GB"/>
              </w:rPr>
            </w:pPr>
            <w:r>
              <w:rPr>
                <w:rFonts w:eastAsia="Calibri"/>
                <w:sz w:val="22"/>
                <w:szCs w:val="22"/>
                <w:lang w:val="en-GB"/>
              </w:rPr>
              <w:t>Since this condition here is assuming 4-step RACH is configured, it must be the latter case.</w:t>
            </w:r>
          </w:p>
          <w:p>
            <w:pPr>
              <w:spacing w:after="0"/>
              <w:jc w:val="both"/>
              <w:rPr>
                <w:rFonts w:eastAsia="Calibri"/>
                <w:sz w:val="22"/>
                <w:szCs w:val="22"/>
                <w:lang w:val="en-GB"/>
              </w:rPr>
            </w:pPr>
          </w:p>
          <w:p>
            <w:pPr>
              <w:spacing w:after="0"/>
              <w:jc w:val="both"/>
              <w:rPr>
                <w:rFonts w:eastAsia="Calibri"/>
                <w:sz w:val="22"/>
                <w:szCs w:val="22"/>
                <w:lang w:val="en-GB"/>
              </w:rPr>
            </w:pPr>
            <w:r>
              <w:rPr>
                <w:rFonts w:eastAsia="Calibri"/>
                <w:sz w:val="22"/>
                <w:szCs w:val="22"/>
                <w:lang w:val="en-GB"/>
              </w:rPr>
              <w:t xml:space="preserve">However, the issue is do we allow if </w:t>
            </w:r>
            <w:r>
              <w:rPr>
                <w:rFonts w:eastAsia="Calibri"/>
                <w:i/>
                <w:iCs/>
                <w:sz w:val="22"/>
                <w:szCs w:val="22"/>
                <w:lang w:val="en-GB"/>
              </w:rPr>
              <w:t>prach-RootSequenceIndex</w:t>
            </w:r>
            <w:r>
              <w:rPr>
                <w:rFonts w:eastAsia="Calibri"/>
                <w:sz w:val="22"/>
                <w:szCs w:val="22"/>
                <w:lang w:val="en-GB"/>
              </w:rPr>
              <w:t xml:space="preserve"> L!=139, while </w:t>
            </w:r>
            <w:r>
              <w:rPr>
                <w:rFonts w:eastAsia="Calibri"/>
                <w:i/>
                <w:iCs/>
                <w:sz w:val="22"/>
                <w:szCs w:val="22"/>
                <w:lang w:val="en-GB"/>
              </w:rPr>
              <w:t xml:space="preserve">msgA-PRACH-RootSequenceIndex </w:t>
            </w:r>
            <w:r>
              <w:rPr>
                <w:rFonts w:eastAsia="Calibri"/>
                <w:sz w:val="22"/>
                <w:szCs w:val="22"/>
                <w:lang w:val="en-GB"/>
              </w:rPr>
              <w:t>L=139?</w:t>
            </w:r>
          </w:p>
          <w:p>
            <w:pPr>
              <w:spacing w:after="0"/>
              <w:jc w:val="both"/>
              <w:rPr>
                <w:rFonts w:eastAsia="Calibri"/>
                <w:sz w:val="22"/>
                <w:szCs w:val="22"/>
                <w:lang w:val="en-GB"/>
              </w:rPr>
            </w:pPr>
          </w:p>
          <w:p>
            <w:pPr>
              <w:spacing w:after="0"/>
              <w:jc w:val="both"/>
              <w:rPr>
                <w:rFonts w:eastAsia="Calibri"/>
                <w:sz w:val="22"/>
                <w:szCs w:val="22"/>
                <w:lang w:val="en-GB"/>
              </w:rPr>
            </w:pPr>
            <w:r>
              <w:rPr>
                <w:rFonts w:eastAsia="Calibri"/>
                <w:sz w:val="22"/>
                <w:szCs w:val="22"/>
                <w:lang w:val="en-GB"/>
              </w:rPr>
              <w:t>According to RAN1 agreement, this seems allowed:</w:t>
            </w:r>
          </w:p>
          <w:p>
            <w:pPr>
              <w:spacing w:after="0"/>
              <w:jc w:val="both"/>
              <w:rPr>
                <w:rFonts w:eastAsia="Calibri"/>
                <w:i/>
                <w:iCs/>
                <w:sz w:val="22"/>
                <w:szCs w:val="22"/>
                <w:lang w:val="en-GB"/>
              </w:rPr>
            </w:pPr>
            <w:r>
              <w:rPr>
                <w:rFonts w:eastAsia="Calibri"/>
                <w:i/>
                <w:iCs/>
                <w:sz w:val="22"/>
                <w:szCs w:val="22"/>
                <w:highlight w:val="green"/>
                <w:lang w:val="en-GB"/>
              </w:rPr>
              <w:t>Agreements:</w:t>
            </w:r>
          </w:p>
          <w:p>
            <w:pPr>
              <w:spacing w:after="0"/>
              <w:jc w:val="both"/>
              <w:rPr>
                <w:rFonts w:eastAsia="Calibri"/>
                <w:sz w:val="22"/>
                <w:szCs w:val="22"/>
                <w:lang w:val="en-GB"/>
              </w:rPr>
            </w:pPr>
            <w:r>
              <w:rPr>
                <w:rFonts w:eastAsia="Calibri"/>
                <w:i/>
                <w:iCs/>
                <w:sz w:val="22"/>
                <w:szCs w:val="22"/>
                <w:lang w:val="en-GB"/>
              </w:rPr>
              <w:t>For 2-step RACH in separate ROs, the following parameters (prach-RootSequenceIndex, zeroCorrelationZoneConfig, restrictedSetConfig), are separately configured for 2-step RACH. If absent, reuse the corresponding 4-step RACH parameters.</w:t>
            </w:r>
          </w:p>
          <w:p>
            <w:pPr>
              <w:spacing w:after="0"/>
              <w:jc w:val="both"/>
              <w:rPr>
                <w:rFonts w:eastAsia="Calibri"/>
                <w:sz w:val="22"/>
                <w:szCs w:val="22"/>
                <w:lang w:val="en-GB"/>
              </w:rPr>
            </w:pPr>
          </w:p>
          <w:p>
            <w:pPr>
              <w:spacing w:after="0"/>
              <w:jc w:val="both"/>
              <w:rPr>
                <w:rFonts w:eastAsia="Calibri"/>
                <w:sz w:val="22"/>
                <w:szCs w:val="22"/>
                <w:lang w:val="en-GB"/>
              </w:rPr>
            </w:pPr>
            <w:r>
              <w:rPr>
                <w:rFonts w:eastAsia="Calibri"/>
                <w:sz w:val="22"/>
                <w:szCs w:val="22"/>
                <w:lang w:val="en-GB"/>
              </w:rPr>
              <w:t xml:space="preserve">However, in this case, </w:t>
            </w:r>
            <w:r>
              <w:rPr>
                <w:rFonts w:eastAsia="Calibri"/>
                <w:i/>
                <w:iCs/>
                <w:sz w:val="22"/>
                <w:szCs w:val="22"/>
                <w:lang w:val="en-GB"/>
              </w:rPr>
              <w:t>msg1-SubcarrierSpacing</w:t>
            </w:r>
            <w:r>
              <w:rPr>
                <w:rFonts w:eastAsia="Calibri"/>
                <w:sz w:val="22"/>
                <w:szCs w:val="22"/>
                <w:lang w:val="en-GB"/>
              </w:rPr>
              <w:t xml:space="preserve"> is not allowed to be configured, as the SCS for msg1 will not be 15/30/60/120KHz and will be determined by PRACH format directly. According to agreement below, it implicitly (in our understanding) means the SCS of MSgA PRACH should be the same as the Msg1 PRACH, i.e. they will have same PRACH format (although the </w:t>
            </w:r>
            <w:r>
              <w:rPr>
                <w:rFonts w:eastAsia="Calibri"/>
                <w:i/>
                <w:iCs/>
                <w:sz w:val="22"/>
                <w:szCs w:val="22"/>
                <w:lang w:val="en-GB"/>
              </w:rPr>
              <w:t>msg1-subcarrierSpacing</w:t>
            </w:r>
            <w:r>
              <w:rPr>
                <w:rFonts w:eastAsia="Calibri"/>
                <w:sz w:val="22"/>
                <w:szCs w:val="22"/>
                <w:lang w:val="en-GB"/>
              </w:rPr>
              <w:t xml:space="preserve"> is put in bracket, it doesn’t have to exist if not necessary in our understanding) :</w:t>
            </w:r>
          </w:p>
          <w:p>
            <w:pPr>
              <w:spacing w:after="0"/>
              <w:jc w:val="both"/>
              <w:rPr>
                <w:rFonts w:eastAsia="Calibri"/>
                <w:i/>
                <w:iCs/>
                <w:sz w:val="22"/>
                <w:szCs w:val="22"/>
                <w:lang w:val="en-GB"/>
              </w:rPr>
            </w:pPr>
            <w:r>
              <w:rPr>
                <w:rFonts w:eastAsia="Calibri"/>
                <w:i/>
                <w:iCs/>
                <w:sz w:val="22"/>
                <w:szCs w:val="22"/>
                <w:highlight w:val="green"/>
                <w:lang w:val="en-GB"/>
              </w:rPr>
              <w:t>Agreements:</w:t>
            </w:r>
          </w:p>
          <w:p>
            <w:pPr>
              <w:spacing w:after="0"/>
              <w:jc w:val="both"/>
              <w:rPr>
                <w:rFonts w:eastAsia="Calibri"/>
                <w:i/>
                <w:iCs/>
                <w:sz w:val="22"/>
                <w:szCs w:val="22"/>
                <w:lang w:val="en-GB"/>
              </w:rPr>
            </w:pPr>
            <w:r>
              <w:rPr>
                <w:rFonts w:eastAsia="Calibri"/>
                <w:i/>
                <w:iCs/>
                <w:sz w:val="22"/>
                <w:szCs w:val="22"/>
                <w:lang w:val="en-GB"/>
              </w:rPr>
              <w:t>For separately configured ROs, the 2-step RACH MsgA PRACH SCS is indicated by the corresponding 4-step RACH parameter (msg1-subcarrierSpacing).</w:t>
            </w:r>
          </w:p>
          <w:p>
            <w:pPr>
              <w:spacing w:after="0"/>
              <w:jc w:val="both"/>
              <w:rPr>
                <w:rFonts w:eastAsia="Calibri"/>
                <w:sz w:val="22"/>
                <w:szCs w:val="22"/>
                <w:lang w:val="en-GB"/>
              </w:rPr>
            </w:pPr>
          </w:p>
          <w:p>
            <w:pPr>
              <w:spacing w:after="0"/>
              <w:jc w:val="both"/>
              <w:rPr>
                <w:rFonts w:eastAsia="Calibri"/>
                <w:sz w:val="22"/>
                <w:szCs w:val="22"/>
                <w:lang w:val="en-GB"/>
              </w:rPr>
            </w:pPr>
            <w:r>
              <w:rPr>
                <w:rFonts w:eastAsia="Calibri"/>
                <w:sz w:val="22"/>
                <w:szCs w:val="22"/>
                <w:u w:val="single"/>
                <w:lang w:val="en-GB"/>
              </w:rPr>
              <w:t>According to above, the original wording is enough,</w:t>
            </w:r>
            <w:r>
              <w:rPr>
                <w:rFonts w:eastAsia="Calibri"/>
                <w:sz w:val="22"/>
                <w:szCs w:val="22"/>
                <w:lang w:val="en-GB"/>
              </w:rPr>
              <w:t xml:space="preserve"> i.e. as long as “</w:t>
            </w:r>
            <w:r>
              <w:rPr>
                <w:rFonts w:eastAsia="Calibri"/>
                <w:i/>
                <w:iCs/>
                <w:sz w:val="22"/>
                <w:szCs w:val="22"/>
                <w:lang w:val="en-GB"/>
              </w:rPr>
              <w:t>prach-RootSequenceIndex</w:t>
            </w:r>
            <w:r>
              <w:rPr>
                <w:rFonts w:eastAsia="Calibri"/>
                <w:sz w:val="22"/>
                <w:szCs w:val="22"/>
                <w:lang w:val="en-GB"/>
              </w:rPr>
              <w:t xml:space="preserve"> L=139”, the field here is mandatory, otherwise absent.</w:t>
            </w:r>
          </w:p>
          <w:p>
            <w:pPr>
              <w:spacing w:after="0"/>
              <w:jc w:val="both"/>
              <w:rPr>
                <w:rFonts w:eastAsia="Calibri"/>
                <w:sz w:val="22"/>
                <w:szCs w:val="22"/>
                <w:lang w:val="de-DE"/>
              </w:rPr>
            </w:pPr>
          </w:p>
          <w:p>
            <w:pPr>
              <w:pStyle w:val="78"/>
              <w:rPr>
                <w:rFonts w:eastAsia="Calibri"/>
                <w:b/>
                <w:i/>
                <w:szCs w:val="22"/>
                <w:lang w:eastAsia="sv-SE"/>
              </w:rPr>
            </w:pPr>
            <w:r>
              <w:rPr>
                <w:rFonts w:eastAsia="Calibri"/>
                <w:sz w:val="22"/>
                <w:szCs w:val="22"/>
                <w:lang w:val="en-GB" w:eastAsia="ja-JP"/>
              </w:rPr>
              <w:t xml:space="preserve">Correction to </w:t>
            </w:r>
            <w:r>
              <w:rPr>
                <w:rFonts w:eastAsia="Calibri"/>
                <w:b/>
                <w:i/>
                <w:szCs w:val="22"/>
                <w:lang w:eastAsia="sv-SE"/>
              </w:rPr>
              <w:t>msgA-SubcarrierSpacing</w:t>
            </w:r>
          </w:p>
          <w:p>
            <w:pPr>
              <w:spacing w:after="0"/>
              <w:jc w:val="both"/>
              <w:rPr>
                <w:rFonts w:eastAsia="Calibri"/>
                <w:sz w:val="22"/>
                <w:szCs w:val="22"/>
                <w:lang w:val="en-GB"/>
              </w:rPr>
            </w:pPr>
            <w:r>
              <w:rPr>
                <w:rFonts w:eastAsia="Calibri"/>
                <w:sz w:val="22"/>
                <w:szCs w:val="22"/>
                <w:lang w:val="en-GB"/>
              </w:rPr>
              <w:t>RAN1 agreement (copied above), meaning that one do not want to have different SCS between 2-step RACH and 4-step RACH even for separate RO case when “values 15 or 30 kHz (FR1), and 60 or 120 kHz (FR2) are applicable” that “</w:t>
            </w:r>
            <w:r>
              <w:rPr>
                <w:rFonts w:eastAsia="Calibri"/>
                <w:i/>
                <w:iCs/>
                <w:sz w:val="22"/>
                <w:szCs w:val="22"/>
                <w:lang w:val="en-GB"/>
              </w:rPr>
              <w:t>msg1-subcarrierSpacing</w:t>
            </w:r>
            <w:r>
              <w:rPr>
                <w:rFonts w:eastAsia="Calibri"/>
                <w:sz w:val="22"/>
                <w:szCs w:val="22"/>
                <w:lang w:val="en-GB"/>
              </w:rPr>
              <w:t>” is aiming for:</w:t>
            </w:r>
          </w:p>
          <w:p>
            <w:pPr>
              <w:spacing w:after="0"/>
              <w:jc w:val="both"/>
              <w:rPr>
                <w:rFonts w:eastAsia="Calibri"/>
                <w:sz w:val="22"/>
                <w:szCs w:val="22"/>
                <w:lang w:val="en-GB"/>
              </w:rPr>
            </w:pPr>
            <w:r>
              <w:rPr>
                <w:rFonts w:eastAsia="Calibri"/>
                <w:sz w:val="22"/>
                <w:szCs w:val="22"/>
                <w:lang w:val="en-GB"/>
              </w:rPr>
              <w:t xml:space="preserve">This update is changing “Otherwise” to “if absent” which is wrong, there’s no “absent” case for 2-step RACH only BWP when “values 15 or 30 kHz (FR1), and 60 or 120 kHz (FR2) are applicable”. </w:t>
            </w:r>
          </w:p>
          <w:p>
            <w:pPr>
              <w:spacing w:after="0"/>
              <w:jc w:val="both"/>
              <w:rPr>
                <w:rFonts w:eastAsia="Calibri"/>
                <w:sz w:val="22"/>
                <w:szCs w:val="22"/>
                <w:lang w:val="en-GB"/>
              </w:rPr>
            </w:pPr>
          </w:p>
          <w:p>
            <w:pPr>
              <w:spacing w:after="0"/>
              <w:jc w:val="both"/>
              <w:rPr>
                <w:rFonts w:eastAsia="Calibri"/>
                <w:sz w:val="22"/>
                <w:szCs w:val="22"/>
                <w:lang w:val="en-GB"/>
              </w:rPr>
            </w:pPr>
            <w:r>
              <w:rPr>
                <w:rFonts w:eastAsia="Calibri"/>
                <w:sz w:val="22"/>
                <w:szCs w:val="22"/>
                <w:lang w:val="en-GB"/>
              </w:rPr>
              <w:t>Note that here the text “Only the values 15 or 30 kHz (FR1), and 60 or 120 kHz (FR2) are applicable” already indicates that 839/571/1151 length PRACH will be precluded according to the PRACH format definitions in RAN1, i.e. only 139 requires one bit indication, other cases have no confusion at all.</w:t>
            </w:r>
          </w:p>
          <w:p>
            <w:pPr>
              <w:spacing w:after="0"/>
              <w:jc w:val="both"/>
              <w:rPr>
                <w:rFonts w:eastAsia="Calibri"/>
                <w:sz w:val="22"/>
                <w:szCs w:val="22"/>
                <w:lang w:val="en-GB"/>
              </w:rPr>
            </w:pPr>
          </w:p>
          <w:p>
            <w:pPr>
              <w:spacing w:after="0"/>
              <w:jc w:val="both"/>
              <w:rPr>
                <w:rFonts w:eastAsia="Calibri"/>
                <w:sz w:val="22"/>
                <w:szCs w:val="22"/>
                <w:lang w:val="en-GB"/>
              </w:rPr>
            </w:pPr>
            <w:r>
              <w:rPr>
                <w:rFonts w:eastAsia="Calibri"/>
                <w:sz w:val="22"/>
                <w:szCs w:val="22"/>
                <w:lang w:val="en-GB"/>
              </w:rPr>
              <w:t>So the updates here are not correct, i.e we do not need to consider the PRACH formats with length not equal to 139 here at all.</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Last change: ok to have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N</w:t>
            </w:r>
            <w:r>
              <w:rPr>
                <w:rFonts w:eastAsiaTheme="minorEastAsia"/>
                <w:sz w:val="22"/>
                <w:szCs w:val="22"/>
                <w:lang w:val="de-DE" w:eastAsia="zh-CN"/>
              </w:rPr>
              <w:t>o</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 xml:space="preserve">We think the explicit signaling of PRACH SCS is only needed for L139 since the rest can be deduced from PRACH format. Then for L139 we intend to agree with E/// </w:t>
            </w:r>
            <w:r>
              <w:rPr>
                <w:rFonts w:hint="eastAsia" w:eastAsiaTheme="minorEastAsia"/>
                <w:sz w:val="22"/>
                <w:szCs w:val="22"/>
                <w:lang w:val="de-DE" w:eastAsia="zh-CN"/>
              </w:rPr>
              <w:t>that</w:t>
            </w:r>
            <w:r>
              <w:rPr>
                <w:rFonts w:eastAsiaTheme="minorEastAsia"/>
                <w:sz w:val="22"/>
                <w:szCs w:val="22"/>
                <w:lang w:val="de-DE" w:eastAsia="zh-CN"/>
              </w:rPr>
              <w:t xml:space="preserve"> the case when 2-step RACH is configured with L139 while 4-step RACH is configured with non-L139 doesn’t make sense following RAN1 agreement. Hence we disagree with 1st and 2nd change, but ok with 3rd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hint="default" w:eastAsiaTheme="minorEastAsia"/>
                <w:sz w:val="22"/>
                <w:szCs w:val="22"/>
                <w:lang w:val="en-US" w:eastAsia="zh-CN"/>
              </w:rPr>
            </w:pPr>
            <w:r>
              <w:rPr>
                <w:rFonts w:hint="eastAsia" w:eastAsiaTheme="minorEastAsia"/>
                <w:sz w:val="22"/>
                <w:szCs w:val="22"/>
                <w:lang w:val="en-US" w:eastAsia="zh-CN"/>
              </w:rPr>
              <w:t>ZTE</w:t>
            </w:r>
          </w:p>
        </w:tc>
        <w:tc>
          <w:tcPr>
            <w:tcW w:w="1500" w:type="dxa"/>
          </w:tcPr>
          <w:p>
            <w:pPr>
              <w:spacing w:after="0"/>
              <w:jc w:val="both"/>
              <w:rPr>
                <w:rFonts w:hint="default" w:eastAsiaTheme="minorEastAsia"/>
                <w:sz w:val="22"/>
                <w:szCs w:val="22"/>
                <w:lang w:val="en-US" w:eastAsia="zh-CN"/>
              </w:rPr>
            </w:pPr>
            <w:r>
              <w:rPr>
                <w:rFonts w:hint="eastAsia" w:eastAsiaTheme="minorEastAsia"/>
                <w:sz w:val="22"/>
                <w:szCs w:val="22"/>
                <w:lang w:val="en-US" w:eastAsia="zh-CN"/>
              </w:rPr>
              <w:t>Yes</w:t>
            </w:r>
            <w:bookmarkStart w:id="13" w:name="_GoBack"/>
            <w:bookmarkEnd w:id="13"/>
          </w:p>
        </w:tc>
        <w:tc>
          <w:tcPr>
            <w:tcW w:w="6378" w:type="dxa"/>
          </w:tcPr>
          <w:p>
            <w:pPr>
              <w:spacing w:after="0"/>
              <w:jc w:val="both"/>
              <w:rPr>
                <w:rFonts w:eastAsiaTheme="minorEastAsia"/>
                <w:sz w:val="22"/>
                <w:szCs w:val="22"/>
                <w:lang w:val="de-DE" w:eastAsia="zh-CN"/>
              </w:rPr>
            </w:pPr>
          </w:p>
        </w:tc>
      </w:tr>
    </w:tbl>
    <w:p>
      <w:pPr>
        <w:pStyle w:val="113"/>
        <w:ind w:left="0" w:firstLine="0"/>
        <w:rPr>
          <w:b/>
        </w:rPr>
      </w:pPr>
    </w:p>
    <w:p>
      <w:pPr>
        <w:rPr>
          <w:lang w:eastAsia="en-GB"/>
        </w:rPr>
      </w:pPr>
    </w:p>
    <w:p>
      <w:pPr>
        <w:pStyle w:val="162"/>
        <w:ind w:left="0" w:firstLine="0"/>
      </w:pPr>
    </w:p>
    <w:p>
      <w:pPr>
        <w:pStyle w:val="4"/>
      </w:pPr>
      <w:r>
        <w:t>2.1.6</w:t>
      </w:r>
      <w:r>
        <w:tab/>
      </w:r>
      <w:r>
        <w:t>Redirection with MPS indication</w:t>
      </w:r>
    </w:p>
    <w:p>
      <w:pPr>
        <w:pStyle w:val="163"/>
      </w:pPr>
      <w:r>
        <w:fldChar w:fldCharType="begin"/>
      </w:r>
      <w:r>
        <w:instrText xml:space="preserve"> HYPERLINK "http://www.3gpp.org/ftp/tsg_ran/WG2_RL2//TSGR2_115-e/Docs//R2-2108434.zip" </w:instrText>
      </w:r>
      <w:r>
        <w:fldChar w:fldCharType="separate"/>
      </w:r>
      <w:r>
        <w:rPr>
          <w:rStyle w:val="58"/>
        </w:rPr>
        <w:t>R2-2108434</w:t>
      </w:r>
      <w:r>
        <w:rPr>
          <w:rStyle w:val="58"/>
        </w:rPr>
        <w:fldChar w:fldCharType="end"/>
      </w:r>
      <w:r>
        <w:tab/>
      </w:r>
      <w:r>
        <w:t>Correction on Redirection with MPS Indication</w:t>
      </w:r>
      <w:r>
        <w:tab/>
      </w:r>
      <w:r>
        <w:t>Peraton Labs, CISA ECD, T-Mobile US, Ericsson , Qualcomm, NTT DoCoMo, AT&amp;T, Verizon</w:t>
      </w:r>
      <w:r>
        <w:tab/>
      </w:r>
      <w:r>
        <w:t>CR</w:t>
      </w:r>
      <w:r>
        <w:tab/>
      </w:r>
      <w:r>
        <w:t>Rel-16</w:t>
      </w:r>
      <w:r>
        <w:tab/>
      </w:r>
      <w:r>
        <w:t>36.331</w:t>
      </w:r>
      <w:r>
        <w:tab/>
      </w:r>
      <w:r>
        <w:t>16.5.0</w:t>
      </w:r>
      <w:r>
        <w:tab/>
      </w:r>
      <w:r>
        <w:t>4714</w:t>
      </w:r>
      <w:r>
        <w:tab/>
      </w:r>
      <w:r>
        <w:t>-</w:t>
      </w:r>
      <w:r>
        <w:tab/>
      </w:r>
      <w:r>
        <w:t>F</w:t>
      </w:r>
      <w:r>
        <w:tab/>
      </w:r>
      <w:r>
        <w:t>NR_newRAT-Core, TEI16</w:t>
      </w:r>
    </w:p>
    <w:p>
      <w:pPr>
        <w:pStyle w:val="162"/>
        <w:ind w:left="0" w:firstLine="0"/>
      </w:pPr>
    </w:p>
    <w:p>
      <w:pPr>
        <w:rPr>
          <w:b/>
          <w:bCs/>
          <w:lang w:eastAsia="en-GB"/>
        </w:rPr>
      </w:pPr>
      <w:r>
        <w:rPr>
          <w:b/>
          <w:bCs/>
          <w:lang w:eastAsia="en-GB"/>
        </w:rPr>
        <w:t>Q9. Companies are asked to provide their view on the need of the draft CR, and comments on the changes in the draft CR.</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CR needed?</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w:t>
            </w:r>
          </w:p>
        </w:tc>
        <w:tc>
          <w:tcPr>
            <w:tcW w:w="6378" w:type="dxa"/>
          </w:tcPr>
          <w:p>
            <w:pPr>
              <w:spacing w:after="0"/>
              <w:jc w:val="both"/>
              <w:rPr>
                <w:rFonts w:eastAsia="Calibri"/>
                <w:sz w:val="22"/>
                <w:szCs w:val="22"/>
                <w:lang w:val="de-DE"/>
              </w:rPr>
            </w:pPr>
            <w:r>
              <w:rPr>
                <w:rFonts w:eastAsia="Calibri"/>
                <w:sz w:val="22"/>
                <w:szCs w:val="22"/>
                <w:lang w:val="de-DE"/>
              </w:rPr>
              <w:t>We are not sure the CR exactly matches the problem.  In our reading, the access attempt for MPS redirection will be allowed if *any one* of the ACs 12..14 is not barred, even if the actually assigned AC is barred.  So in order to effectively bar access for MPS redirection, it seems that the network needs to bar all of ACs 12..14.  We understand this may be unavoidable since the UE does not know what the assigned AC is, but it is still a bit counterintuitive and should perhaps be captured in a NOTE.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Lenovo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 but</w:t>
            </w:r>
          </w:p>
        </w:tc>
        <w:tc>
          <w:tcPr>
            <w:tcW w:w="6378" w:type="dxa"/>
          </w:tcPr>
          <w:p>
            <w:pPr>
              <w:spacing w:after="0"/>
              <w:jc w:val="both"/>
              <w:rPr>
                <w:rFonts w:eastAsia="Calibri"/>
                <w:sz w:val="22"/>
                <w:szCs w:val="22"/>
                <w:lang w:val="de-DE"/>
              </w:rPr>
            </w:pPr>
            <w:r>
              <w:rPr>
                <w:rFonts w:eastAsia="Calibri"/>
                <w:sz w:val="22"/>
                <w:szCs w:val="22"/>
                <w:lang w:val="de-DE"/>
              </w:rPr>
              <w:t>We are ok to extend the applicable AC to 12, 13. However, on the proposed change we wonder how it is meant to work:</w:t>
            </w:r>
          </w:p>
          <w:p>
            <w:pPr>
              <w:spacing w:after="0"/>
              <w:jc w:val="both"/>
              <w:rPr>
                <w:rFonts w:eastAsia="Calibri" w:cs="Arial"/>
                <w:sz w:val="22"/>
                <w:szCs w:val="22"/>
                <w:lang w:val="de-DE"/>
              </w:rPr>
            </w:pPr>
          </w:p>
          <w:p>
            <w:pPr>
              <w:pStyle w:val="133"/>
              <w:numPr>
                <w:ilvl w:val="0"/>
                <w:numId w:val="19"/>
              </w:numPr>
              <w:jc w:val="both"/>
              <w:rPr>
                <w:rFonts w:ascii="Arial" w:hAnsi="Arial" w:cs="Arial"/>
                <w:lang w:val="de-DE"/>
              </w:rPr>
            </w:pPr>
            <w:r>
              <w:rPr>
                <w:rFonts w:ascii="Arial" w:hAnsi="Arial" w:cs="Arial"/>
                <w:lang w:val="de-DE"/>
              </w:rPr>
              <w:t>If the UE is configured with AC 12, 13, 14 and the NW sets any of the corresponding bits in the ac-BarringForSpecialAC to „0“ then the UE considers the access to the cell as not barred.</w:t>
            </w:r>
          </w:p>
          <w:p>
            <w:pPr>
              <w:pStyle w:val="133"/>
              <w:numPr>
                <w:ilvl w:val="0"/>
                <w:numId w:val="19"/>
              </w:numPr>
              <w:jc w:val="both"/>
              <w:rPr>
                <w:rFonts w:ascii="Arial" w:hAnsi="Arial" w:cs="Arial"/>
                <w:lang w:val="de-DE"/>
              </w:rPr>
            </w:pPr>
            <w:r>
              <w:rPr>
                <w:rFonts w:ascii="Arial" w:hAnsi="Arial" w:cs="Arial"/>
                <w:lang w:val="de-DE"/>
              </w:rPr>
              <w:t>If the UE is configured with e.g. AC 12 only and the NW sets AC 12 to „1“ and AC 13, 14 to „0“ in the ac-BarringForSpecialAC, then does this UE still consider the access to the cell as not barred?</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Proponents should clarify whether scenario 2 is valid or not acc. to the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Malgun Gothic"/>
                <w:sz w:val="22"/>
                <w:szCs w:val="22"/>
                <w:lang w:val="de-DE" w:eastAsia="ko-KR"/>
              </w:rPr>
              <w:t>Samsung</w:t>
            </w:r>
          </w:p>
        </w:tc>
        <w:tc>
          <w:tcPr>
            <w:tcW w:w="1500" w:type="dxa"/>
          </w:tcPr>
          <w:p>
            <w:pPr>
              <w:spacing w:after="0"/>
              <w:jc w:val="both"/>
              <w:rPr>
                <w:rFonts w:eastAsiaTheme="minorEastAsia"/>
                <w:sz w:val="22"/>
                <w:szCs w:val="22"/>
                <w:lang w:val="de-DE" w:eastAsia="zh-CN"/>
              </w:rPr>
            </w:pPr>
            <w:r>
              <w:rPr>
                <w:rFonts w:hint="eastAsia" w:eastAsia="Malgun Gothic"/>
                <w:sz w:val="22"/>
                <w:szCs w:val="22"/>
                <w:lang w:val="de-DE" w:eastAsia="ko-KR"/>
              </w:rPr>
              <w:t>Yes</w:t>
            </w:r>
          </w:p>
        </w:tc>
        <w:tc>
          <w:tcPr>
            <w:tcW w:w="6378" w:type="dxa"/>
          </w:tcPr>
          <w:p>
            <w:pPr>
              <w:spacing w:after="0"/>
              <w:jc w:val="both"/>
              <w:rPr>
                <w:rFonts w:eastAsia="Calibri"/>
                <w:sz w:val="22"/>
                <w:szCs w:val="22"/>
                <w:lang w:val="de-DE"/>
              </w:rPr>
            </w:pPr>
            <w:r>
              <w:rPr>
                <w:rFonts w:eastAsia="Calibri"/>
                <w:sz w:val="22"/>
                <w:szCs w:val="22"/>
                <w:lang w:val="de-DE"/>
              </w:rPr>
              <w:t>MPS service can be offered in a number of possible Access Classes (e.g. AC 12-14).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Malgun Gothic"/>
                <w:sz w:val="22"/>
                <w:szCs w:val="22"/>
                <w:lang w:val="de-DE" w:eastAsia="ko-KR"/>
              </w:rPr>
              <w:t>vivo</w:t>
            </w:r>
          </w:p>
        </w:tc>
        <w:tc>
          <w:tcPr>
            <w:tcW w:w="1500" w:type="dxa"/>
          </w:tcPr>
          <w:p>
            <w:pPr>
              <w:spacing w:after="0"/>
              <w:jc w:val="both"/>
              <w:rPr>
                <w:rFonts w:eastAsiaTheme="minorEastAsia"/>
                <w:sz w:val="22"/>
                <w:szCs w:val="22"/>
                <w:lang w:val="de-DE" w:eastAsia="zh-CN"/>
              </w:rPr>
            </w:pPr>
            <w:r>
              <w:rPr>
                <w:rFonts w:hint="eastAsia" w:eastAsia="Malgun Gothic"/>
                <w:sz w:val="22"/>
                <w:szCs w:val="22"/>
                <w:lang w:val="de-DE" w:eastAsia="ko-KR"/>
              </w:rPr>
              <w:t>Yes</w:t>
            </w:r>
            <w:r>
              <w:rPr>
                <w:rFonts w:eastAsia="Malgun Gothic"/>
                <w:sz w:val="22"/>
                <w:szCs w:val="22"/>
                <w:lang w:val="de-DE" w:eastAsia="ko-KR"/>
              </w:rPr>
              <w:t>, but</w:t>
            </w:r>
          </w:p>
        </w:tc>
        <w:tc>
          <w:tcPr>
            <w:tcW w:w="6378" w:type="dxa"/>
          </w:tcPr>
          <w:p>
            <w:pPr>
              <w:spacing w:after="0"/>
              <w:jc w:val="both"/>
              <w:rPr>
                <w:rFonts w:eastAsia="Calibri" w:cs="Arial"/>
                <w:color w:val="000000"/>
                <w:sz w:val="22"/>
                <w:szCs w:val="22"/>
                <w:lang w:val="en-US"/>
              </w:rPr>
            </w:pPr>
            <w:r>
              <w:rPr>
                <w:rFonts w:eastAsia="Calibri"/>
                <w:sz w:val="22"/>
                <w:szCs w:val="22"/>
                <w:lang w:val="de-DE"/>
              </w:rPr>
              <w:t xml:space="preserve">Not sure why the cases when AC = 11 or 15 are excluded from the description, as the </w:t>
            </w:r>
            <w:r>
              <w:rPr>
                <w:rFonts w:eastAsia="Calibri" w:cs="Arial"/>
                <w:color w:val="000000"/>
                <w:sz w:val="22"/>
                <w:szCs w:val="22"/>
                <w:lang w:val="en-US"/>
              </w:rPr>
              <w:t>TS 22.011 clause 4.4a states that:</w:t>
            </w:r>
          </w:p>
          <w:p>
            <w:pPr>
              <w:spacing w:after="0"/>
              <w:jc w:val="both"/>
              <w:rPr>
                <w:rFonts w:eastAsia="Calibri" w:cs="Arial"/>
                <w:color w:val="000000"/>
                <w:sz w:val="22"/>
                <w:szCs w:val="22"/>
                <w:lang w:val="en-US"/>
              </w:rPr>
            </w:pPr>
          </w:p>
          <w:p>
            <w:pPr>
              <w:spacing w:after="0"/>
              <w:rPr>
                <w:rFonts w:eastAsia="Calibri" w:cs="Arial"/>
                <w:i/>
                <w:iCs/>
                <w:color w:val="000000"/>
                <w:sz w:val="22"/>
                <w:szCs w:val="22"/>
                <w:lang w:val="en-US"/>
              </w:rPr>
            </w:pPr>
            <w:r>
              <w:rPr>
                <w:rFonts w:eastAsia="Calibri" w:cs="Arial"/>
                <w:i/>
                <w:iCs/>
                <w:color w:val="000000"/>
                <w:sz w:val="22"/>
                <w:szCs w:val="22"/>
                <w:lang w:val="en-US"/>
              </w:rPr>
              <w:t>“4.4a      Multimedia Priority Service</w:t>
            </w:r>
          </w:p>
          <w:p>
            <w:pPr>
              <w:spacing w:after="0"/>
              <w:jc w:val="both"/>
              <w:rPr>
                <w:rFonts w:eastAsia="Calibri"/>
                <w:sz w:val="22"/>
                <w:szCs w:val="22"/>
                <w:lang w:val="de-DE"/>
              </w:rPr>
            </w:pPr>
            <w:r>
              <w:rPr>
                <w:rFonts w:eastAsia="Calibri" w:cs="Arial"/>
                <w:i/>
                <w:iCs/>
                <w:color w:val="000000"/>
                <w:sz w:val="22"/>
                <w:szCs w:val="22"/>
                <w:lang w:val="de-DE"/>
              </w:rPr>
              <w:t xml:space="preserve">Multimedia Priority Service (TS 22.153 [16]) shall be assigned its own unique access class value (i.e., </w:t>
            </w:r>
            <w:r>
              <w:rPr>
                <w:rFonts w:eastAsia="Calibri" w:cs="Arial"/>
                <w:i/>
                <w:iCs/>
                <w:color w:val="000000"/>
                <w:sz w:val="22"/>
                <w:szCs w:val="22"/>
                <w:highlight w:val="yellow"/>
                <w:lang w:val="de-DE"/>
              </w:rPr>
              <w:t>one of the special access classes 11 to 15</w:t>
            </w:r>
            <w:r>
              <w:rPr>
                <w:rFonts w:eastAsia="Calibri" w:cs="Arial"/>
                <w:i/>
                <w:iCs/>
                <w:color w:val="000000"/>
                <w:sz w:val="22"/>
                <w:szCs w:val="22"/>
                <w:lang w:val="de-DE"/>
              </w:rPr>
              <w:t>). The assigned access class value for Multimedia Priority Service is based on regional/national regulatory requirements and operator policy.”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eastAsia="Malgun Gothic"/>
                <w:sz w:val="22"/>
                <w:szCs w:val="22"/>
                <w:lang w:val="de-DE" w:eastAsia="ko-KR"/>
              </w:rPr>
              <w:t>QCOM</w:t>
            </w:r>
          </w:p>
        </w:tc>
        <w:tc>
          <w:tcPr>
            <w:tcW w:w="1500" w:type="dxa"/>
          </w:tcPr>
          <w:p>
            <w:pPr>
              <w:spacing w:after="0"/>
              <w:jc w:val="both"/>
              <w:rPr>
                <w:rFonts w:eastAsia="Malgun Gothic"/>
                <w:sz w:val="22"/>
                <w:szCs w:val="22"/>
                <w:lang w:val="de-DE" w:eastAsia="ko-KR"/>
              </w:rPr>
            </w:pPr>
            <w:r>
              <w:rPr>
                <w:rFonts w:eastAsia="Malgun Gothic"/>
                <w:sz w:val="22"/>
                <w:szCs w:val="22"/>
                <w:lang w:val="de-DE" w:eastAsia="ko-KR"/>
              </w:rPr>
              <w:t>Yes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eastAsia="Malgun Gothic"/>
                <w:sz w:val="22"/>
                <w:szCs w:val="22"/>
                <w:lang w:val="de-DE" w:eastAsia="ko-KR"/>
              </w:rPr>
              <w:t>Peraton Labs</w:t>
            </w:r>
          </w:p>
        </w:tc>
        <w:tc>
          <w:tcPr>
            <w:tcW w:w="1500" w:type="dxa"/>
          </w:tcPr>
          <w:p>
            <w:pPr>
              <w:spacing w:after="0"/>
              <w:jc w:val="both"/>
              <w:rPr>
                <w:rFonts w:eastAsia="Malgun Gothic"/>
                <w:sz w:val="22"/>
                <w:szCs w:val="22"/>
                <w:lang w:val="de-DE" w:eastAsia="ko-KR"/>
              </w:rPr>
            </w:pPr>
            <w:r>
              <w:rPr>
                <w:rFonts w:eastAsia="Malgun Gothic"/>
                <w:sz w:val="22"/>
                <w:szCs w:val="22"/>
                <w:lang w:val="de-DE" w:eastAsia="ko-KR"/>
              </w:rPr>
              <w:t>Yes</w:t>
            </w:r>
          </w:p>
        </w:tc>
        <w:tc>
          <w:tcPr>
            <w:tcW w:w="6378" w:type="dxa"/>
          </w:tcPr>
          <w:p>
            <w:pPr>
              <w:rPr>
                <w:rFonts w:eastAsia="Calibri" w:cs="Arial"/>
                <w:sz w:val="22"/>
                <w:szCs w:val="22"/>
                <w:lang w:val="de-DE"/>
              </w:rPr>
            </w:pPr>
            <w:r>
              <w:rPr>
                <w:rFonts w:eastAsia="Calibri" w:cs="Arial"/>
                <w:color w:val="000000"/>
                <w:sz w:val="22"/>
                <w:szCs w:val="22"/>
                <w:lang w:val="en-GB"/>
              </w:rPr>
              <w:t>I</w:t>
            </w:r>
            <w:r>
              <w:rPr>
                <w:rFonts w:eastAsia="Calibri" w:cs="Arial"/>
                <w:sz w:val="22"/>
                <w:szCs w:val="22"/>
                <w:lang w:val="de-DE"/>
              </w:rPr>
              <w:t xml:space="preserve">n LTE, the SIB1 contains the ac-BarringForSpecialAC 5-bit field. </w:t>
            </w:r>
          </w:p>
          <w:p>
            <w:pPr>
              <w:rPr>
                <w:rFonts w:eastAsia="Calibri" w:cs="Arial"/>
                <w:sz w:val="22"/>
                <w:szCs w:val="22"/>
                <w:lang w:val="de-DE"/>
              </w:rPr>
            </w:pPr>
            <w:r>
              <w:rPr>
                <w:rFonts w:eastAsia="Calibri" w:cs="Arial"/>
                <w:sz w:val="22"/>
                <w:szCs w:val="22"/>
                <w:lang w:val="de-DE"/>
              </w:rPr>
              <w:t>When a bit for an AC is set to zero the UE of that AC is not subject to barring. </w:t>
            </w:r>
          </w:p>
          <w:p>
            <w:pPr>
              <w:rPr>
                <w:rFonts w:eastAsia="Calibri" w:cs="Arial"/>
                <w:sz w:val="22"/>
                <w:szCs w:val="22"/>
                <w:lang w:val="de-DE"/>
              </w:rPr>
            </w:pPr>
            <w:r>
              <w:rPr>
                <w:rFonts w:eastAsia="Calibri" w:cs="Arial"/>
                <w:sz w:val="22"/>
                <w:szCs w:val="22"/>
                <w:lang w:val="de-DE"/>
              </w:rPr>
              <w:t>When the bit is not set (to zero) that UE will be barred as a normal UE (using ac-BarringConfig).</w:t>
            </w:r>
          </w:p>
          <w:p>
            <w:pPr>
              <w:rPr>
                <w:rFonts w:eastAsia="Calibri" w:cs="Arial"/>
                <w:sz w:val="22"/>
                <w:szCs w:val="22"/>
                <w:lang w:val="de-DE"/>
              </w:rPr>
            </w:pPr>
            <w:r>
              <w:rPr>
                <w:rFonts w:eastAsia="Calibri" w:cs="Arial"/>
                <w:sz w:val="22"/>
                <w:szCs w:val="22"/>
                <w:lang w:val="de-DE"/>
              </w:rPr>
              <w:t xml:space="preserve">The UE is not aware of what Access Class corresponds to the MPS service. Thus, the barring check has to cover all the possibilities of Access Classes. In deployments it would be very rare to encounter undesirable behavior from the proposed CR since a combination of conditions would have to occur where the MPS AC would have to be subject to barring, while the other ACs would not, and simultaneously the network would experience redirection of UEs with MPS Indication, which would have to be subject to barring. Therefore a simple solution is preferred for the barring check.  </w:t>
            </w:r>
          </w:p>
          <w:p>
            <w:pPr>
              <w:rPr>
                <w:rFonts w:eastAsia="Calibri" w:cs="Arial"/>
                <w:sz w:val="22"/>
                <w:szCs w:val="22"/>
                <w:lang w:val="de-DE"/>
              </w:rPr>
            </w:pPr>
            <w:r>
              <w:rPr>
                <w:rFonts w:eastAsia="Calibri" w:cs="Arial"/>
                <w:sz w:val="22"/>
                <w:szCs w:val="22"/>
                <w:u w:val="single"/>
                <w:lang w:val="de-DE"/>
              </w:rPr>
              <w:t>Answer to Mediatek</w:t>
            </w:r>
            <w:r>
              <w:rPr>
                <w:rFonts w:eastAsia="Calibri" w:cs="Arial"/>
                <w:sz w:val="22"/>
                <w:szCs w:val="22"/>
                <w:lang w:val="de-DE"/>
              </w:rPr>
              <w:t xml:space="preserve">: The example described shows correct behavior with the proposed CR. That is, the UE being redirected with MPS Indication will only be subject to barring if all three bits corresponding to AC 12, 13 and 14 have not been set (bit is 1). If any of the three bits is set to zero this UE will consider the cell as not barred. </w:t>
            </w:r>
          </w:p>
          <w:p>
            <w:pPr>
              <w:rPr>
                <w:rFonts w:eastAsia="Calibri" w:cs="Arial"/>
                <w:sz w:val="22"/>
                <w:szCs w:val="22"/>
                <w:lang w:val="de-DE"/>
              </w:rPr>
            </w:pPr>
            <w:r>
              <w:rPr>
                <w:rFonts w:eastAsia="Calibri" w:cs="Arial"/>
                <w:sz w:val="22"/>
                <w:szCs w:val="22"/>
                <w:u w:val="single"/>
                <w:lang w:val="de-DE"/>
              </w:rPr>
              <w:t>Answer to Lenovo</w:t>
            </w:r>
            <w:r>
              <w:rPr>
                <w:rFonts w:eastAsia="Calibri" w:cs="Arial"/>
                <w:sz w:val="22"/>
                <w:szCs w:val="22"/>
                <w:lang w:val="de-DE"/>
              </w:rPr>
              <w:t xml:space="preserve">: The CR addresses the case where the UE is not assigned a special AC 12-14, thus it is a UE unsubscribed to MPS service. It is understood that the intention of the Lenovo examples is to mean “if the MPS is configured with AC 12, 13, 14” instead of what was stated as “if the UE is configured with AC 12, 13, 14”. </w:t>
            </w:r>
          </w:p>
          <w:p>
            <w:pPr>
              <w:rPr>
                <w:rFonts w:eastAsia="Calibri" w:cs="Arial"/>
                <w:sz w:val="22"/>
                <w:szCs w:val="22"/>
                <w:lang w:val="de-DE"/>
              </w:rPr>
            </w:pPr>
            <w:r>
              <w:rPr>
                <w:rFonts w:eastAsia="Calibri" w:cs="Arial"/>
                <w:sz w:val="22"/>
                <w:szCs w:val="22"/>
                <w:lang w:val="de-DE"/>
              </w:rPr>
              <w:t xml:space="preserve">For both examples 1 and 2 the proposed CR would allow the UE to consider the cell as not barred. </w:t>
            </w:r>
          </w:p>
          <w:p>
            <w:pPr>
              <w:rPr>
                <w:rFonts w:eastAsia="Calibri" w:cs="Arial"/>
                <w:sz w:val="22"/>
                <w:szCs w:val="22"/>
                <w:lang w:val="de-DE"/>
              </w:rPr>
            </w:pPr>
            <w:r>
              <w:rPr>
                <w:rFonts w:eastAsia="Calibri" w:cs="Arial"/>
                <w:sz w:val="22"/>
                <w:szCs w:val="22"/>
                <w:u w:val="single"/>
                <w:lang w:val="de-DE"/>
              </w:rPr>
              <w:t>Answer to VIVO</w:t>
            </w:r>
            <w:r>
              <w:rPr>
                <w:rFonts w:eastAsia="Calibri" w:cs="Arial"/>
                <w:sz w:val="22"/>
                <w:szCs w:val="22"/>
                <w:lang w:val="de-DE"/>
              </w:rPr>
              <w:t xml:space="preserve">: TS 22.011 describes the Access Class allocation in Section 4.2 as follows: </w:t>
            </w:r>
          </w:p>
          <w:p>
            <w:pPr>
              <w:spacing w:after="0"/>
              <w:rPr>
                <w:rFonts w:eastAsia="Calibri" w:cs="Arial"/>
                <w:i/>
                <w:iCs/>
                <w:sz w:val="22"/>
                <w:szCs w:val="22"/>
                <w:lang w:val="en-GB"/>
              </w:rPr>
            </w:pPr>
            <w:r>
              <w:rPr>
                <w:rFonts w:eastAsia="Calibri" w:cs="Arial"/>
                <w:sz w:val="22"/>
                <w:szCs w:val="22"/>
                <w:lang w:val="en-GB"/>
              </w:rPr>
              <w:tab/>
            </w:r>
            <w:r>
              <w:rPr>
                <w:rFonts w:eastAsia="Calibri" w:cs="Arial"/>
                <w:i/>
                <w:iCs/>
                <w:sz w:val="22"/>
                <w:szCs w:val="22"/>
                <w:lang w:val="en-GB"/>
              </w:rPr>
              <w:t>Class</w:t>
            </w:r>
            <w:r>
              <w:rPr>
                <w:rFonts w:eastAsia="Calibri" w:cs="Arial"/>
                <w:i/>
                <w:iCs/>
                <w:sz w:val="22"/>
                <w:szCs w:val="22"/>
                <w:lang w:val="en-GB"/>
              </w:rPr>
              <w:tab/>
            </w:r>
            <w:r>
              <w:rPr>
                <w:rFonts w:eastAsia="Calibri" w:cs="Arial"/>
                <w:i/>
                <w:iCs/>
                <w:sz w:val="22"/>
                <w:szCs w:val="22"/>
                <w:lang w:val="en-GB"/>
              </w:rPr>
              <w:t>15</w:t>
            </w:r>
            <w:r>
              <w:rPr>
                <w:rFonts w:eastAsia="Calibri" w:cs="Arial"/>
                <w:i/>
                <w:iCs/>
                <w:sz w:val="22"/>
                <w:szCs w:val="22"/>
                <w:lang w:val="en-GB"/>
              </w:rPr>
              <w:tab/>
            </w:r>
            <w:r>
              <w:rPr>
                <w:rFonts w:eastAsia="Calibri" w:cs="Arial"/>
                <w:i/>
                <w:iCs/>
                <w:sz w:val="22"/>
                <w:szCs w:val="22"/>
                <w:lang w:val="en-GB"/>
              </w:rPr>
              <w:t>-</w:t>
            </w:r>
            <w:r>
              <w:rPr>
                <w:rFonts w:eastAsia="Calibri" w:cs="Arial"/>
                <w:i/>
                <w:iCs/>
                <w:sz w:val="22"/>
                <w:szCs w:val="22"/>
                <w:lang w:val="en-GB"/>
              </w:rPr>
              <w:tab/>
            </w:r>
            <w:r>
              <w:rPr>
                <w:rFonts w:eastAsia="Calibri" w:cs="Arial"/>
                <w:i/>
                <w:iCs/>
                <w:sz w:val="22"/>
                <w:szCs w:val="22"/>
                <w:lang w:val="en-GB"/>
              </w:rPr>
              <w:t>PLMN Staff;</w:t>
            </w:r>
          </w:p>
          <w:p>
            <w:pPr>
              <w:spacing w:after="0"/>
              <w:rPr>
                <w:rFonts w:eastAsia="Calibri" w:cs="Arial"/>
                <w:i/>
                <w:iCs/>
                <w:sz w:val="22"/>
                <w:szCs w:val="22"/>
                <w:lang w:val="en-GB"/>
              </w:rPr>
            </w:pPr>
            <w:r>
              <w:rPr>
                <w:rFonts w:eastAsia="Calibri" w:cs="Arial"/>
                <w:i/>
                <w:iCs/>
                <w:sz w:val="22"/>
                <w:szCs w:val="22"/>
                <w:lang w:val="en-GB"/>
              </w:rPr>
              <w:tab/>
            </w:r>
            <w:r>
              <w:rPr>
                <w:rFonts w:eastAsia="Calibri" w:cs="Arial"/>
                <w:i/>
                <w:iCs/>
                <w:sz w:val="22"/>
                <w:szCs w:val="22"/>
                <w:lang w:val="en-GB"/>
              </w:rPr>
              <w:t xml:space="preserve"> -"-</w:t>
            </w:r>
            <w:r>
              <w:rPr>
                <w:rFonts w:eastAsia="Calibri" w:cs="Arial"/>
                <w:i/>
                <w:iCs/>
                <w:sz w:val="22"/>
                <w:szCs w:val="22"/>
                <w:lang w:val="en-GB"/>
              </w:rPr>
              <w:tab/>
            </w:r>
            <w:r>
              <w:rPr>
                <w:rFonts w:eastAsia="Calibri" w:cs="Arial"/>
                <w:i/>
                <w:iCs/>
                <w:sz w:val="22"/>
                <w:szCs w:val="22"/>
                <w:lang w:val="en-GB"/>
              </w:rPr>
              <w:t>14</w:t>
            </w:r>
            <w:r>
              <w:rPr>
                <w:rFonts w:eastAsia="Calibri" w:cs="Arial"/>
                <w:i/>
                <w:iCs/>
                <w:sz w:val="22"/>
                <w:szCs w:val="22"/>
                <w:lang w:val="en-GB"/>
              </w:rPr>
              <w:tab/>
            </w:r>
            <w:r>
              <w:rPr>
                <w:rFonts w:eastAsia="Calibri" w:cs="Arial"/>
                <w:i/>
                <w:iCs/>
                <w:sz w:val="22"/>
                <w:szCs w:val="22"/>
                <w:lang w:val="en-GB"/>
              </w:rPr>
              <w:t>-</w:t>
            </w:r>
            <w:r>
              <w:rPr>
                <w:rFonts w:eastAsia="Calibri" w:cs="Arial"/>
                <w:i/>
                <w:iCs/>
                <w:sz w:val="22"/>
                <w:szCs w:val="22"/>
                <w:lang w:val="en-GB"/>
              </w:rPr>
              <w:tab/>
            </w:r>
            <w:r>
              <w:rPr>
                <w:rFonts w:eastAsia="Calibri" w:cs="Arial"/>
                <w:i/>
                <w:iCs/>
                <w:sz w:val="22"/>
                <w:szCs w:val="22"/>
                <w:lang w:val="en-GB"/>
              </w:rPr>
              <w:t>Emergency Services;</w:t>
            </w:r>
          </w:p>
          <w:p>
            <w:pPr>
              <w:spacing w:after="0"/>
              <w:rPr>
                <w:rFonts w:eastAsia="Calibri" w:cs="Arial"/>
                <w:i/>
                <w:iCs/>
                <w:sz w:val="22"/>
                <w:szCs w:val="22"/>
                <w:lang w:val="en-GB"/>
              </w:rPr>
            </w:pPr>
            <w:r>
              <w:rPr>
                <w:rFonts w:eastAsia="Calibri" w:cs="Arial"/>
                <w:i/>
                <w:iCs/>
                <w:sz w:val="22"/>
                <w:szCs w:val="22"/>
                <w:lang w:val="en-GB"/>
              </w:rPr>
              <w:tab/>
            </w:r>
            <w:r>
              <w:rPr>
                <w:rFonts w:eastAsia="Calibri" w:cs="Arial"/>
                <w:i/>
                <w:iCs/>
                <w:sz w:val="22"/>
                <w:szCs w:val="22"/>
                <w:lang w:val="en-GB"/>
              </w:rPr>
              <w:t xml:space="preserve"> -"-</w:t>
            </w:r>
            <w:r>
              <w:rPr>
                <w:rFonts w:eastAsia="Calibri" w:cs="Arial"/>
                <w:i/>
                <w:iCs/>
                <w:sz w:val="22"/>
                <w:szCs w:val="22"/>
                <w:lang w:val="en-GB"/>
              </w:rPr>
              <w:tab/>
            </w:r>
            <w:r>
              <w:rPr>
                <w:rFonts w:eastAsia="Calibri" w:cs="Arial"/>
                <w:i/>
                <w:iCs/>
                <w:sz w:val="22"/>
                <w:szCs w:val="22"/>
                <w:lang w:val="en-GB"/>
              </w:rPr>
              <w:t>13</w:t>
            </w:r>
            <w:r>
              <w:rPr>
                <w:rFonts w:eastAsia="Calibri" w:cs="Arial"/>
                <w:i/>
                <w:iCs/>
                <w:sz w:val="22"/>
                <w:szCs w:val="22"/>
                <w:lang w:val="en-GB"/>
              </w:rPr>
              <w:tab/>
            </w:r>
            <w:r>
              <w:rPr>
                <w:rFonts w:eastAsia="Calibri" w:cs="Arial"/>
                <w:i/>
                <w:iCs/>
                <w:sz w:val="22"/>
                <w:szCs w:val="22"/>
                <w:lang w:val="en-GB"/>
              </w:rPr>
              <w:t>-</w:t>
            </w:r>
            <w:r>
              <w:rPr>
                <w:rFonts w:eastAsia="Calibri" w:cs="Arial"/>
                <w:i/>
                <w:iCs/>
                <w:sz w:val="22"/>
                <w:szCs w:val="22"/>
                <w:lang w:val="en-GB"/>
              </w:rPr>
              <w:tab/>
            </w:r>
            <w:r>
              <w:rPr>
                <w:rFonts w:eastAsia="Calibri" w:cs="Arial"/>
                <w:i/>
                <w:iCs/>
                <w:sz w:val="22"/>
                <w:szCs w:val="22"/>
                <w:lang w:val="en-GB"/>
              </w:rPr>
              <w:t>Public Utilities (e.g. water/gas suppliers);</w:t>
            </w:r>
          </w:p>
          <w:p>
            <w:pPr>
              <w:spacing w:after="0"/>
              <w:rPr>
                <w:rFonts w:eastAsia="Calibri" w:cs="Arial"/>
                <w:i/>
                <w:iCs/>
                <w:sz w:val="22"/>
                <w:szCs w:val="22"/>
                <w:lang w:val="en-GB"/>
              </w:rPr>
            </w:pPr>
            <w:r>
              <w:rPr>
                <w:rFonts w:eastAsia="Calibri" w:cs="Arial"/>
                <w:i/>
                <w:iCs/>
                <w:sz w:val="22"/>
                <w:szCs w:val="22"/>
                <w:lang w:val="en-GB"/>
              </w:rPr>
              <w:tab/>
            </w:r>
            <w:r>
              <w:rPr>
                <w:rFonts w:eastAsia="Calibri" w:cs="Arial"/>
                <w:i/>
                <w:iCs/>
                <w:sz w:val="22"/>
                <w:szCs w:val="22"/>
                <w:lang w:val="en-GB"/>
              </w:rPr>
              <w:t xml:space="preserve"> -"-</w:t>
            </w:r>
            <w:r>
              <w:rPr>
                <w:rFonts w:eastAsia="Calibri" w:cs="Arial"/>
                <w:i/>
                <w:iCs/>
                <w:sz w:val="22"/>
                <w:szCs w:val="22"/>
                <w:lang w:val="en-GB"/>
              </w:rPr>
              <w:tab/>
            </w:r>
            <w:r>
              <w:rPr>
                <w:rFonts w:eastAsia="Calibri" w:cs="Arial"/>
                <w:i/>
                <w:iCs/>
                <w:sz w:val="22"/>
                <w:szCs w:val="22"/>
                <w:lang w:val="en-GB"/>
              </w:rPr>
              <w:t>12</w:t>
            </w:r>
            <w:r>
              <w:rPr>
                <w:rFonts w:eastAsia="Calibri" w:cs="Arial"/>
                <w:i/>
                <w:iCs/>
                <w:sz w:val="22"/>
                <w:szCs w:val="22"/>
                <w:lang w:val="en-GB"/>
              </w:rPr>
              <w:tab/>
            </w:r>
            <w:r>
              <w:rPr>
                <w:rFonts w:eastAsia="Calibri" w:cs="Arial"/>
                <w:i/>
                <w:iCs/>
                <w:sz w:val="22"/>
                <w:szCs w:val="22"/>
                <w:lang w:val="en-GB"/>
              </w:rPr>
              <w:t>-</w:t>
            </w:r>
            <w:r>
              <w:rPr>
                <w:rFonts w:eastAsia="Calibri" w:cs="Arial"/>
                <w:i/>
                <w:iCs/>
                <w:sz w:val="22"/>
                <w:szCs w:val="22"/>
                <w:lang w:val="en-GB"/>
              </w:rPr>
              <w:tab/>
            </w:r>
            <w:r>
              <w:rPr>
                <w:rFonts w:eastAsia="Calibri" w:cs="Arial"/>
                <w:i/>
                <w:iCs/>
                <w:sz w:val="22"/>
                <w:szCs w:val="22"/>
                <w:lang w:val="en-GB"/>
              </w:rPr>
              <w:t>Security Services;</w:t>
            </w:r>
          </w:p>
          <w:p>
            <w:pPr>
              <w:spacing w:after="0"/>
              <w:rPr>
                <w:rFonts w:eastAsia="Calibri" w:cs="Arial"/>
                <w:i/>
                <w:iCs/>
                <w:sz w:val="22"/>
                <w:szCs w:val="22"/>
                <w:lang w:val="en-GB"/>
              </w:rPr>
            </w:pPr>
            <w:r>
              <w:rPr>
                <w:rFonts w:eastAsia="Calibri" w:cs="Arial"/>
                <w:i/>
                <w:iCs/>
                <w:sz w:val="22"/>
                <w:szCs w:val="22"/>
                <w:lang w:val="en-GB"/>
              </w:rPr>
              <w:tab/>
            </w:r>
            <w:r>
              <w:rPr>
                <w:rFonts w:eastAsia="Calibri" w:cs="Arial"/>
                <w:i/>
                <w:iCs/>
                <w:sz w:val="22"/>
                <w:szCs w:val="22"/>
                <w:lang w:val="en-GB"/>
              </w:rPr>
              <w:t xml:space="preserve"> -"-</w:t>
            </w:r>
            <w:r>
              <w:rPr>
                <w:rFonts w:eastAsia="Calibri" w:cs="Arial"/>
                <w:i/>
                <w:iCs/>
                <w:sz w:val="22"/>
                <w:szCs w:val="22"/>
                <w:lang w:val="en-GB"/>
              </w:rPr>
              <w:tab/>
            </w:r>
            <w:r>
              <w:rPr>
                <w:rFonts w:eastAsia="Calibri" w:cs="Arial"/>
                <w:i/>
                <w:iCs/>
                <w:sz w:val="22"/>
                <w:szCs w:val="22"/>
                <w:lang w:val="en-GB"/>
              </w:rPr>
              <w:t>11</w:t>
            </w:r>
            <w:r>
              <w:rPr>
                <w:rFonts w:eastAsia="Calibri" w:cs="Arial"/>
                <w:i/>
                <w:iCs/>
                <w:sz w:val="22"/>
                <w:szCs w:val="22"/>
                <w:lang w:val="en-GB"/>
              </w:rPr>
              <w:tab/>
            </w:r>
            <w:r>
              <w:rPr>
                <w:rFonts w:eastAsia="Calibri" w:cs="Arial"/>
                <w:i/>
                <w:iCs/>
                <w:sz w:val="22"/>
                <w:szCs w:val="22"/>
                <w:lang w:val="en-GB"/>
              </w:rPr>
              <w:t>-</w:t>
            </w:r>
            <w:r>
              <w:rPr>
                <w:rFonts w:eastAsia="Calibri" w:cs="Arial"/>
                <w:i/>
                <w:iCs/>
                <w:sz w:val="22"/>
                <w:szCs w:val="22"/>
                <w:lang w:val="en-GB"/>
              </w:rPr>
              <w:tab/>
            </w:r>
            <w:r>
              <w:rPr>
                <w:rFonts w:eastAsia="Calibri" w:cs="Arial"/>
                <w:i/>
                <w:iCs/>
                <w:sz w:val="22"/>
                <w:szCs w:val="22"/>
                <w:lang w:val="en-GB"/>
              </w:rPr>
              <w:t>For PLMN Use.</w:t>
            </w:r>
          </w:p>
          <w:p>
            <w:pPr>
              <w:rPr>
                <w:rFonts w:eastAsia="Calibri" w:cs="Arial"/>
                <w:sz w:val="22"/>
                <w:szCs w:val="22"/>
                <w:lang w:val="en-GB"/>
              </w:rPr>
            </w:pPr>
            <w:r>
              <w:rPr>
                <w:rFonts w:eastAsia="Calibri" w:cs="Arial"/>
                <w:sz w:val="22"/>
                <w:szCs w:val="22"/>
                <w:lang w:val="en-GB"/>
              </w:rPr>
              <w:t xml:space="preserve">Therefore only 12-14 are considered to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 xml:space="preserve"> Proponents.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Malgun Gothic"/>
                <w:sz w:val="22"/>
                <w:szCs w:val="22"/>
                <w:lang w:val="de-DE" w:eastAsia="ko-KR"/>
              </w:rPr>
              <w:t>Intel</w:t>
            </w:r>
          </w:p>
        </w:tc>
        <w:tc>
          <w:tcPr>
            <w:tcW w:w="1500" w:type="dxa"/>
          </w:tcPr>
          <w:p>
            <w:pPr>
              <w:spacing w:after="0"/>
              <w:jc w:val="both"/>
              <w:rPr>
                <w:rFonts w:eastAsiaTheme="minorEastAsia"/>
                <w:sz w:val="22"/>
                <w:szCs w:val="22"/>
                <w:lang w:val="de-DE" w:eastAsia="zh-CN"/>
              </w:rPr>
            </w:pPr>
            <w:r>
              <w:rPr>
                <w:rFonts w:eastAsia="Malgun Gothic"/>
                <w:sz w:val="22"/>
                <w:szCs w:val="22"/>
                <w:lang w:val="de-DE" w:eastAsia="ko-KR"/>
              </w:rPr>
              <w:t>Yes but</w:t>
            </w:r>
          </w:p>
        </w:tc>
        <w:tc>
          <w:tcPr>
            <w:tcW w:w="6378" w:type="dxa"/>
          </w:tcPr>
          <w:p>
            <w:pPr>
              <w:spacing w:after="0"/>
              <w:jc w:val="both"/>
              <w:rPr>
                <w:rFonts w:eastAsia="Calibri"/>
                <w:sz w:val="22"/>
                <w:szCs w:val="22"/>
                <w:lang w:val="de-DE"/>
              </w:rPr>
            </w:pPr>
            <w:r>
              <w:rPr>
                <w:rFonts w:eastAsia="Calibri"/>
                <w:sz w:val="22"/>
                <w:szCs w:val="22"/>
                <w:lang w:val="de-DE"/>
              </w:rPr>
              <w:t xml:space="preserve">We also agree with the comments from others that this CR is possibily generalising it too much by allowing access if any of the special ACes is not barred. But we also understand it seems difficult to formulate the CR to allow different ACes to be used for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Y</w:t>
            </w:r>
            <w:r>
              <w:rPr>
                <w:rFonts w:eastAsiaTheme="minorEastAsia"/>
                <w:sz w:val="22"/>
                <w:szCs w:val="22"/>
                <w:lang w:val="de-DE" w:eastAsia="zh-CN"/>
              </w:rPr>
              <w:t>es</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eastAsiaTheme="minorEastAsia"/>
                <w:sz w:val="22"/>
                <w:szCs w:val="22"/>
                <w:lang w:val="de-DE" w:eastAsia="zh-CN"/>
              </w:rPr>
              <w:t>CATT</w:t>
            </w:r>
          </w:p>
        </w:tc>
        <w:tc>
          <w:tcPr>
            <w:tcW w:w="1500" w:type="dxa"/>
          </w:tcPr>
          <w:p>
            <w:pPr>
              <w:spacing w:after="0"/>
              <w:jc w:val="both"/>
              <w:rPr>
                <w:rFonts w:eastAsia="Malgun Gothic"/>
                <w:sz w:val="22"/>
                <w:szCs w:val="22"/>
                <w:lang w:val="de-DE" w:eastAsia="ko-KR"/>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Calibri"/>
                <w:sz w:val="22"/>
                <w:szCs w:val="22"/>
                <w:lang w:val="de-DE"/>
              </w:rPr>
              <w:t>We agree</w:t>
            </w:r>
            <w:r>
              <w:rPr>
                <w:rFonts w:hint="eastAsia" w:eastAsiaTheme="minorEastAsia"/>
                <w:sz w:val="22"/>
                <w:szCs w:val="22"/>
                <w:lang w:val="de-DE" w:eastAsia="zh-CN"/>
              </w:rPr>
              <w:t xml:space="preserve"> with the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en-GB" w:eastAsia="ko-KR"/>
              </w:rPr>
            </w:pPr>
            <w:r>
              <w:rPr>
                <w:rFonts w:hint="eastAsia" w:eastAsia="Malgun Gothic"/>
                <w:sz w:val="22"/>
                <w:szCs w:val="22"/>
                <w:lang w:val="en-GB" w:eastAsia="ko-KR"/>
              </w:rPr>
              <w:t>LG</w:t>
            </w:r>
          </w:p>
        </w:tc>
        <w:tc>
          <w:tcPr>
            <w:tcW w:w="1500" w:type="dxa"/>
          </w:tcPr>
          <w:p>
            <w:pPr>
              <w:spacing w:after="0"/>
              <w:jc w:val="both"/>
              <w:rPr>
                <w:rFonts w:eastAsia="Malgun Gothic"/>
                <w:sz w:val="22"/>
                <w:szCs w:val="22"/>
                <w:lang w:val="de-DE" w:eastAsia="ko-KR"/>
              </w:rPr>
            </w:pPr>
            <w:r>
              <w:rPr>
                <w:rFonts w:eastAsia="Malgun Gothic"/>
                <w:sz w:val="22"/>
                <w:szCs w:val="22"/>
                <w:lang w:val="de-DE" w:eastAsia="ko-KR"/>
              </w:rPr>
              <w:t xml:space="preserve">Maybe </w:t>
            </w:r>
            <w:r>
              <w:rPr>
                <w:rFonts w:hint="eastAsia" w:eastAsia="Malgun Gothic"/>
                <w:sz w:val="22"/>
                <w:szCs w:val="22"/>
                <w:lang w:val="de-DE" w:eastAsia="ko-KR"/>
              </w:rPr>
              <w:t>Yes</w:t>
            </w:r>
          </w:p>
        </w:tc>
        <w:tc>
          <w:tcPr>
            <w:tcW w:w="6378" w:type="dxa"/>
          </w:tcPr>
          <w:p>
            <w:pPr>
              <w:spacing w:after="0"/>
              <w:jc w:val="both"/>
              <w:rPr>
                <w:rFonts w:eastAsia="Malgun Gothic"/>
                <w:sz w:val="22"/>
                <w:szCs w:val="22"/>
                <w:lang w:val="de-DE" w:eastAsia="ko-KR"/>
              </w:rPr>
            </w:pPr>
            <w:r>
              <w:rPr>
                <w:rFonts w:eastAsia="Malgun Gothic"/>
                <w:sz w:val="22"/>
                <w:szCs w:val="22"/>
                <w:lang w:val="de-DE" w:eastAsia="ko-KR"/>
              </w:rPr>
              <w:t xml:space="preserve">It seems that normal MPS access is subject to assigned AC(s) for the acces, but access for MPS redirection is subject to more relaxed access control as indicated by others. </w:t>
            </w:r>
          </w:p>
          <w:p>
            <w:pPr>
              <w:spacing w:after="0"/>
              <w:jc w:val="both"/>
              <w:rPr>
                <w:rFonts w:eastAsia="Malgun Gothic"/>
                <w:sz w:val="22"/>
                <w:szCs w:val="22"/>
                <w:lang w:val="de-DE" w:eastAsia="ko-KR"/>
              </w:rPr>
            </w:pPr>
            <w:r>
              <w:rPr>
                <w:rFonts w:hint="eastAsia" w:eastAsia="Malgun Gothic"/>
                <w:sz w:val="22"/>
                <w:szCs w:val="22"/>
                <w:lang w:val="de-DE" w:eastAsia="ko-KR"/>
              </w:rPr>
              <w:t xml:space="preserve">If RAN2 confirm that </w:t>
            </w:r>
            <w:r>
              <w:rPr>
                <w:rFonts w:eastAsia="Malgun Gothic"/>
                <w:sz w:val="22"/>
                <w:szCs w:val="22"/>
                <w:lang w:val="de-DE" w:eastAsia="ko-KR"/>
              </w:rPr>
              <w:t>this is the intention, we are fine, and otherwise we can discuss further</w:t>
            </w:r>
          </w:p>
        </w:tc>
      </w:tr>
    </w:tbl>
    <w:p>
      <w:pPr>
        <w:pStyle w:val="113"/>
        <w:ind w:left="0" w:firstLine="0"/>
        <w:rPr>
          <w:b/>
          <w:lang w:val="en-GB"/>
        </w:rPr>
      </w:pPr>
    </w:p>
    <w:p>
      <w:pPr>
        <w:pStyle w:val="162"/>
        <w:ind w:left="0" w:firstLine="0"/>
      </w:pPr>
    </w:p>
    <w:p>
      <w:pPr>
        <w:pStyle w:val="4"/>
        <w:rPr>
          <w:rStyle w:val="58"/>
          <w:b/>
        </w:rPr>
      </w:pPr>
      <w:r>
        <w:t>2.1.7</w:t>
      </w:r>
      <w:r>
        <w:tab/>
      </w:r>
      <w:r>
        <w:t>LTE changes - Mobility</w:t>
      </w:r>
    </w:p>
    <w:p>
      <w:pPr>
        <w:pStyle w:val="163"/>
      </w:pPr>
      <w:r>
        <w:fldChar w:fldCharType="begin"/>
      </w:r>
      <w:r>
        <w:instrText xml:space="preserve"> HYPERLINK "http://www.3gpp.org/ftp/tsg_ran/WG2_RL2//TSGR2_115-e/Docs//R2-2108375.zip" </w:instrText>
      </w:r>
      <w:r>
        <w:fldChar w:fldCharType="separate"/>
      </w:r>
      <w:r>
        <w:rPr>
          <w:rStyle w:val="58"/>
        </w:rPr>
        <w:t>R2-2108375</w:t>
      </w:r>
      <w:r>
        <w:rPr>
          <w:rStyle w:val="58"/>
        </w:rPr>
        <w:fldChar w:fldCharType="end"/>
      </w:r>
      <w:r>
        <w:tab/>
      </w:r>
      <w:r>
        <w:t>Correction on ULInformationTransferMRDC(R16)</w:t>
      </w:r>
      <w:r>
        <w:tab/>
      </w:r>
      <w:r>
        <w:t>ZTE Corporation, Sanechips</w:t>
      </w:r>
      <w:r>
        <w:tab/>
      </w:r>
      <w:r>
        <w:t>CR</w:t>
      </w:r>
      <w:r>
        <w:tab/>
      </w:r>
      <w:r>
        <w:t>Rel-16</w:t>
      </w:r>
      <w:r>
        <w:tab/>
      </w:r>
      <w:r>
        <w:t>36.331</w:t>
      </w:r>
      <w:r>
        <w:tab/>
      </w:r>
      <w:r>
        <w:t>16.5.0</w:t>
      </w:r>
      <w:r>
        <w:tab/>
      </w:r>
      <w:r>
        <w:t>4713</w:t>
      </w:r>
      <w:r>
        <w:tab/>
      </w:r>
      <w:r>
        <w:t>-</w:t>
      </w:r>
      <w:r>
        <w:tab/>
      </w:r>
      <w:r>
        <w:t>F</w:t>
      </w:r>
      <w:r>
        <w:tab/>
      </w:r>
      <w:r>
        <w:t>TEI16</w:t>
      </w:r>
    </w:p>
    <w:p>
      <w:pPr>
        <w:pStyle w:val="113"/>
        <w:rPr>
          <w:lang w:val="en-GB" w:eastAsia="en-GB"/>
        </w:rPr>
      </w:pPr>
    </w:p>
    <w:p>
      <w:pPr>
        <w:rPr>
          <w:b/>
          <w:bCs/>
          <w:lang w:eastAsia="en-GB"/>
        </w:rPr>
      </w:pPr>
      <w:r>
        <w:rPr>
          <w:b/>
          <w:bCs/>
          <w:lang w:eastAsia="en-GB"/>
        </w:rPr>
        <w:t>Q10. Companies are asked to provide their view on the need of the draft CR, and comments on the changes in the draft CR.</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CR needed?</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Maybe</w:t>
            </w:r>
          </w:p>
        </w:tc>
        <w:tc>
          <w:tcPr>
            <w:tcW w:w="6378" w:type="dxa"/>
          </w:tcPr>
          <w:p>
            <w:pPr>
              <w:spacing w:after="0"/>
              <w:jc w:val="both"/>
              <w:rPr>
                <w:rFonts w:eastAsia="Calibri"/>
                <w:sz w:val="22"/>
                <w:szCs w:val="22"/>
                <w:lang w:val="de-DE"/>
              </w:rPr>
            </w:pPr>
            <w:r>
              <w:rPr>
                <w:rFonts w:eastAsia="Calibri"/>
                <w:sz w:val="22"/>
                <w:szCs w:val="22"/>
                <w:lang w:val="de-DE"/>
              </w:rPr>
              <w:t>We think the intention is fine. I guess we can just remove the word „only“ here as below.</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 xml:space="preserve"> </w:t>
            </w:r>
          </w:p>
          <w:p>
            <w:pPr>
              <w:rPr>
                <w:rFonts w:eastAsia="Calibri"/>
                <w:sz w:val="22"/>
                <w:szCs w:val="22"/>
                <w:lang w:val="de-DE"/>
              </w:rPr>
            </w:pPr>
            <w:r>
              <w:rPr>
                <w:rFonts w:eastAsia="Calibri"/>
                <w:sz w:val="22"/>
                <w:szCs w:val="22"/>
                <w:lang w:val="de-DE"/>
              </w:rPr>
              <w:t xml:space="preserve">NR </w:t>
            </w:r>
            <w:r>
              <w:rPr>
                <w:rFonts w:eastAsia="Calibri"/>
                <w:i/>
                <w:iCs/>
                <w:sz w:val="22"/>
                <w:szCs w:val="22"/>
                <w:lang w:val="de-DE"/>
              </w:rPr>
              <w:t>RRCReconfigurationComplete</w:t>
            </w:r>
            <w:bookmarkStart w:id="1" w:name="OLE_LINK139"/>
            <w:r>
              <w:rPr>
                <w:rFonts w:eastAsia="Calibri"/>
                <w:sz w:val="22"/>
                <w:szCs w:val="22"/>
                <w:lang w:val="de-DE"/>
              </w:rPr>
              <w:t xml:space="preserve"> (transmitted upon CPC execution if </w:t>
            </w:r>
            <w:r>
              <w:rPr>
                <w:rFonts w:eastAsia="Calibri"/>
                <w:strike/>
                <w:color w:val="FF0000"/>
                <w:sz w:val="22"/>
                <w:szCs w:val="22"/>
                <w:lang w:val="de-DE"/>
              </w:rPr>
              <w:t>only</w:t>
            </w:r>
            <w:r>
              <w:rPr>
                <w:rFonts w:eastAsia="Calibri"/>
                <w:color w:val="FF0000"/>
                <w:sz w:val="22"/>
                <w:szCs w:val="22"/>
                <w:lang w:val="de-DE"/>
              </w:rPr>
              <w:t xml:space="preserve"> </w:t>
            </w:r>
            <w:r>
              <w:rPr>
                <w:rFonts w:eastAsia="Calibri"/>
                <w:sz w:val="22"/>
                <w:szCs w:val="22"/>
                <w:lang w:val="de-DE"/>
              </w:rPr>
              <w:t xml:space="preserve">SRB1 is configured and the UE is operating in EN-DC) messages. </w:t>
            </w:r>
          </w:p>
          <w:bookmarkEnd w:id="1"/>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Note 1 - WI code should be LTE_feMob-Core as it is mainly CR for CPC.</w:t>
            </w:r>
          </w:p>
          <w:p>
            <w:pPr>
              <w:spacing w:after="0"/>
              <w:jc w:val="both"/>
              <w:rPr>
                <w:rFonts w:eastAsia="Calibri"/>
                <w:sz w:val="22"/>
                <w:szCs w:val="22"/>
                <w:lang w:val="de-DE"/>
              </w:rPr>
            </w:pPr>
            <w:r>
              <w:rPr>
                <w:rFonts w:eastAsia="Calibri"/>
                <w:sz w:val="22"/>
                <w:szCs w:val="22"/>
                <w:lang w:val="de-DE"/>
              </w:rPr>
              <w:t>Note 2 – There is typo „SBR1“ in the proposed text. Should be SRB1.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바탕체" w:cs="Arial"/>
                <w:sz w:val="22"/>
                <w:szCs w:val="22"/>
                <w:lang w:val="de-DE" w:eastAsia="ko-KR"/>
              </w:rPr>
              <w:t>Samsung</w:t>
            </w:r>
          </w:p>
        </w:tc>
        <w:tc>
          <w:tcPr>
            <w:tcW w:w="1500" w:type="dxa"/>
          </w:tcPr>
          <w:p>
            <w:pPr>
              <w:spacing w:after="0"/>
              <w:jc w:val="both"/>
              <w:rPr>
                <w:rFonts w:eastAsiaTheme="minorEastAsia"/>
                <w:sz w:val="22"/>
                <w:szCs w:val="22"/>
                <w:lang w:val="de-DE" w:eastAsia="zh-CN"/>
              </w:rPr>
            </w:pPr>
            <w:r>
              <w:rPr>
                <w:rFonts w:hint="eastAsia" w:eastAsia="Malgun Gothic" w:cs="Arial"/>
                <w:sz w:val="22"/>
                <w:szCs w:val="22"/>
                <w:lang w:val="de-DE" w:eastAsia="ko-KR"/>
              </w:rPr>
              <w:t>Maybe yes</w:t>
            </w:r>
          </w:p>
        </w:tc>
        <w:tc>
          <w:tcPr>
            <w:tcW w:w="6378" w:type="dxa"/>
          </w:tcPr>
          <w:p>
            <w:pPr>
              <w:spacing w:after="0"/>
              <w:jc w:val="both"/>
              <w:rPr>
                <w:rFonts w:eastAsia="Calibri"/>
                <w:sz w:val="22"/>
                <w:szCs w:val="22"/>
                <w:lang w:val="de-DE"/>
              </w:rPr>
            </w:pPr>
            <w:r>
              <w:rPr>
                <w:rFonts w:hint="eastAsia" w:eastAsia="Malgun Gothic" w:cs="Arial"/>
                <w:sz w:val="22"/>
                <w:szCs w:val="22"/>
                <w:lang w:val="de-DE" w:eastAsia="ko-KR"/>
              </w:rPr>
              <w:t>I</w:t>
            </w:r>
            <w:r>
              <w:rPr>
                <w:rFonts w:eastAsia="Malgun Gothic" w:cs="Arial"/>
                <w:sz w:val="22"/>
                <w:szCs w:val="22"/>
                <w:lang w:val="de-DE" w:eastAsia="ko-KR"/>
              </w:rPr>
              <w:t>t seems good to be in line with the procedural texts of TS38.331.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v</w:t>
            </w:r>
            <w:r>
              <w:rPr>
                <w:rFonts w:eastAsiaTheme="minorEastAsia"/>
                <w:sz w:val="22"/>
                <w:szCs w:val="22"/>
                <w:lang w:val="de-DE" w:eastAsia="zh-CN"/>
              </w:rPr>
              <w:t>ivo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Maybe</w:t>
            </w:r>
          </w:p>
        </w:tc>
        <w:tc>
          <w:tcPr>
            <w:tcW w:w="6378" w:type="dxa"/>
          </w:tcPr>
          <w:p>
            <w:pPr>
              <w:spacing w:after="0"/>
              <w:jc w:val="both"/>
              <w:rPr>
                <w:rFonts w:eastAsia="Calibri"/>
                <w:sz w:val="22"/>
                <w:szCs w:val="22"/>
                <w:lang w:val="de-DE"/>
              </w:rPr>
            </w:pPr>
            <w:r>
              <w:rPr>
                <w:rFonts w:eastAsiaTheme="minorEastAsia"/>
                <w:sz w:val="22"/>
                <w:szCs w:val="22"/>
                <w:lang w:val="de-DE" w:eastAsia="zh-CN"/>
              </w:rPr>
              <w:t>Similar view with MTK.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Maybe</w:t>
            </w:r>
          </w:p>
        </w:tc>
        <w:tc>
          <w:tcPr>
            <w:tcW w:w="6378" w:type="dxa"/>
          </w:tcPr>
          <w:p>
            <w:pPr>
              <w:spacing w:after="0"/>
              <w:jc w:val="both"/>
              <w:rPr>
                <w:rFonts w:eastAsia="Calibri"/>
                <w:sz w:val="22"/>
                <w:szCs w:val="22"/>
                <w:lang w:val="de-DE"/>
              </w:rPr>
            </w:pPr>
            <w:r>
              <w:rPr>
                <w:rFonts w:eastAsia="Calibri"/>
                <w:sz w:val="22"/>
                <w:szCs w:val="22"/>
                <w:lang w:val="de-DE"/>
              </w:rPr>
              <w:t>Change SBR1 to SRB1 or even the proposal from MTK seems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QCOM</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May be</w:t>
            </w:r>
          </w:p>
        </w:tc>
        <w:tc>
          <w:tcPr>
            <w:tcW w:w="6378" w:type="dxa"/>
          </w:tcPr>
          <w:p>
            <w:pPr>
              <w:spacing w:after="0"/>
              <w:jc w:val="both"/>
              <w:rPr>
                <w:rFonts w:eastAsia="Calibri"/>
                <w:sz w:val="22"/>
                <w:szCs w:val="22"/>
                <w:lang w:val="de-DE"/>
              </w:rPr>
            </w:pPr>
            <w:r>
              <w:rPr>
                <w:rFonts w:eastAsia="Calibri"/>
                <w:sz w:val="22"/>
                <w:szCs w:val="22"/>
                <w:lang w:val="de-DE"/>
              </w:rPr>
              <w:t xml:space="preserve">MTK proposal seems ok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Maybe, see comment</w:t>
            </w:r>
          </w:p>
        </w:tc>
        <w:tc>
          <w:tcPr>
            <w:tcW w:w="6378" w:type="dxa"/>
          </w:tcPr>
          <w:p>
            <w:pPr>
              <w:spacing w:after="0"/>
              <w:jc w:val="both"/>
              <w:rPr>
                <w:rFonts w:eastAsia="Calibri"/>
                <w:sz w:val="22"/>
                <w:szCs w:val="22"/>
                <w:lang w:val="de-DE"/>
              </w:rPr>
            </w:pPr>
            <w:r>
              <w:rPr>
                <w:rFonts w:eastAsia="Calibri"/>
                <w:sz w:val="22"/>
                <w:szCs w:val="22"/>
                <w:lang w:val="de-DE"/>
              </w:rPr>
              <w:t xml:space="preserve">The draft CR corrects general descriptive text to more exactly match the procedure text. To us this is purely editorial, and can be done in a Rapporteur CR (e.g. as proposed by MTK), if companies really find alignment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Yu Mincho"/>
                <w:sz w:val="22"/>
                <w:szCs w:val="22"/>
                <w:lang w:val="de-DE"/>
              </w:rPr>
              <w:t>N</w:t>
            </w:r>
            <w:r>
              <w:rPr>
                <w:rFonts w:eastAsia="Yu Mincho"/>
                <w:sz w:val="22"/>
                <w:szCs w:val="22"/>
                <w:lang w:val="de-DE"/>
              </w:rPr>
              <w:t>EC</w:t>
            </w:r>
          </w:p>
        </w:tc>
        <w:tc>
          <w:tcPr>
            <w:tcW w:w="1500" w:type="dxa"/>
          </w:tcPr>
          <w:p>
            <w:pPr>
              <w:spacing w:after="0"/>
              <w:jc w:val="both"/>
              <w:rPr>
                <w:rFonts w:eastAsiaTheme="minorEastAsia"/>
                <w:sz w:val="22"/>
                <w:szCs w:val="22"/>
                <w:lang w:val="de-DE" w:eastAsia="zh-CN"/>
              </w:rPr>
            </w:pPr>
            <w:r>
              <w:rPr>
                <w:rFonts w:hint="eastAsia" w:eastAsia="Yu Mincho"/>
                <w:sz w:val="22"/>
                <w:szCs w:val="22"/>
                <w:lang w:val="de-DE"/>
              </w:rPr>
              <w:t>Y</w:t>
            </w:r>
            <w:r>
              <w:rPr>
                <w:rFonts w:eastAsia="Yu Mincho"/>
                <w:sz w:val="22"/>
                <w:szCs w:val="22"/>
                <w:lang w:val="de-DE"/>
              </w:rPr>
              <w:t>es</w:t>
            </w:r>
          </w:p>
        </w:tc>
        <w:tc>
          <w:tcPr>
            <w:tcW w:w="6378" w:type="dxa"/>
          </w:tcPr>
          <w:p>
            <w:pPr>
              <w:spacing w:after="0"/>
              <w:jc w:val="both"/>
              <w:rPr>
                <w:rFonts w:eastAsia="Yu Mincho"/>
                <w:sz w:val="22"/>
                <w:szCs w:val="22"/>
                <w:lang w:val="de-DE"/>
              </w:rPr>
            </w:pPr>
            <w:r>
              <w:rPr>
                <w:rFonts w:hint="eastAsia" w:eastAsia="Yu Mincho"/>
                <w:sz w:val="22"/>
                <w:szCs w:val="22"/>
                <w:lang w:val="de-DE"/>
              </w:rPr>
              <w:t>e</w:t>
            </w:r>
            <w:r>
              <w:rPr>
                <w:rFonts w:eastAsia="Yu Mincho"/>
                <w:sz w:val="22"/>
                <w:szCs w:val="22"/>
                <w:lang w:val="de-DE"/>
              </w:rPr>
              <w:t>ither way (original change or MediaTek prposal)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eastAsiaTheme="minorEastAsia"/>
                <w:sz w:val="22"/>
                <w:szCs w:val="22"/>
                <w:lang w:val="de-DE" w:eastAsia="zh-CN"/>
              </w:rPr>
              <w:t>Intel</w:t>
            </w:r>
          </w:p>
        </w:tc>
        <w:tc>
          <w:tcPr>
            <w:tcW w:w="1500" w:type="dxa"/>
          </w:tcPr>
          <w:p>
            <w:pPr>
              <w:spacing w:after="0"/>
              <w:jc w:val="both"/>
              <w:rPr>
                <w:rFonts w:eastAsia="Yu Mincho"/>
                <w:sz w:val="22"/>
                <w:szCs w:val="22"/>
                <w:lang w:val="de-DE"/>
              </w:rPr>
            </w:pPr>
            <w:r>
              <w:rPr>
                <w:rFonts w:eastAsiaTheme="minorEastAsia"/>
                <w:sz w:val="22"/>
                <w:szCs w:val="22"/>
                <w:lang w:val="de-DE" w:eastAsia="zh-CN"/>
              </w:rPr>
              <w:t>OK with comments</w:t>
            </w:r>
          </w:p>
        </w:tc>
        <w:tc>
          <w:tcPr>
            <w:tcW w:w="6378" w:type="dxa"/>
          </w:tcPr>
          <w:p>
            <w:pPr>
              <w:spacing w:after="0"/>
              <w:jc w:val="both"/>
              <w:rPr>
                <w:rFonts w:eastAsia="Calibri"/>
                <w:sz w:val="22"/>
                <w:szCs w:val="22"/>
                <w:lang w:val="de-DE"/>
              </w:rPr>
            </w:pPr>
            <w:r>
              <w:rPr>
                <w:rFonts w:eastAsia="Calibri"/>
                <w:sz w:val="22"/>
                <w:szCs w:val="22"/>
                <w:lang w:val="de-DE"/>
              </w:rPr>
              <w:t>We agree with the CR.</w:t>
            </w:r>
          </w:p>
          <w:p>
            <w:pPr>
              <w:spacing w:after="0"/>
              <w:jc w:val="both"/>
              <w:rPr>
                <w:rFonts w:eastAsia="Calibri"/>
                <w:sz w:val="22"/>
                <w:szCs w:val="22"/>
                <w:lang w:val="de-DE"/>
              </w:rPr>
            </w:pPr>
            <w:r>
              <w:rPr>
                <w:rFonts w:eastAsia="Calibri"/>
                <w:sz w:val="22"/>
                <w:szCs w:val="22"/>
                <w:lang w:val="de-DE"/>
              </w:rPr>
              <w:t>The WI code and typo should be updated as mentioned by MTK.</w:t>
            </w:r>
          </w:p>
          <w:p>
            <w:pPr>
              <w:spacing w:after="0"/>
              <w:jc w:val="both"/>
              <w:rPr>
                <w:rFonts w:eastAsia="Yu Mincho"/>
                <w:sz w:val="22"/>
                <w:szCs w:val="22"/>
                <w:lang w:val="de-DE"/>
              </w:rPr>
            </w:pPr>
            <w:r>
              <w:rPr>
                <w:rFonts w:eastAsia="Calibri"/>
                <w:sz w:val="22"/>
                <w:szCs w:val="22"/>
                <w:lang w:val="de-DE"/>
              </w:rPr>
              <w:t xml:space="preserve">We didn’t understand the suggestion from MTK of how removing „ony“ helps – SRB1 is always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OPPO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Yes</w:t>
            </w:r>
          </w:p>
        </w:tc>
        <w:tc>
          <w:tcPr>
            <w:tcW w:w="6378" w:type="dxa"/>
          </w:tcPr>
          <w:p>
            <w:pPr>
              <w:spacing w:after="0"/>
              <w:jc w:val="both"/>
              <w:rPr>
                <w:rFonts w:eastAsia="Calibri"/>
                <w:sz w:val="22"/>
                <w:szCs w:val="22"/>
                <w:lang w:val="de-DE"/>
              </w:rPr>
            </w:pPr>
            <w:r>
              <w:rPr>
                <w:rFonts w:eastAsiaTheme="minorEastAsia"/>
                <w:sz w:val="22"/>
                <w:szCs w:val="22"/>
                <w:lang w:val="de-DE" w:eastAsia="zh-CN"/>
              </w:rPr>
              <w:t>Suggest to only remove “only“ and merged into rapporteur CR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CATT</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 xml:space="preserve">Maybe yes </w:t>
            </w:r>
          </w:p>
        </w:tc>
        <w:tc>
          <w:tcPr>
            <w:tcW w:w="6378" w:type="dxa"/>
          </w:tcPr>
          <w:p>
            <w:pPr>
              <w:spacing w:after="0"/>
              <w:jc w:val="both"/>
              <w:rPr>
                <w:rFonts w:eastAsia="Calibri"/>
                <w:sz w:val="22"/>
                <w:szCs w:val="22"/>
                <w:lang w:val="de-DE"/>
              </w:rPr>
            </w:pPr>
            <w:r>
              <w:rPr>
                <w:rFonts w:eastAsiaTheme="minorEastAsia"/>
                <w:sz w:val="22"/>
                <w:szCs w:val="22"/>
                <w:lang w:val="de-DE" w:eastAsia="zh-CN"/>
              </w:rPr>
              <w:t>A</w:t>
            </w:r>
            <w:r>
              <w:rPr>
                <w:rFonts w:hint="eastAsia" w:eastAsiaTheme="minorEastAsia"/>
                <w:sz w:val="22"/>
                <w:szCs w:val="22"/>
                <w:lang w:val="de-DE" w:eastAsia="zh-CN"/>
              </w:rPr>
              <w:t xml:space="preserve">gree with MediaTek suggestion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p>
        </w:tc>
        <w:tc>
          <w:tcPr>
            <w:tcW w:w="1500" w:type="dxa"/>
          </w:tcPr>
          <w:p>
            <w:pPr>
              <w:spacing w:after="0"/>
              <w:jc w:val="both"/>
              <w:rPr>
                <w:rFonts w:eastAsiaTheme="minorEastAsia"/>
                <w:sz w:val="22"/>
                <w:szCs w:val="22"/>
                <w:lang w:val="de-DE" w:eastAsia="zh-CN"/>
              </w:rPr>
            </w:pPr>
          </w:p>
        </w:tc>
        <w:tc>
          <w:tcPr>
            <w:tcW w:w="6378" w:type="dxa"/>
          </w:tcPr>
          <w:p>
            <w:pPr>
              <w:spacing w:after="0"/>
              <w:jc w:val="both"/>
              <w:rPr>
                <w:rFonts w:eastAsiaTheme="minorEastAsia"/>
                <w:sz w:val="22"/>
                <w:szCs w:val="22"/>
                <w:lang w:val="de-DE" w:eastAsia="zh-CN"/>
              </w:rPr>
            </w:pPr>
          </w:p>
        </w:tc>
      </w:tr>
    </w:tbl>
    <w:p>
      <w:pPr>
        <w:pStyle w:val="113"/>
        <w:ind w:left="0" w:firstLine="0"/>
        <w:rPr>
          <w:b/>
          <w:lang w:val="en-GB"/>
        </w:rPr>
      </w:pPr>
    </w:p>
    <w:p>
      <w:pPr>
        <w:pStyle w:val="113"/>
        <w:rPr>
          <w:lang w:val="en-GB" w:eastAsia="en-GB"/>
        </w:rPr>
      </w:pPr>
    </w:p>
    <w:p>
      <w:pPr>
        <w:pStyle w:val="4"/>
      </w:pPr>
      <w:r>
        <w:t>2.1.8</w:t>
      </w:r>
      <w:r>
        <w:tab/>
      </w:r>
      <w:r>
        <w:t xml:space="preserve">LTE changes - ASN.1 on SCG Failure report </w:t>
      </w:r>
    </w:p>
    <w:p>
      <w:pPr>
        <w:pStyle w:val="163"/>
      </w:pPr>
      <w:r>
        <w:fldChar w:fldCharType="begin"/>
      </w:r>
      <w:r>
        <w:instrText xml:space="preserve"> HYPERLINK "http://www.3gpp.org/ftp/tsg_ran/WG2_RL2//TSGR2_115-e/Docs//R2-2108189.zip" </w:instrText>
      </w:r>
      <w:r>
        <w:fldChar w:fldCharType="separate"/>
      </w:r>
      <w:r>
        <w:rPr>
          <w:rStyle w:val="58"/>
        </w:rPr>
        <w:t>R2-2108189</w:t>
      </w:r>
      <w:r>
        <w:rPr>
          <w:rStyle w:val="58"/>
        </w:rPr>
        <w:fldChar w:fldCharType="end"/>
      </w:r>
      <w:r>
        <w:tab/>
      </w:r>
      <w:r>
        <w:t>ASN.1 misalignment for the SCGFailureInformationNR message</w:t>
      </w:r>
      <w:r>
        <w:tab/>
      </w:r>
      <w:r>
        <w:t>Ericsson</w:t>
      </w:r>
      <w:r>
        <w:tab/>
      </w:r>
      <w:r>
        <w:t>CR</w:t>
      </w:r>
      <w:r>
        <w:tab/>
      </w:r>
      <w:r>
        <w:t>Rel-16</w:t>
      </w:r>
      <w:r>
        <w:tab/>
      </w:r>
      <w:r>
        <w:t>36.331</w:t>
      </w:r>
      <w:r>
        <w:tab/>
      </w:r>
      <w:r>
        <w:t>16.5.0</w:t>
      </w:r>
      <w:r>
        <w:tab/>
      </w:r>
      <w:r>
        <w:t>4709</w:t>
      </w:r>
      <w:r>
        <w:tab/>
      </w:r>
      <w:r>
        <w:t>-</w:t>
      </w:r>
      <w:r>
        <w:tab/>
      </w:r>
      <w:r>
        <w:t>F</w:t>
      </w:r>
      <w:r>
        <w:tab/>
      </w:r>
      <w:r>
        <w:t>LTE_NR_DC_CA_enh-Core, NR_unlic-Core, NR_IAB-Core, NR_Mob_enh-Core</w:t>
      </w:r>
    </w:p>
    <w:p>
      <w:pPr>
        <w:pStyle w:val="167"/>
      </w:pPr>
      <w:r>
        <w:t>Moved from 6.1.4.1.1</w:t>
      </w:r>
    </w:p>
    <w:p>
      <w:pPr>
        <w:pStyle w:val="163"/>
      </w:pPr>
      <w:r>
        <w:fldChar w:fldCharType="begin"/>
      </w:r>
      <w:r>
        <w:instrText xml:space="preserve"> HYPERLINK "http://www.3gpp.org/ftp/tsg_ran/WG2_RL2//TSGR2_115-e/Docs//R2-2108190.zip" </w:instrText>
      </w:r>
      <w:r>
        <w:fldChar w:fldCharType="separate"/>
      </w:r>
      <w:r>
        <w:rPr>
          <w:rStyle w:val="58"/>
        </w:rPr>
        <w:t>R2-2108190</w:t>
      </w:r>
      <w:r>
        <w:rPr>
          <w:rStyle w:val="58"/>
        </w:rPr>
        <w:fldChar w:fldCharType="end"/>
      </w:r>
      <w:r>
        <w:tab/>
      </w:r>
      <w:r>
        <w:t>ASN.1 misalignment for the SCGFailureInformationNR message</w:t>
      </w:r>
      <w:r>
        <w:tab/>
      </w:r>
      <w:r>
        <w:t>Ericsson</w:t>
      </w:r>
      <w:r>
        <w:tab/>
      </w:r>
      <w:r>
        <w:t>CR</w:t>
      </w:r>
      <w:r>
        <w:tab/>
      </w:r>
      <w:r>
        <w:t>Rel-16</w:t>
      </w:r>
      <w:r>
        <w:tab/>
      </w:r>
      <w:r>
        <w:t>38.331</w:t>
      </w:r>
      <w:r>
        <w:tab/>
      </w:r>
      <w:r>
        <w:t>16.5.0</w:t>
      </w:r>
      <w:r>
        <w:tab/>
      </w:r>
      <w:r>
        <w:t>2758</w:t>
      </w:r>
      <w:r>
        <w:tab/>
      </w:r>
      <w:r>
        <w:t>-</w:t>
      </w:r>
      <w:r>
        <w:tab/>
      </w:r>
      <w:r>
        <w:t>F</w:t>
      </w:r>
      <w:r>
        <w:tab/>
      </w:r>
      <w:r>
        <w:t>LTE_NR_DC_CA_enh-Core, NR_unlic-Core, NR_IAB-Core, NR_Mob_enh-Core</w:t>
      </w:r>
    </w:p>
    <w:p>
      <w:pPr>
        <w:pStyle w:val="167"/>
      </w:pPr>
      <w:r>
        <w:t>Moved from 6.1.4.1.1</w:t>
      </w:r>
    </w:p>
    <w:p>
      <w:pPr>
        <w:pStyle w:val="163"/>
      </w:pPr>
      <w:r>
        <w:fldChar w:fldCharType="begin"/>
      </w:r>
      <w:r>
        <w:instrText xml:space="preserve"> HYPERLINK "http://www.3gpp.org/ftp/tsg_ran/WG2_RL2//TSGR2_115-e/Docs//R2-2108569.zip" </w:instrText>
      </w:r>
      <w:r>
        <w:fldChar w:fldCharType="separate"/>
      </w:r>
      <w:r>
        <w:rPr>
          <w:rStyle w:val="58"/>
        </w:rPr>
        <w:t>R2-2108569</w:t>
      </w:r>
      <w:r>
        <w:rPr>
          <w:rStyle w:val="58"/>
        </w:rPr>
        <w:fldChar w:fldCharType="end"/>
      </w:r>
      <w:r>
        <w:tab/>
      </w:r>
      <w:r>
        <w:t>Discussion on compatibility issue and solutions for Rel-15 failure type definition</w:t>
      </w:r>
      <w:r>
        <w:tab/>
      </w:r>
      <w:r>
        <w:t>Huawei, HiSilicon</w:t>
      </w:r>
      <w:r>
        <w:tab/>
      </w:r>
      <w:r>
        <w:t>discussion</w:t>
      </w:r>
      <w:r>
        <w:tab/>
      </w:r>
      <w:r>
        <w:t>Rel-16</w:t>
      </w:r>
      <w:r>
        <w:tab/>
      </w:r>
      <w:r>
        <w:t>TEI16</w:t>
      </w:r>
    </w:p>
    <w:p>
      <w:pPr>
        <w:pStyle w:val="163"/>
      </w:pPr>
      <w:r>
        <w:fldChar w:fldCharType="begin"/>
      </w:r>
      <w:r>
        <w:instrText xml:space="preserve"> HYPERLINK "http://www.3gpp.org/ftp/tsg_ran/WG2_RL2//TSGR2_115-e/Docs//R2-2108679.zip" </w:instrText>
      </w:r>
      <w:r>
        <w:fldChar w:fldCharType="separate"/>
      </w:r>
      <w:r>
        <w:rPr>
          <w:rStyle w:val="58"/>
        </w:rPr>
        <w:t>R2-2108679</w:t>
      </w:r>
      <w:r>
        <w:rPr>
          <w:rStyle w:val="58"/>
        </w:rPr>
        <w:fldChar w:fldCharType="end"/>
      </w:r>
      <w:r>
        <w:tab/>
      </w:r>
      <w:r>
        <w:t>Discussion on compatibility issue on failure type for NR SCG failure</w:t>
      </w:r>
      <w:r>
        <w:tab/>
      </w:r>
      <w:r>
        <w:t>CATT</w:t>
      </w:r>
      <w:r>
        <w:tab/>
      </w:r>
      <w:r>
        <w:t>discussion</w:t>
      </w:r>
      <w:r>
        <w:tab/>
      </w:r>
      <w:r>
        <w:t>Rel-15</w:t>
      </w:r>
    </w:p>
    <w:p>
      <w:pPr>
        <w:pStyle w:val="113"/>
        <w:rPr>
          <w:lang w:val="en-GB" w:eastAsia="en-GB"/>
        </w:rPr>
      </w:pPr>
    </w:p>
    <w:p>
      <w:pPr>
        <w:pStyle w:val="113"/>
        <w:rPr>
          <w:lang w:val="en-GB" w:eastAsia="en-GB"/>
        </w:rPr>
      </w:pPr>
    </w:p>
    <w:p>
      <w:pPr>
        <w:pStyle w:val="113"/>
        <w:ind w:left="0" w:firstLine="0"/>
        <w:rPr>
          <w:lang w:val="en-GB" w:eastAsia="en-GB"/>
        </w:rPr>
      </w:pPr>
      <w:r>
        <w:rPr>
          <w:lang w:val="en-GB" w:eastAsia="en-GB"/>
        </w:rPr>
        <w:t>The above-listed documents deal with an issue postponed at RAN2#114e</w:t>
      </w:r>
    </w:p>
    <w:p>
      <w:pPr>
        <w:pStyle w:val="113"/>
        <w:ind w:left="0" w:firstLine="0"/>
        <w:rPr>
          <w:lang w:val="en-GB" w:eastAsia="en-GB"/>
        </w:rPr>
      </w:pPr>
    </w:p>
    <w:p>
      <w:pPr>
        <w:spacing w:after="0"/>
        <w:rPr>
          <w:sz w:val="18"/>
          <w:lang w:eastAsia="zh-CN"/>
        </w:rPr>
      </w:pPr>
      <w:bookmarkStart w:id="2" w:name="_Toc20487222"/>
      <w:bookmarkStart w:id="3" w:name="_Toc29343656"/>
      <w:bookmarkStart w:id="4" w:name="_Toc29342517"/>
      <w:bookmarkStart w:id="5" w:name="_Toc36566917"/>
      <w:bookmarkStart w:id="6" w:name="_Toc36810353"/>
      <w:bookmarkStart w:id="7" w:name="_Toc36939370"/>
      <w:bookmarkStart w:id="8" w:name="_Toc37082350"/>
      <w:bookmarkStart w:id="9" w:name="_Toc36846717"/>
      <w:bookmarkStart w:id="10" w:name="_Toc46480981"/>
      <w:bookmarkStart w:id="11" w:name="_Toc46482215"/>
      <w:bookmarkStart w:id="12" w:name="_Toc46483449"/>
      <w:r>
        <w:rPr>
          <w:b/>
          <w:sz w:val="24"/>
          <w:lang w:eastAsia="zh-CN"/>
        </w:rPr>
        <w:t>–</w:t>
      </w:r>
      <w:r>
        <w:rPr>
          <w:b/>
          <w:sz w:val="24"/>
          <w:lang w:eastAsia="zh-CN"/>
        </w:rPr>
        <w:tab/>
      </w:r>
      <w:r>
        <w:rPr>
          <w:b/>
          <w:sz w:val="24"/>
          <w:lang w:eastAsia="zh-CN"/>
        </w:rPr>
        <w:t>SCGFailureInformationNR</w:t>
      </w:r>
      <w:bookmarkEnd w:id="2"/>
      <w:bookmarkEnd w:id="3"/>
      <w:bookmarkEnd w:id="4"/>
      <w:bookmarkEnd w:id="5"/>
      <w:bookmarkEnd w:id="6"/>
      <w:bookmarkEnd w:id="7"/>
      <w:bookmarkEnd w:id="8"/>
      <w:bookmarkEnd w:id="9"/>
      <w:bookmarkEnd w:id="10"/>
      <w:bookmarkEnd w:id="11"/>
      <w:bookmarkEnd w:id="12"/>
    </w:p>
    <w:p>
      <w:pPr>
        <w:pStyle w:val="137"/>
        <w:shd w:val="pct10" w:color="auto" w:fill="auto"/>
        <w:spacing w:line="200" w:lineRule="exact"/>
      </w:pPr>
      <w:r>
        <w:t>FailureReportSCG-NR-r15 ::=</w:t>
      </w:r>
      <w:r>
        <w:tab/>
      </w:r>
      <w:r>
        <w:tab/>
      </w:r>
      <w:r>
        <w:t>SEQUENCE {</w:t>
      </w:r>
    </w:p>
    <w:p>
      <w:pPr>
        <w:pStyle w:val="137"/>
        <w:shd w:val="pct10" w:color="auto" w:fill="auto"/>
        <w:spacing w:line="200" w:lineRule="exact"/>
      </w:pPr>
      <w:r>
        <w:tab/>
      </w:r>
      <w:r>
        <w:t>failureType-r15</w:t>
      </w:r>
      <w:r>
        <w:tab/>
      </w:r>
      <w:r>
        <w:tab/>
      </w:r>
      <w:r>
        <w:tab/>
      </w:r>
      <w:r>
        <w:tab/>
      </w:r>
      <w:r>
        <w:tab/>
      </w:r>
      <w:r>
        <w:tab/>
      </w:r>
      <w:r>
        <w:t>ENUMERATED {</w:t>
      </w:r>
    </w:p>
    <w:p>
      <w:pPr>
        <w:pStyle w:val="137"/>
        <w:shd w:val="pct10" w:color="auto" w:fill="auto"/>
        <w:spacing w:line="200" w:lineRule="exact"/>
      </w:pPr>
      <w:r>
        <w:tab/>
      </w:r>
      <w:r>
        <w:tab/>
      </w:r>
      <w:r>
        <w:tab/>
      </w:r>
      <w:r>
        <w:tab/>
      </w:r>
      <w:r>
        <w:tab/>
      </w:r>
      <w:r>
        <w:tab/>
      </w:r>
      <w:r>
        <w:tab/>
      </w:r>
      <w:r>
        <w:tab/>
      </w:r>
      <w:r>
        <w:tab/>
      </w:r>
      <w:r>
        <w:tab/>
      </w:r>
      <w:r>
        <w:tab/>
      </w:r>
      <w:r>
        <w:t>t31</w:t>
      </w:r>
      <w:r>
        <w:rPr>
          <w:rFonts w:eastAsia="MS Mincho"/>
        </w:rPr>
        <w:t>0</w:t>
      </w:r>
      <w:r>
        <w:t>-Expiry, randomAccessProblem,</w:t>
      </w:r>
    </w:p>
    <w:p>
      <w:pPr>
        <w:pStyle w:val="137"/>
        <w:shd w:val="pct10" w:color="auto" w:fill="auto"/>
        <w:spacing w:line="200" w:lineRule="exact"/>
      </w:pPr>
      <w:r>
        <w:tab/>
      </w:r>
      <w:r>
        <w:tab/>
      </w:r>
      <w:r>
        <w:tab/>
      </w:r>
      <w:r>
        <w:tab/>
      </w:r>
      <w:r>
        <w:tab/>
      </w:r>
      <w:r>
        <w:tab/>
      </w:r>
      <w:r>
        <w:tab/>
      </w:r>
      <w:r>
        <w:tab/>
      </w:r>
      <w:r>
        <w:tab/>
      </w:r>
      <w:r>
        <w:tab/>
      </w:r>
      <w:r>
        <w:tab/>
      </w:r>
      <w:r>
        <w:t>rlc-MaxNumRetx,</w:t>
      </w:r>
    </w:p>
    <w:p>
      <w:pPr>
        <w:pStyle w:val="137"/>
        <w:shd w:val="pct10" w:color="auto" w:fill="auto"/>
        <w:spacing w:line="200" w:lineRule="exact"/>
      </w:pPr>
      <w:r>
        <w:tab/>
      </w:r>
      <w:r>
        <w:tab/>
      </w:r>
      <w:r>
        <w:tab/>
      </w:r>
      <w:r>
        <w:tab/>
      </w:r>
      <w:r>
        <w:tab/>
      </w:r>
      <w:r>
        <w:tab/>
      </w:r>
      <w:r>
        <w:tab/>
      </w:r>
      <w:r>
        <w:tab/>
      </w:r>
      <w:r>
        <w:tab/>
      </w:r>
      <w:r>
        <w:tab/>
      </w:r>
      <w:r>
        <w:tab/>
      </w:r>
      <w:r>
        <w:rPr>
          <w:szCs w:val="22"/>
          <w:lang w:eastAsia="ko-KR"/>
        </w:rPr>
        <w:t>synchReconfigFailureSCG</w:t>
      </w:r>
      <w:r>
        <w:t>, scg-reconfigFailure,</w:t>
      </w:r>
    </w:p>
    <w:p>
      <w:pPr>
        <w:pStyle w:val="137"/>
        <w:shd w:val="pct10" w:color="auto" w:fill="auto"/>
        <w:spacing w:line="200" w:lineRule="exact"/>
      </w:pPr>
      <w:r>
        <w:tab/>
      </w:r>
      <w:r>
        <w:tab/>
      </w:r>
      <w:r>
        <w:tab/>
      </w:r>
      <w:r>
        <w:tab/>
      </w:r>
      <w:r>
        <w:tab/>
      </w:r>
      <w:r>
        <w:tab/>
      </w:r>
      <w:r>
        <w:tab/>
      </w:r>
      <w:r>
        <w:tab/>
      </w:r>
      <w:r>
        <w:tab/>
      </w:r>
      <w:r>
        <w:tab/>
      </w:r>
      <w:r>
        <w:tab/>
      </w:r>
      <w:r>
        <w:t xml:space="preserve">srb3-IntegrityFailure, </w:t>
      </w:r>
      <w:r>
        <w:rPr>
          <w:highlight w:val="yellow"/>
        </w:rPr>
        <w:t>other-r16</w:t>
      </w:r>
      <w:r>
        <w:t>},</w:t>
      </w:r>
    </w:p>
    <w:p>
      <w:pPr>
        <w:pStyle w:val="137"/>
        <w:shd w:val="pct10" w:color="auto" w:fill="auto"/>
        <w:spacing w:line="200" w:lineRule="exact"/>
      </w:pPr>
      <w:r>
        <w:tab/>
      </w:r>
      <w:r>
        <w:t>measResultFreqListNR-r15</w:t>
      </w:r>
      <w:r>
        <w:tab/>
      </w:r>
      <w:r>
        <w:tab/>
      </w:r>
      <w:r>
        <w:tab/>
      </w:r>
      <w:r>
        <w:tab/>
      </w:r>
      <w:r>
        <w:t>MeasResultFreqListFailNR-r15</w:t>
      </w:r>
      <w:r>
        <w:tab/>
      </w:r>
      <w:r>
        <w:tab/>
      </w:r>
      <w:r>
        <w:t>OPTIONAL,</w:t>
      </w:r>
    </w:p>
    <w:p>
      <w:pPr>
        <w:pStyle w:val="137"/>
        <w:shd w:val="pct10" w:color="auto" w:fill="auto"/>
        <w:spacing w:line="200" w:lineRule="exact"/>
      </w:pPr>
      <w:r>
        <w:tab/>
      </w:r>
      <w:r>
        <w:t>measResultSCG-r15</w:t>
      </w:r>
      <w:r>
        <w:tab/>
      </w:r>
      <w:r>
        <w:tab/>
      </w:r>
      <w:r>
        <w:tab/>
      </w:r>
      <w:r>
        <w:tab/>
      </w:r>
      <w:r>
        <w:tab/>
      </w:r>
      <w:r>
        <w:tab/>
      </w:r>
      <w:r>
        <w:t>OCTET STRING</w:t>
      </w:r>
      <w:r>
        <w:tab/>
      </w:r>
      <w:r>
        <w:tab/>
      </w:r>
      <w:r>
        <w:tab/>
      </w:r>
      <w:r>
        <w:tab/>
      </w:r>
      <w:r>
        <w:tab/>
      </w:r>
      <w:r>
        <w:tab/>
      </w:r>
      <w:r>
        <w:t>OPTIONAL,</w:t>
      </w:r>
    </w:p>
    <w:p>
      <w:pPr>
        <w:pStyle w:val="137"/>
        <w:shd w:val="pct10" w:color="auto" w:fill="auto"/>
        <w:spacing w:line="200" w:lineRule="exact"/>
      </w:pPr>
      <w:r>
        <w:tab/>
      </w:r>
      <w:r>
        <w:t>...,</w:t>
      </w:r>
    </w:p>
    <w:p>
      <w:pPr>
        <w:pStyle w:val="137"/>
        <w:shd w:val="pct10" w:color="auto" w:fill="auto"/>
        <w:spacing w:line="200" w:lineRule="exact"/>
      </w:pPr>
      <w:r>
        <w:tab/>
      </w:r>
      <w:r>
        <w:t>[[</w:t>
      </w:r>
      <w:r>
        <w:tab/>
      </w:r>
      <w:r>
        <w:t>locationInfo-r16</w:t>
      </w:r>
      <w:r>
        <w:tab/>
      </w:r>
      <w:r>
        <w:tab/>
      </w:r>
      <w:r>
        <w:tab/>
      </w:r>
      <w:r>
        <w:tab/>
      </w:r>
      <w:r>
        <w:t>LocationInfo-r10</w:t>
      </w:r>
      <w:r>
        <w:tab/>
      </w:r>
      <w:r>
        <w:tab/>
      </w:r>
      <w:r>
        <w:tab/>
      </w:r>
      <w:r>
        <w:tab/>
      </w:r>
      <w:r>
        <w:tab/>
      </w:r>
      <w:r>
        <w:tab/>
      </w:r>
      <w:r>
        <w:t>OPTIONAL,</w:t>
      </w:r>
    </w:p>
    <w:p>
      <w:pPr>
        <w:pStyle w:val="137"/>
        <w:spacing w:line="200" w:lineRule="exact"/>
      </w:pPr>
      <w:r>
        <w:tab/>
      </w:r>
      <w:r>
        <w:tab/>
      </w:r>
      <w:r>
        <w:t>logMeasResultListBT-r16</w:t>
      </w:r>
      <w:r>
        <w:tab/>
      </w:r>
      <w:r>
        <w:tab/>
      </w:r>
      <w:r>
        <w:tab/>
      </w:r>
      <w:r>
        <w:t>LogMeasResultListBT-r15</w:t>
      </w:r>
      <w:r>
        <w:tab/>
      </w:r>
      <w:r>
        <w:tab/>
      </w:r>
      <w:r>
        <w:tab/>
      </w:r>
      <w:r>
        <w:tab/>
      </w:r>
      <w:r>
        <w:tab/>
      </w:r>
      <w:r>
        <w:t>OPTIONAL,</w:t>
      </w:r>
    </w:p>
    <w:p>
      <w:pPr>
        <w:pStyle w:val="137"/>
        <w:spacing w:line="200" w:lineRule="exact"/>
      </w:pPr>
      <w:r>
        <w:tab/>
      </w:r>
      <w:r>
        <w:tab/>
      </w:r>
      <w:r>
        <w:t>logMeasResultListWLAN-r16</w:t>
      </w:r>
      <w:r>
        <w:tab/>
      </w:r>
      <w:r>
        <w:tab/>
      </w:r>
      <w:r>
        <w:t>LogMeasResultListWLAN-r15</w:t>
      </w:r>
      <w:r>
        <w:tab/>
      </w:r>
      <w:r>
        <w:tab/>
      </w:r>
      <w:r>
        <w:tab/>
      </w:r>
      <w:r>
        <w:tab/>
      </w:r>
      <w:r>
        <w:t>OPTIONAL,</w:t>
      </w:r>
    </w:p>
    <w:p>
      <w:pPr>
        <w:pStyle w:val="137"/>
        <w:shd w:val="pct10" w:color="auto" w:fill="auto"/>
        <w:spacing w:line="200" w:lineRule="exact"/>
      </w:pPr>
      <w:r>
        <w:tab/>
      </w:r>
      <w:r>
        <w:tab/>
      </w:r>
      <w:r>
        <w:t>failureType-v1610</w:t>
      </w:r>
      <w:r>
        <w:tab/>
      </w:r>
      <w:r>
        <w:tab/>
      </w:r>
      <w:r>
        <w:tab/>
      </w:r>
      <w:r>
        <w:tab/>
      </w:r>
      <w:r>
        <w:t>ENUMERATED {t312-Expiry, scg-lbtFailure,</w:t>
      </w:r>
    </w:p>
    <w:p>
      <w:pPr>
        <w:pStyle w:val="137"/>
        <w:shd w:val="pct10" w:color="auto" w:fill="auto"/>
        <w:spacing w:line="200" w:lineRule="exact"/>
      </w:pPr>
      <w:r>
        <w:tab/>
      </w:r>
      <w:r>
        <w:tab/>
      </w:r>
      <w:r>
        <w:tab/>
      </w:r>
      <w:r>
        <w:tab/>
      </w:r>
      <w:r>
        <w:tab/>
      </w:r>
      <w:r>
        <w:tab/>
      </w:r>
      <w:r>
        <w:tab/>
      </w:r>
      <w:r>
        <w:tab/>
      </w:r>
      <w:r>
        <w:tab/>
      </w:r>
      <w:r>
        <w:tab/>
      </w:r>
      <w:r>
        <w:tab/>
      </w:r>
      <w:r>
        <w:rPr>
          <w:lang w:eastAsia="en-GB"/>
        </w:rPr>
        <w:t>beamFailureRecoveryFailure</w:t>
      </w:r>
      <w:r>
        <w:t>, bh-RLF-r16, spare4,</w:t>
      </w:r>
    </w:p>
    <w:p>
      <w:pPr>
        <w:pStyle w:val="137"/>
        <w:shd w:val="pct10" w:color="auto" w:fill="auto"/>
        <w:spacing w:line="200" w:lineRule="exact"/>
      </w:pPr>
      <w:r>
        <w:t xml:space="preserve"> </w:t>
      </w:r>
      <w:r>
        <w:tab/>
      </w:r>
      <w:r>
        <w:tab/>
      </w:r>
      <w:r>
        <w:tab/>
      </w:r>
      <w:r>
        <w:tab/>
      </w:r>
      <w:r>
        <w:tab/>
      </w:r>
      <w:r>
        <w:tab/>
      </w:r>
      <w:r>
        <w:tab/>
      </w:r>
      <w:r>
        <w:tab/>
      </w:r>
      <w:r>
        <w:tab/>
      </w:r>
      <w:r>
        <w:tab/>
      </w:r>
      <w:r>
        <w:tab/>
      </w:r>
      <w:r>
        <w:tab/>
      </w:r>
      <w:r>
        <w:tab/>
      </w:r>
      <w:r>
        <w:t>spare3, spare2, spare1}</w:t>
      </w:r>
      <w:r>
        <w:tab/>
      </w:r>
      <w:r>
        <w:t>OPTIONAL</w:t>
      </w:r>
    </w:p>
    <w:p>
      <w:pPr>
        <w:pStyle w:val="137"/>
        <w:shd w:val="pct10" w:color="auto" w:fill="auto"/>
        <w:spacing w:line="200" w:lineRule="exact"/>
      </w:pPr>
      <w:r>
        <w:tab/>
      </w:r>
      <w:r>
        <w:t>]]</w:t>
      </w:r>
    </w:p>
    <w:p>
      <w:pPr>
        <w:pStyle w:val="137"/>
        <w:shd w:val="pct10" w:color="auto" w:fill="auto"/>
        <w:spacing w:line="200" w:lineRule="exact"/>
      </w:pPr>
      <w:r>
        <w:t>}</w:t>
      </w:r>
    </w:p>
    <w:p>
      <w:pPr>
        <w:spacing w:after="0"/>
        <w:rPr>
          <w:lang w:eastAsia="zh-CN"/>
        </w:rPr>
      </w:pPr>
    </w:p>
    <w:p>
      <w:pPr>
        <w:pStyle w:val="113"/>
        <w:ind w:left="0" w:firstLine="0"/>
        <w:rPr>
          <w:lang w:val="en-GB" w:eastAsia="en-GB"/>
        </w:rPr>
      </w:pPr>
      <w:r>
        <w:rPr>
          <w:lang w:val="en-GB" w:eastAsia="en-GB"/>
        </w:rPr>
        <w:t xml:space="preserve">The rapporteurs understanding is that the code point </w:t>
      </w:r>
      <w:r>
        <w:rPr>
          <w:i/>
          <w:iCs/>
          <w:lang w:val="en-GB" w:eastAsia="en-GB"/>
        </w:rPr>
        <w:t>other-16</w:t>
      </w:r>
      <w:r>
        <w:rPr>
          <w:lang w:val="en-GB" w:eastAsia="en-GB"/>
        </w:rPr>
        <w:t xml:space="preserve"> does not exist in in 36.331 Rel-15 (not even as a spare value), and will result in a transfer syntax error if received by eNb based on Rel-15 ASN.1.</w:t>
      </w:r>
    </w:p>
    <w:p>
      <w:pPr>
        <w:pStyle w:val="113"/>
        <w:ind w:left="0" w:firstLine="0"/>
        <w:rPr>
          <w:lang w:val="en-GB" w:eastAsia="en-GB"/>
        </w:rPr>
      </w:pPr>
    </w:p>
    <w:p>
      <w:pPr>
        <w:pStyle w:val="113"/>
        <w:ind w:left="0" w:firstLine="0"/>
        <w:rPr>
          <w:lang w:val="en-GB" w:eastAsia="en-GB"/>
        </w:rPr>
      </w:pPr>
      <w:r>
        <w:rPr>
          <w:lang w:val="en-GB" w:eastAsia="en-GB"/>
        </w:rPr>
        <w:t xml:space="preserve">In the following, the rapporteur tried (based on </w:t>
      </w:r>
      <w:r>
        <w:fldChar w:fldCharType="begin"/>
      </w:r>
      <w:r>
        <w:instrText xml:space="preserve"> HYPERLINK "http://www.3gpp.org/ftp/tsg_ran/WG2_RL2//TSGR2_115-e/Docs//R2-2108679.zip" </w:instrText>
      </w:r>
      <w:r>
        <w:fldChar w:fldCharType="separate"/>
      </w:r>
      <w:r>
        <w:rPr>
          <w:rStyle w:val="58"/>
        </w:rPr>
        <w:t>R2-2108679</w:t>
      </w:r>
      <w:r>
        <w:rPr>
          <w:rStyle w:val="58"/>
        </w:rPr>
        <w:fldChar w:fldCharType="end"/>
      </w:r>
      <w:r>
        <w:rPr>
          <w:lang w:val="sv-SE"/>
        </w:rPr>
        <w:t xml:space="preserve">) </w:t>
      </w:r>
      <w:r>
        <w:rPr>
          <w:lang w:val="en-GB" w:eastAsia="en-GB"/>
        </w:rPr>
        <w:t>to list the proposed solutions (sourcing companies are asked to verify and add/correct where needed).</w:t>
      </w:r>
    </w:p>
    <w:p>
      <w:pPr>
        <w:pStyle w:val="113"/>
        <w:ind w:left="0" w:firstLine="0"/>
        <w:rPr>
          <w:lang w:val="en-GB" w:eastAsia="en-GB"/>
        </w:rPr>
      </w:pPr>
    </w:p>
    <w:p>
      <w:pPr>
        <w:pStyle w:val="171"/>
        <w:rPr>
          <w:rFonts w:ascii="Arial" w:hAnsi="Arial" w:cs="Arial"/>
        </w:rPr>
      </w:pPr>
      <w:r>
        <w:rPr>
          <w:rFonts w:ascii="Arial" w:hAnsi="Arial" w:cs="Arial"/>
        </w:rPr>
        <w:t>Solution 1-1</w:t>
      </w:r>
      <w:r>
        <w:rPr>
          <w:rFonts w:ascii="Arial" w:hAnsi="Arial" w:cs="Arial"/>
        </w:rPr>
        <w:br w:type="textWrapping"/>
      </w:r>
      <w:r>
        <w:rPr>
          <w:rFonts w:ascii="Arial" w:hAnsi="Arial" w:cs="Arial"/>
        </w:rPr>
        <w:t xml:space="preserve">Add a new code point into the </w:t>
      </w:r>
      <w:r>
        <w:rPr>
          <w:rFonts w:ascii="Arial" w:hAnsi="Arial" w:cs="Arial"/>
          <w:i/>
        </w:rPr>
        <w:t>failureType-r15</w:t>
      </w:r>
      <w:r>
        <w:rPr>
          <w:rFonts w:ascii="Arial" w:hAnsi="Arial" w:cs="Arial"/>
        </w:rPr>
        <w:t xml:space="preserve"> field in 36.331 Rel-15 </w:t>
      </w:r>
      <w:r>
        <w:rPr>
          <w:rFonts w:ascii="Arial" w:hAnsi="Arial" w:cs="Arial"/>
          <w:lang w:eastAsia="en-GB"/>
        </w:rPr>
        <w:t>SCGFailureInformationNR</w:t>
      </w:r>
      <w:r>
        <w:rPr>
          <w:rFonts w:ascii="Arial" w:hAnsi="Arial" w:cs="Arial"/>
        </w:rPr>
        <w:t xml:space="preserve">, e.g. “reserved”. </w:t>
      </w:r>
      <w:r>
        <w:rPr>
          <w:rFonts w:ascii="Arial" w:hAnsi="Arial" w:cs="Arial"/>
        </w:rPr>
        <w:br w:type="textWrapping"/>
      </w:r>
      <w:r>
        <w:rPr>
          <w:rFonts w:ascii="Arial" w:hAnsi="Arial" w:cs="Arial"/>
        </w:rPr>
        <w:t xml:space="preserve">Further, add a code point into the </w:t>
      </w:r>
      <w:r>
        <w:rPr>
          <w:rFonts w:ascii="Arial" w:hAnsi="Arial" w:cs="Arial"/>
          <w:i/>
        </w:rPr>
        <w:t>failureTyp-15</w:t>
      </w:r>
      <w:r>
        <w:rPr>
          <w:rFonts w:ascii="Arial" w:hAnsi="Arial" w:cs="Arial"/>
        </w:rPr>
        <w:t xml:space="preserve"> field within the TS 38.331</w:t>
      </w:r>
      <w:r>
        <w:rPr>
          <w:rFonts w:ascii="Arial" w:hAnsi="Arial" w:cs="Arial"/>
          <w:i/>
        </w:rPr>
        <w:t xml:space="preserve"> CG-ConfigInfo</w:t>
      </w:r>
      <w:r>
        <w:rPr>
          <w:rFonts w:ascii="Arial" w:hAnsi="Arial" w:cs="Arial"/>
        </w:rPr>
        <w:t xml:space="preserve"> structure, e.g. “reserved”.</w:t>
      </w:r>
    </w:p>
    <w:p>
      <w:pPr>
        <w:pStyle w:val="113"/>
        <w:ind w:left="0" w:firstLine="0"/>
        <w:rPr>
          <w:rFonts w:cs="Arial"/>
          <w:lang w:val="en-GB" w:eastAsia="en-GB"/>
        </w:rPr>
      </w:pPr>
    </w:p>
    <w:p>
      <w:pPr>
        <w:pStyle w:val="113"/>
        <w:ind w:left="0" w:firstLine="0"/>
        <w:rPr>
          <w:rFonts w:cs="Arial"/>
          <w:lang w:val="en-GB" w:eastAsia="en-GB"/>
        </w:rPr>
      </w:pPr>
      <w:r>
        <w:rPr>
          <w:rFonts w:cs="Arial"/>
          <w:lang w:val="en-GB" w:eastAsia="en-GB"/>
        </w:rPr>
        <w:t xml:space="preserve">Solution 1-2: </w:t>
      </w:r>
    </w:p>
    <w:p>
      <w:pPr>
        <w:pStyle w:val="113"/>
        <w:ind w:left="0" w:firstLine="0"/>
        <w:rPr>
          <w:rFonts w:cs="Arial"/>
        </w:rPr>
      </w:pPr>
      <w:r>
        <w:rPr>
          <w:rFonts w:cs="Arial"/>
        </w:rPr>
        <w:t xml:space="preserve">Add a new code point into the </w:t>
      </w:r>
      <w:r>
        <w:rPr>
          <w:rFonts w:cs="Arial"/>
          <w:i/>
        </w:rPr>
        <w:t>failureType-r15</w:t>
      </w:r>
      <w:r>
        <w:rPr>
          <w:rFonts w:cs="Arial"/>
        </w:rPr>
        <w:t xml:space="preserve"> field in 36.331 Rel-15 </w:t>
      </w:r>
      <w:r>
        <w:rPr>
          <w:rFonts w:cs="Arial"/>
          <w:lang w:val="en-GB" w:eastAsia="en-GB"/>
        </w:rPr>
        <w:t>SCGFailureInformationNR</w:t>
      </w:r>
      <w:r>
        <w:rPr>
          <w:rFonts w:cs="Arial"/>
        </w:rPr>
        <w:t xml:space="preserve">, e.g. “reserved”. </w:t>
      </w:r>
    </w:p>
    <w:p>
      <w:pPr>
        <w:pStyle w:val="113"/>
        <w:ind w:left="0" w:firstLine="0"/>
        <w:rPr>
          <w:rFonts w:cs="Arial"/>
        </w:rPr>
      </w:pPr>
      <w:r>
        <w:rPr>
          <w:rFonts w:cs="Arial"/>
          <w:i/>
        </w:rPr>
        <w:t>CG-ConfigInfo</w:t>
      </w:r>
      <w:r>
        <w:rPr>
          <w:rFonts w:cs="Arial"/>
        </w:rPr>
        <w:t xml:space="preserve"> </w:t>
      </w:r>
      <w:r>
        <w:rPr>
          <w:rFonts w:cs="Arial"/>
          <w:lang w:val="sv-SE"/>
        </w:rPr>
        <w:t xml:space="preserve">is not updated, an hence </w:t>
      </w:r>
      <w:r>
        <w:rPr>
          <w:rFonts w:cs="Arial"/>
          <w:lang w:val="en-GB" w:eastAsia="en-GB"/>
        </w:rPr>
        <w:t>MeNB should instead trigger a release of SCG.</w:t>
      </w:r>
    </w:p>
    <w:p>
      <w:pPr>
        <w:pStyle w:val="171"/>
        <w:rPr>
          <w:rFonts w:ascii="Arial" w:hAnsi="Arial" w:cs="Arial"/>
        </w:rPr>
      </w:pPr>
    </w:p>
    <w:p>
      <w:pPr>
        <w:pStyle w:val="171"/>
        <w:rPr>
          <w:rFonts w:ascii="Arial" w:hAnsi="Arial" w:cs="Arial"/>
        </w:rPr>
      </w:pPr>
      <w:r>
        <w:rPr>
          <w:rFonts w:ascii="Arial" w:hAnsi="Arial" w:cs="Arial"/>
        </w:rPr>
        <w:t xml:space="preserve">Solution 2-1: </w:t>
      </w:r>
      <w:r>
        <w:rPr>
          <w:rFonts w:ascii="Arial" w:hAnsi="Arial" w:cs="Arial"/>
        </w:rPr>
        <w:br w:type="textWrapping"/>
      </w:r>
      <w:r>
        <w:rPr>
          <w:rFonts w:ascii="Arial" w:hAnsi="Arial" w:cs="Arial"/>
        </w:rPr>
        <w:t xml:space="preserve">The value </w:t>
      </w:r>
      <w:r>
        <w:rPr>
          <w:rFonts w:ascii="Arial" w:hAnsi="Arial" w:cs="Arial"/>
          <w:i/>
        </w:rPr>
        <w:t>other-r16</w:t>
      </w:r>
      <w:r>
        <w:rPr>
          <w:rFonts w:ascii="Arial" w:hAnsi="Arial" w:cs="Arial"/>
        </w:rPr>
        <w:t xml:space="preserve"> should not be used for any case. The UE should always include a “similar” r15 failure type. There are two variants.</w:t>
      </w:r>
    </w:p>
    <w:p>
      <w:pPr>
        <w:pStyle w:val="171"/>
        <w:numPr>
          <w:ilvl w:val="0"/>
          <w:numId w:val="20"/>
        </w:numPr>
        <w:rPr>
          <w:rFonts w:ascii="Arial" w:hAnsi="Arial" w:cs="Arial"/>
        </w:rPr>
      </w:pPr>
      <w:r>
        <w:rPr>
          <w:rFonts w:ascii="Arial" w:hAnsi="Arial" w:cs="Arial"/>
        </w:rPr>
        <w:t>Setting of failureType-r15 is specified in 38.331 procedure text.</w:t>
      </w:r>
    </w:p>
    <w:p>
      <w:pPr>
        <w:pStyle w:val="171"/>
        <w:numPr>
          <w:ilvl w:val="0"/>
          <w:numId w:val="20"/>
        </w:numPr>
        <w:rPr>
          <w:rFonts w:ascii="Arial" w:hAnsi="Arial" w:cs="Arial"/>
        </w:rPr>
      </w:pPr>
      <w:r>
        <w:rPr>
          <w:rFonts w:ascii="Arial" w:hAnsi="Arial" w:cs="Arial"/>
        </w:rPr>
        <w:t xml:space="preserve">Setting of failureType-r15 is left to UE impl. </w:t>
      </w:r>
      <w:r>
        <w:rPr>
          <w:rFonts w:ascii="Arial" w:hAnsi="Arial" w:cs="Arial"/>
          <w:highlight w:val="yellow"/>
        </w:rPr>
        <w:t xml:space="preserve">This solution is covered in </w:t>
      </w:r>
      <w:r>
        <w:fldChar w:fldCharType="begin"/>
      </w:r>
      <w:r>
        <w:instrText xml:space="preserve"> HYPERLINK "http://www.3gpp.org/ftp/tsg_ran/WG2_RL2//TSGR2_115-e/Docs//R2-2108569.zip" </w:instrText>
      </w:r>
      <w:r>
        <w:fldChar w:fldCharType="separate"/>
      </w:r>
      <w:r>
        <w:rPr>
          <w:rStyle w:val="58"/>
          <w:rFonts w:ascii="Arial" w:hAnsi="Arial" w:cs="Arial"/>
          <w:highlight w:val="yellow"/>
        </w:rPr>
        <w:t>R2-2108569</w:t>
      </w:r>
      <w:r>
        <w:rPr>
          <w:rStyle w:val="58"/>
          <w:rFonts w:ascii="Arial" w:hAnsi="Arial" w:cs="Arial"/>
          <w:highlight w:val="yellow"/>
        </w:rPr>
        <w:fldChar w:fldCharType="end"/>
      </w:r>
      <w:r>
        <w:rPr>
          <w:rFonts w:ascii="Arial" w:hAnsi="Arial" w:cs="Arial"/>
        </w:rPr>
        <w:t>.</w:t>
      </w:r>
    </w:p>
    <w:p>
      <w:pPr>
        <w:pStyle w:val="113"/>
        <w:ind w:left="0" w:firstLine="0"/>
        <w:rPr>
          <w:rFonts w:cs="Arial"/>
          <w:lang w:val="en-GB" w:eastAsia="en-GB"/>
        </w:rPr>
      </w:pPr>
    </w:p>
    <w:p>
      <w:pPr>
        <w:pStyle w:val="171"/>
        <w:rPr>
          <w:rFonts w:ascii="Arial" w:hAnsi="Arial" w:cs="Arial"/>
          <w:iCs/>
        </w:rPr>
      </w:pPr>
      <w:r>
        <w:rPr>
          <w:rFonts w:ascii="Arial" w:hAnsi="Arial" w:cs="Arial"/>
        </w:rPr>
        <w:t xml:space="preserve">Solution 2-2: </w:t>
      </w:r>
      <w:r>
        <w:rPr>
          <w:rFonts w:ascii="Arial" w:hAnsi="Arial" w:cs="Arial"/>
        </w:rPr>
        <w:br w:type="textWrapping"/>
      </w:r>
      <w:r>
        <w:rPr>
          <w:rFonts w:ascii="Arial" w:hAnsi="Arial" w:cs="Arial"/>
        </w:rPr>
        <w:t xml:space="preserve">For the case of BFR failure, the Rel-16 UE should set the value failureType-r15 to </w:t>
      </w:r>
      <w:r>
        <w:rPr>
          <w:rFonts w:ascii="Arial" w:hAnsi="Arial" w:cs="Arial"/>
          <w:i/>
        </w:rPr>
        <w:t>randomAccessProblem</w:t>
      </w:r>
      <w:r>
        <w:rPr>
          <w:rFonts w:ascii="Arial" w:hAnsi="Arial" w:cs="Arial"/>
        </w:rPr>
        <w:t xml:space="preserve"> Other cases are</w:t>
      </w:r>
      <w:r>
        <w:rPr>
          <w:rFonts w:ascii="Arial" w:hAnsi="Arial" w:cs="Arial"/>
          <w:iCs/>
        </w:rPr>
        <w:t xml:space="preserve"> prevented by network implementation (“</w:t>
      </w:r>
      <w:r>
        <w:rPr>
          <w:rFonts w:ascii="Arial" w:hAnsi="Arial" w:cs="Arial"/>
        </w:rPr>
        <w:t>prevent Rel-16 UEs from encountering T312 expires, LBT failures and BH RLFs when connecting to a Rel-15 MeNB</w:t>
      </w:r>
      <w:r>
        <w:rPr>
          <w:rFonts w:ascii="Arial" w:hAnsi="Arial" w:cs="Arial"/>
          <w:iCs/>
        </w:rPr>
        <w:t xml:space="preserve"> “). </w:t>
      </w:r>
    </w:p>
    <w:p>
      <w:pPr>
        <w:pStyle w:val="171"/>
        <w:rPr>
          <w:rFonts w:ascii="Arial" w:hAnsi="Arial" w:cs="Arial"/>
          <w:lang w:val="sv-SE" w:eastAsia="en-GB"/>
        </w:rPr>
      </w:pPr>
      <w:r>
        <w:rPr>
          <w:rFonts w:ascii="Arial" w:hAnsi="Arial" w:cs="Arial"/>
          <w:iCs/>
        </w:rPr>
        <w:t>Solution 3</w:t>
      </w:r>
      <w:r>
        <w:rPr>
          <w:rFonts w:ascii="Arial" w:hAnsi="Arial" w:cs="Arial"/>
          <w:iCs/>
        </w:rPr>
        <w:br w:type="textWrapping"/>
      </w:r>
      <w:r>
        <w:rPr>
          <w:rFonts w:ascii="Arial" w:hAnsi="Arial" w:cs="Arial"/>
          <w:lang w:eastAsia="en-GB"/>
        </w:rPr>
        <w:t xml:space="preserve">Introduce a new field </w:t>
      </w:r>
      <w:r>
        <w:rPr>
          <w:rFonts w:ascii="Arial" w:hAnsi="Arial" w:cs="Arial"/>
          <w:i/>
          <w:iCs/>
          <w:lang w:eastAsia="en-GB"/>
        </w:rPr>
        <w:t>failureTypeOther</w:t>
      </w:r>
      <w:r>
        <w:rPr>
          <w:rFonts w:ascii="Arial" w:hAnsi="Arial" w:cs="Arial"/>
          <w:lang w:eastAsia="en-GB"/>
        </w:rPr>
        <w:t xml:space="preserve"> in 36.331</w:t>
      </w:r>
      <w:r>
        <w:rPr>
          <w:rFonts w:ascii="Arial" w:hAnsi="Arial" w:cs="Arial"/>
        </w:rPr>
        <w:t xml:space="preserve"> </w:t>
      </w:r>
      <w:r>
        <w:rPr>
          <w:rFonts w:ascii="Arial" w:hAnsi="Arial" w:cs="Arial"/>
          <w:lang w:val="sv-SE"/>
        </w:rPr>
        <w:t xml:space="preserve">Rel-16 </w:t>
      </w:r>
      <w:r>
        <w:rPr>
          <w:rFonts w:ascii="Arial" w:hAnsi="Arial" w:cs="Arial"/>
          <w:lang w:eastAsia="en-GB"/>
        </w:rPr>
        <w:t xml:space="preserve">SCGFailureInformationNR message, and dummify existing </w:t>
      </w:r>
      <w:r>
        <w:rPr>
          <w:rFonts w:ascii="Arial" w:hAnsi="Arial" w:cs="Arial"/>
          <w:i/>
          <w:iCs/>
          <w:lang w:eastAsia="en-GB"/>
        </w:rPr>
        <w:t>other-r16</w:t>
      </w:r>
      <w:r>
        <w:rPr>
          <w:rFonts w:ascii="Arial" w:hAnsi="Arial" w:cs="Arial"/>
          <w:lang w:eastAsia="en-GB"/>
        </w:rPr>
        <w:t xml:space="preserve"> code-point. Corresponding procedure text changes in 38.331 Rel-16. (</w:t>
      </w:r>
      <w:r>
        <w:rPr>
          <w:rFonts w:ascii="Arial" w:hAnsi="Arial" w:cs="Arial"/>
          <w:highlight w:val="yellow"/>
          <w:lang w:eastAsia="en-GB"/>
        </w:rPr>
        <w:t xml:space="preserve">This solution is covered by draft CRs in </w:t>
      </w:r>
      <w:r>
        <w:fldChar w:fldCharType="begin"/>
      </w:r>
      <w:r>
        <w:instrText xml:space="preserve"> HYPERLINK "http://www.3gpp.org/ftp/tsg_ran/WG2_RL2//TSGR2_115-e/Docs//R2-2108189.zip" </w:instrText>
      </w:r>
      <w:r>
        <w:fldChar w:fldCharType="separate"/>
      </w:r>
      <w:r>
        <w:rPr>
          <w:rStyle w:val="58"/>
          <w:rFonts w:ascii="Arial" w:hAnsi="Arial" w:cs="Arial"/>
          <w:highlight w:val="yellow"/>
        </w:rPr>
        <w:t>R2-2108189</w:t>
      </w:r>
      <w:r>
        <w:rPr>
          <w:rStyle w:val="58"/>
          <w:rFonts w:ascii="Arial" w:hAnsi="Arial" w:cs="Arial"/>
          <w:highlight w:val="yellow"/>
        </w:rPr>
        <w:fldChar w:fldCharType="end"/>
      </w:r>
      <w:r>
        <w:rPr>
          <w:rFonts w:ascii="Arial" w:hAnsi="Arial" w:cs="Arial"/>
          <w:highlight w:val="yellow"/>
          <w:lang w:val="sv-SE"/>
        </w:rPr>
        <w:t>/</w:t>
      </w:r>
      <w:r>
        <w:fldChar w:fldCharType="begin"/>
      </w:r>
      <w:r>
        <w:instrText xml:space="preserve"> HYPERLINK "http://www.3gpp.org/ftp/tsg_ran/WG2_RL2//TSGR2_115-e/Docs//R2-2108190.zip" </w:instrText>
      </w:r>
      <w:r>
        <w:fldChar w:fldCharType="separate"/>
      </w:r>
      <w:r>
        <w:rPr>
          <w:rStyle w:val="58"/>
          <w:rFonts w:ascii="Arial" w:hAnsi="Arial" w:cs="Arial"/>
          <w:highlight w:val="yellow"/>
        </w:rPr>
        <w:t>R2-2108190</w:t>
      </w:r>
      <w:r>
        <w:rPr>
          <w:rStyle w:val="58"/>
          <w:rFonts w:ascii="Arial" w:hAnsi="Arial" w:cs="Arial"/>
          <w:highlight w:val="yellow"/>
        </w:rPr>
        <w:fldChar w:fldCharType="end"/>
      </w:r>
      <w:r>
        <w:rPr>
          <w:rFonts w:ascii="Arial" w:hAnsi="Arial" w:cs="Arial"/>
          <w:lang w:val="sv-SE"/>
        </w:rPr>
        <w:t>).</w:t>
      </w:r>
    </w:p>
    <w:p>
      <w:pPr>
        <w:pStyle w:val="171"/>
        <w:rPr>
          <w:rFonts w:ascii="Arial" w:hAnsi="Arial" w:cs="Arial"/>
        </w:rPr>
      </w:pPr>
      <w:r>
        <w:rPr>
          <w:rFonts w:ascii="Arial" w:hAnsi="Arial" w:cs="Arial"/>
        </w:rPr>
        <w:t>In this Phase 1, companies are asked to provide their views on preferred solution alternatives. In a Phase 2, we can discuss CR details.</w:t>
      </w:r>
    </w:p>
    <w:p>
      <w:pPr>
        <w:rPr>
          <w:b/>
          <w:bCs/>
          <w:lang w:eastAsia="en-GB"/>
        </w:rPr>
      </w:pPr>
      <w:r>
        <w:rPr>
          <w:b/>
          <w:bCs/>
          <w:lang w:eastAsia="en-GB"/>
        </w:rPr>
        <w:t xml:space="preserve">Q11. Companies are asked to provide their view on preferred solution alternative. </w:t>
      </w:r>
    </w:p>
    <w:tbl>
      <w:tblPr>
        <w:tblStyle w:val="52"/>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6"/>
        <w:gridCol w:w="1500"/>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Calibri"/>
                <w:b/>
                <w:bCs/>
                <w:sz w:val="22"/>
                <w:szCs w:val="22"/>
                <w:lang w:val="de-DE"/>
              </w:rPr>
            </w:pPr>
            <w:r>
              <w:rPr>
                <w:rFonts w:eastAsia="Calibri"/>
                <w:b/>
                <w:bCs/>
                <w:sz w:val="22"/>
                <w:szCs w:val="22"/>
                <w:lang w:val="de-DE"/>
              </w:rPr>
              <w:t>Company</w:t>
            </w:r>
          </w:p>
        </w:tc>
        <w:tc>
          <w:tcPr>
            <w:tcW w:w="1500" w:type="dxa"/>
          </w:tcPr>
          <w:p>
            <w:pPr>
              <w:spacing w:after="0"/>
              <w:jc w:val="both"/>
              <w:rPr>
                <w:rFonts w:eastAsia="Calibri"/>
                <w:b/>
                <w:bCs/>
                <w:sz w:val="22"/>
                <w:szCs w:val="22"/>
                <w:lang w:val="de-DE"/>
              </w:rPr>
            </w:pPr>
            <w:r>
              <w:rPr>
                <w:rFonts w:eastAsia="Calibri"/>
                <w:b/>
                <w:bCs/>
                <w:sz w:val="22"/>
                <w:szCs w:val="22"/>
                <w:lang w:val="de-DE"/>
              </w:rPr>
              <w:t xml:space="preserve">Preferred Solution </w:t>
            </w:r>
          </w:p>
        </w:tc>
        <w:tc>
          <w:tcPr>
            <w:tcW w:w="6378" w:type="dxa"/>
          </w:tcPr>
          <w:p>
            <w:pPr>
              <w:spacing w:after="0"/>
              <w:jc w:val="both"/>
              <w:rPr>
                <w:rFonts w:eastAsia="Calibri"/>
                <w:b/>
                <w:bCs/>
                <w:sz w:val="22"/>
                <w:szCs w:val="22"/>
                <w:lang w:val="de-DE"/>
              </w:rPr>
            </w:pPr>
            <w:r>
              <w:rPr>
                <w:rFonts w:eastAsia="Calibri"/>
                <w:b/>
                <w:bCs/>
                <w:sz w:val="22"/>
                <w:szCs w:val="22"/>
                <w:lang w:val="de-DE"/>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MediaTek</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See comment</w:t>
            </w:r>
          </w:p>
        </w:tc>
        <w:tc>
          <w:tcPr>
            <w:tcW w:w="6378" w:type="dxa"/>
          </w:tcPr>
          <w:p>
            <w:pPr>
              <w:spacing w:after="0"/>
              <w:jc w:val="both"/>
              <w:rPr>
                <w:rFonts w:eastAsia="Calibri" w:asciiTheme="minorHAnsi" w:hAnsiTheme="minorHAnsi" w:cstheme="minorHAnsi"/>
                <w:sz w:val="22"/>
                <w:szCs w:val="22"/>
                <w:lang w:val="en-US"/>
              </w:rPr>
            </w:pPr>
            <w:r>
              <w:rPr>
                <w:rFonts w:eastAsia="Calibri" w:asciiTheme="minorHAnsi" w:hAnsiTheme="minorHAnsi" w:cstheme="minorHAnsi"/>
                <w:sz w:val="22"/>
                <w:szCs w:val="22"/>
                <w:lang w:val="en-US"/>
              </w:rPr>
              <w:t xml:space="preserve">This is an unfortunate bug in R16 ASN.1. We should never add new UL enum value in legacy field. We recognize this is a real problem and there is no backward compatible way to solve. </w:t>
            </w:r>
          </w:p>
          <w:p>
            <w:pPr>
              <w:spacing w:after="0"/>
              <w:jc w:val="both"/>
              <w:rPr>
                <w:rFonts w:eastAsia="Calibri" w:asciiTheme="minorHAnsi" w:hAnsiTheme="minorHAnsi" w:cstheme="minorHAnsi"/>
                <w:sz w:val="22"/>
                <w:szCs w:val="22"/>
                <w:lang w:val="en-US"/>
              </w:rPr>
            </w:pPr>
          </w:p>
          <w:p>
            <w:pPr>
              <w:spacing w:after="0"/>
              <w:jc w:val="both"/>
              <w:rPr>
                <w:rFonts w:eastAsia="Calibri" w:asciiTheme="minorHAnsi" w:hAnsiTheme="minorHAnsi" w:cstheme="minorHAnsi"/>
                <w:sz w:val="22"/>
                <w:szCs w:val="22"/>
                <w:lang w:val="en-US"/>
              </w:rPr>
            </w:pPr>
            <w:r>
              <w:rPr>
                <w:rFonts w:eastAsia="Calibri" w:asciiTheme="minorHAnsi" w:hAnsiTheme="minorHAnsi" w:cstheme="minorHAnsi"/>
                <w:sz w:val="22"/>
                <w:szCs w:val="22"/>
                <w:lang w:val="en-US"/>
              </w:rPr>
              <w:t>Our Suggestion</w:t>
            </w:r>
          </w:p>
          <w:p>
            <w:pPr>
              <w:pStyle w:val="133"/>
              <w:numPr>
                <w:ilvl w:val="0"/>
                <w:numId w:val="21"/>
              </w:numPr>
              <w:jc w:val="both"/>
              <w:rPr>
                <w:rFonts w:asciiTheme="minorHAnsi" w:hAnsiTheme="minorHAnsi" w:cstheme="minorHAnsi"/>
                <w:lang w:val="en-US"/>
              </w:rPr>
            </w:pPr>
            <w:r>
              <w:rPr>
                <w:rFonts w:asciiTheme="minorHAnsi" w:hAnsiTheme="minorHAnsi" w:cstheme="minorHAnsi"/>
                <w:lang w:val="en-US"/>
              </w:rPr>
              <w:t>Dummify the</w:t>
            </w:r>
            <w:r>
              <w:rPr>
                <w:rFonts w:asciiTheme="minorHAnsi" w:hAnsiTheme="minorHAnsi" w:cstheme="minorHAnsi"/>
                <w:i/>
                <w:iCs/>
                <w:lang w:eastAsia="en-GB"/>
              </w:rPr>
              <w:t xml:space="preserve"> other-r16</w:t>
            </w:r>
            <w:r>
              <w:rPr>
                <w:rFonts w:asciiTheme="minorHAnsi" w:hAnsiTheme="minorHAnsi" w:cstheme="minorHAnsi"/>
                <w:lang w:eastAsia="en-GB"/>
              </w:rPr>
              <w:t xml:space="preserve"> code-point</w:t>
            </w:r>
            <w:r>
              <w:rPr>
                <w:rFonts w:asciiTheme="minorHAnsi" w:hAnsiTheme="minorHAnsi" w:cstheme="minorHAnsi"/>
                <w:lang w:val="en-US" w:eastAsia="en-GB"/>
              </w:rPr>
              <w:t xml:space="preserve"> (The R16 UE shall never use it, note that it is NBC)</w:t>
            </w:r>
          </w:p>
          <w:p>
            <w:pPr>
              <w:pStyle w:val="133"/>
              <w:numPr>
                <w:ilvl w:val="0"/>
                <w:numId w:val="21"/>
              </w:numPr>
              <w:jc w:val="both"/>
              <w:rPr>
                <w:rFonts w:asciiTheme="minorHAnsi" w:hAnsiTheme="minorHAnsi" w:cstheme="minorHAnsi"/>
                <w:lang w:val="en-US"/>
              </w:rPr>
            </w:pPr>
            <w:r>
              <w:rPr>
                <w:rFonts w:asciiTheme="minorHAnsi" w:hAnsiTheme="minorHAnsi" w:cstheme="minorHAnsi"/>
                <w:lang w:val="en-US"/>
              </w:rPr>
              <w:t xml:space="preserve">No need to add new </w:t>
            </w:r>
            <w:r>
              <w:rPr>
                <w:rFonts w:asciiTheme="minorHAnsi" w:hAnsiTheme="minorHAnsi" w:cstheme="minorHAnsi"/>
                <w:i/>
                <w:lang w:val="en-US"/>
              </w:rPr>
              <w:t>failureTypeOther-r16</w:t>
            </w:r>
            <w:r>
              <w:rPr>
                <w:rFonts w:asciiTheme="minorHAnsi" w:hAnsiTheme="minorHAnsi" w:cstheme="minorHAnsi"/>
                <w:lang w:val="en-US"/>
              </w:rPr>
              <w:t xml:space="preserve"> as proposed in solution 3. The existing </w:t>
            </w:r>
            <w:r>
              <w:rPr>
                <w:rFonts w:asciiTheme="minorHAnsi" w:hAnsiTheme="minorHAnsi" w:cstheme="minorHAnsi"/>
                <w:i/>
                <w:lang w:val="en-US"/>
              </w:rPr>
              <w:t>failureType-v1610</w:t>
            </w:r>
            <w:r>
              <w:rPr>
                <w:rFonts w:asciiTheme="minorHAnsi" w:hAnsiTheme="minorHAnsi" w:cstheme="minorHAnsi"/>
                <w:lang w:val="en-US"/>
              </w:rPr>
              <w:t xml:space="preserve"> will provide enough information to R16 eNB.</w:t>
            </w:r>
          </w:p>
          <w:p>
            <w:pPr>
              <w:pStyle w:val="133"/>
              <w:numPr>
                <w:ilvl w:val="0"/>
                <w:numId w:val="21"/>
              </w:numPr>
              <w:jc w:val="both"/>
              <w:rPr>
                <w:rFonts w:asciiTheme="minorHAnsi" w:hAnsiTheme="minorHAnsi" w:cstheme="minorHAnsi"/>
                <w:lang w:val="en-US"/>
              </w:rPr>
            </w:pPr>
            <w:r>
              <w:rPr>
                <w:rFonts w:asciiTheme="minorHAnsi" w:hAnsiTheme="minorHAnsi" w:cstheme="minorHAnsi"/>
                <w:lang w:val="en-US"/>
              </w:rPr>
              <w:t xml:space="preserve">The UE set </w:t>
            </w:r>
            <w:r>
              <w:t>failureType-r15</w:t>
            </w:r>
            <w:r>
              <w:rPr>
                <w:lang w:val="en-US"/>
              </w:rPr>
              <w:t xml:space="preserve"> to any legacy code-point (or some predefined code-point, e.g. </w:t>
            </w:r>
            <w:r>
              <w:rPr>
                <w:i/>
                <w:lang w:val="en-US"/>
              </w:rPr>
              <w:t xml:space="preserve">randomAccessProblem, </w:t>
            </w:r>
            <w:r>
              <w:rPr>
                <w:lang w:val="en-US"/>
              </w:rPr>
              <w:t xml:space="preserve">no strong view) while including the R16 field </w:t>
            </w:r>
            <w:r>
              <w:rPr>
                <w:rFonts w:asciiTheme="minorHAnsi" w:hAnsiTheme="minorHAnsi" w:cstheme="minorHAnsi"/>
                <w:i/>
                <w:lang w:val="en-US"/>
              </w:rPr>
              <w:t>failureType-v1610.</w:t>
            </w:r>
            <w:r>
              <w:rPr>
                <w:lang w:val="en-US"/>
              </w:rPr>
              <w:t xml:space="preserve"> </w:t>
            </w:r>
          </w:p>
          <w:p>
            <w:pPr>
              <w:spacing w:after="0"/>
              <w:jc w:val="both"/>
              <w:rPr>
                <w:rFonts w:eastAsia="Calibri"/>
                <w:sz w:val="22"/>
                <w:szCs w:val="22"/>
                <w:lang w:val="de-DE"/>
              </w:rPr>
            </w:pPr>
            <w:r>
              <w:rPr>
                <w:rFonts w:eastAsia="Calibri"/>
                <w:sz w:val="22"/>
                <w:szCs w:val="22"/>
                <w:lang w:val="de-D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Lenovo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See comment</w:t>
            </w:r>
          </w:p>
        </w:tc>
        <w:tc>
          <w:tcPr>
            <w:tcW w:w="6378" w:type="dxa"/>
          </w:tcPr>
          <w:p>
            <w:pPr>
              <w:pStyle w:val="113"/>
              <w:ind w:left="0" w:firstLine="0"/>
              <w:rPr>
                <w:sz w:val="22"/>
                <w:lang w:val="de-DE"/>
              </w:rPr>
            </w:pPr>
            <w:r>
              <w:rPr>
                <w:sz w:val="22"/>
              </w:rPr>
              <w:t>We recall that when the value “other-r16</w:t>
            </w:r>
            <w:r>
              <w:rPr>
                <w:sz w:val="22"/>
                <w:lang w:val="de-DE"/>
              </w:rPr>
              <w:t xml:space="preserve">“ was agreed to be introduced in failureType-r15 for a previously unknown codepoint it was assumed that legacy eNBs need to be upgraded to comprehend the “other-r16“. We wonder why it is not possible to do that. We understood that solution 2-1 and 2-2 also require an upgrade of legacy eNBs to comprehend the new mapping of the legacy R15 failure types.   </w:t>
            </w:r>
          </w:p>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Apple</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Aligned with  Mediatek’s view.</w:t>
            </w:r>
          </w:p>
        </w:tc>
        <w:tc>
          <w:tcPr>
            <w:tcW w:w="6378" w:type="dxa"/>
          </w:tcPr>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Malgun Gothic"/>
                <w:sz w:val="22"/>
                <w:szCs w:val="22"/>
                <w:lang w:val="de-DE" w:eastAsia="ko-KR"/>
              </w:rPr>
            </w:pPr>
            <w:r>
              <w:rPr>
                <w:rFonts w:hint="eastAsia" w:eastAsia="Malgun Gothic"/>
                <w:sz w:val="22"/>
                <w:szCs w:val="22"/>
                <w:lang w:val="de-DE" w:eastAsia="ko-KR"/>
              </w:rPr>
              <w:t>S</w:t>
            </w:r>
            <w:r>
              <w:rPr>
                <w:rFonts w:eastAsia="Malgun Gothic"/>
                <w:sz w:val="22"/>
                <w:szCs w:val="22"/>
                <w:lang w:val="de-DE" w:eastAsia="ko-KR"/>
              </w:rPr>
              <w:t>amsung</w:t>
            </w:r>
          </w:p>
        </w:tc>
        <w:tc>
          <w:tcPr>
            <w:tcW w:w="1500" w:type="dxa"/>
          </w:tcPr>
          <w:p>
            <w:pPr>
              <w:spacing w:after="0"/>
              <w:jc w:val="both"/>
              <w:rPr>
                <w:rFonts w:eastAsia="Malgun Gothic"/>
                <w:sz w:val="22"/>
                <w:szCs w:val="22"/>
                <w:lang w:val="de-DE" w:eastAsia="ko-KR"/>
              </w:rPr>
            </w:pPr>
            <w:r>
              <w:rPr>
                <w:rFonts w:hint="eastAsia" w:eastAsia="Malgun Gothic"/>
                <w:sz w:val="22"/>
                <w:szCs w:val="22"/>
                <w:lang w:val="de-DE" w:eastAsia="ko-KR"/>
              </w:rPr>
              <w:t>Solution 3</w:t>
            </w:r>
            <w:r>
              <w:rPr>
                <w:rFonts w:eastAsia="Malgun Gothic"/>
                <w:sz w:val="22"/>
                <w:szCs w:val="22"/>
                <w:lang w:val="de-DE" w:eastAsia="ko-KR"/>
              </w:rPr>
              <w:t xml:space="preserve">  or the variant of solution 3</w:t>
            </w:r>
          </w:p>
        </w:tc>
        <w:tc>
          <w:tcPr>
            <w:tcW w:w="6378" w:type="dxa"/>
          </w:tcPr>
          <w:p>
            <w:pPr>
              <w:spacing w:after="0"/>
              <w:jc w:val="both"/>
              <w:rPr>
                <w:rFonts w:eastAsia="Yu Mincho"/>
                <w:sz w:val="22"/>
                <w:szCs w:val="22"/>
                <w:lang w:val="de-DE"/>
              </w:rPr>
            </w:pPr>
            <w:r>
              <w:rPr>
                <w:rFonts w:eastAsia="Calibri"/>
                <w:sz w:val="22"/>
                <w:szCs w:val="22"/>
                <w:lang w:val="de-DE"/>
              </w:rPr>
              <w:t>We share the problem so indeed it should be corrected. The cleanest solution could be the Solution 3 so we think it is better if all other solutions have NBC problem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H</w:t>
            </w:r>
            <w:r>
              <w:rPr>
                <w:rFonts w:eastAsiaTheme="minorEastAsia"/>
                <w:sz w:val="22"/>
                <w:szCs w:val="22"/>
                <w:lang w:val="de-DE" w:eastAsia="zh-CN"/>
              </w:rPr>
              <w:t>uawei, HiSilicon</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S</w:t>
            </w:r>
            <w:r>
              <w:rPr>
                <w:rFonts w:eastAsiaTheme="minorEastAsia"/>
                <w:sz w:val="22"/>
                <w:szCs w:val="22"/>
                <w:lang w:val="de-DE" w:eastAsia="zh-CN"/>
              </w:rPr>
              <w:t>olution 2-1</w:t>
            </w:r>
          </w:p>
        </w:tc>
        <w:tc>
          <w:tcPr>
            <w:tcW w:w="6378" w:type="dxa"/>
          </w:tcPr>
          <w:p>
            <w:pPr>
              <w:spacing w:after="0"/>
              <w:jc w:val="both"/>
              <w:rPr>
                <w:rFonts w:eastAsiaTheme="minorEastAsia"/>
                <w:sz w:val="22"/>
                <w:szCs w:val="22"/>
                <w:lang w:val="de-DE" w:eastAsia="zh-CN"/>
              </w:rPr>
            </w:pPr>
            <w:r>
              <w:rPr>
                <w:rFonts w:hint="eastAsia" w:eastAsiaTheme="minorEastAsia"/>
                <w:sz w:val="22"/>
                <w:szCs w:val="22"/>
                <w:lang w:val="de-DE" w:eastAsia="zh-CN"/>
              </w:rPr>
              <w:t>T</w:t>
            </w:r>
            <w:r>
              <w:rPr>
                <w:rFonts w:eastAsiaTheme="minorEastAsia"/>
                <w:sz w:val="22"/>
                <w:szCs w:val="22"/>
                <w:lang w:val="de-DE" w:eastAsia="zh-CN"/>
              </w:rPr>
              <w:t xml:space="preserve">his is aligned with our solution in </w:t>
            </w:r>
            <w:r>
              <w:fldChar w:fldCharType="begin"/>
            </w:r>
            <w:r>
              <w:instrText xml:space="preserve"> HYPERLINK "http://www.3gpp.org/ftp/tsg_ran/WG2_RL2//TSGR2_115-e/Docs//R2-2108569.zip" </w:instrText>
            </w:r>
            <w:r>
              <w:fldChar w:fldCharType="separate"/>
            </w:r>
            <w:r>
              <w:rPr>
                <w:rStyle w:val="58"/>
                <w:rFonts w:eastAsia="Calibri"/>
                <w:sz w:val="22"/>
                <w:szCs w:val="22"/>
                <w:lang w:val="de-DE"/>
              </w:rPr>
              <w:t>R2-2108569</w:t>
            </w:r>
            <w:r>
              <w:rPr>
                <w:rStyle w:val="58"/>
                <w:rFonts w:eastAsia="Calibri"/>
                <w:sz w:val="22"/>
                <w:szCs w:val="22"/>
                <w:lang w:val="de-DE"/>
              </w:rPr>
              <w:fldChar w:fldCharType="end"/>
            </w:r>
            <w:r>
              <w:rPr>
                <w:rFonts w:eastAsiaTheme="minorEastAsia"/>
                <w:sz w:val="22"/>
                <w:szCs w:val="22"/>
                <w:lang w:val="de-DE" w:eastAsia="zh-CN"/>
              </w:rPr>
              <w:t>.</w:t>
            </w:r>
          </w:p>
          <w:p>
            <w:pPr>
              <w:spacing w:after="0"/>
              <w:jc w:val="both"/>
              <w:rPr>
                <w:rFonts w:eastAsiaTheme="minorEastAsia"/>
                <w:sz w:val="22"/>
                <w:szCs w:val="22"/>
                <w:lang w:val="de-DE" w:eastAsia="zh-CN"/>
              </w:rPr>
            </w:pPr>
          </w:p>
          <w:p>
            <w:pPr>
              <w:spacing w:after="0"/>
              <w:jc w:val="both"/>
              <w:rPr>
                <w:rFonts w:eastAsia="Calibri"/>
                <w:sz w:val="22"/>
                <w:szCs w:val="22"/>
                <w:lang w:val="en-GB" w:eastAsia="en-GB"/>
              </w:rPr>
            </w:pPr>
            <w:r>
              <w:rPr>
                <w:rFonts w:eastAsiaTheme="minorEastAsia"/>
                <w:sz w:val="22"/>
                <w:szCs w:val="22"/>
                <w:lang w:val="de-DE" w:eastAsia="zh-CN"/>
              </w:rPr>
              <w:t xml:space="preserve">We think the first thing is to handle the value other-r16 in failureType-r15, as it </w:t>
            </w:r>
            <w:r>
              <w:rPr>
                <w:rFonts w:eastAsia="Calibri"/>
                <w:sz w:val="22"/>
                <w:szCs w:val="22"/>
                <w:lang w:val="en-GB" w:eastAsia="en-GB"/>
              </w:rPr>
              <w:t>results in a transfer syntax error according to 3GPP common rules.</w:t>
            </w:r>
          </w:p>
          <w:p>
            <w:pPr>
              <w:spacing w:after="0"/>
              <w:jc w:val="both"/>
              <w:rPr>
                <w:rFonts w:eastAsia="Calibri"/>
                <w:sz w:val="22"/>
                <w:szCs w:val="22"/>
                <w:lang w:val="en-GB" w:eastAsia="en-GB"/>
              </w:rPr>
            </w:pPr>
          </w:p>
          <w:p>
            <w:pPr>
              <w:spacing w:after="0"/>
              <w:jc w:val="both"/>
              <w:rPr>
                <w:rFonts w:eastAsiaTheme="minorEastAsia"/>
                <w:sz w:val="22"/>
                <w:szCs w:val="22"/>
                <w:lang w:val="en-GB" w:eastAsia="zh-CN"/>
              </w:rPr>
            </w:pPr>
            <w:r>
              <w:rPr>
                <w:rFonts w:eastAsiaTheme="minorEastAsia"/>
                <w:sz w:val="22"/>
                <w:szCs w:val="22"/>
                <w:lang w:val="en-GB" w:eastAsia="zh-CN"/>
              </w:rPr>
              <w:t>If the value other-r16 is to be disabled, removed or dummied, how the UE sets the failureType-r15 (when failureType-v1610 is included) needs discussions.</w:t>
            </w:r>
          </w:p>
          <w:p>
            <w:pPr>
              <w:spacing w:after="0"/>
              <w:jc w:val="both"/>
              <w:rPr>
                <w:rFonts w:eastAsiaTheme="minorEastAsia"/>
                <w:sz w:val="22"/>
                <w:szCs w:val="22"/>
                <w:lang w:val="en-GB" w:eastAsia="zh-CN"/>
              </w:rPr>
            </w:pPr>
            <w:r>
              <w:rPr>
                <w:rFonts w:eastAsiaTheme="minorEastAsia"/>
                <w:sz w:val="22"/>
                <w:szCs w:val="22"/>
                <w:lang w:val="en-GB" w:eastAsia="zh-CN"/>
              </w:rPr>
              <w:t>In our paper R2-2108569, we think it can be left to UE implementation. We suggest that the UE should set an appropriate value, and then Rel-15 eNB can do the appropriate actions based on the value.</w:t>
            </w:r>
          </w:p>
          <w:p>
            <w:pPr>
              <w:spacing w:after="0"/>
              <w:jc w:val="both"/>
              <w:rPr>
                <w:rFonts w:eastAsiaTheme="minorEastAsia"/>
                <w:sz w:val="22"/>
                <w:szCs w:val="22"/>
                <w:lang w:val="en-GB" w:eastAsia="zh-CN"/>
              </w:rPr>
            </w:pPr>
            <w:r>
              <w:rPr>
                <w:rFonts w:eastAsiaTheme="minorEastAsia"/>
                <w:sz w:val="22"/>
                <w:szCs w:val="22"/>
                <w:lang w:val="en-GB" w:eastAsia="zh-CN"/>
              </w:rPr>
              <w:t>We are also open for alternatives, e.g. define explicit mapping between some R16 failure types and R15 failure types.</w:t>
            </w:r>
          </w:p>
          <w:p>
            <w:pPr>
              <w:spacing w:after="0"/>
              <w:jc w:val="both"/>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Ericsson</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Option 3 (proponent)</w:t>
            </w:r>
          </w:p>
        </w:tc>
        <w:tc>
          <w:tcPr>
            <w:tcW w:w="6378" w:type="dxa"/>
          </w:tcPr>
          <w:p>
            <w:pPr>
              <w:spacing w:after="0"/>
              <w:jc w:val="both"/>
              <w:rPr>
                <w:rFonts w:eastAsia="Calibri"/>
                <w:sz w:val="22"/>
                <w:szCs w:val="22"/>
                <w:lang w:val="de-DE"/>
              </w:rPr>
            </w:pPr>
            <w:r>
              <w:rPr>
                <w:rFonts w:eastAsia="Calibri"/>
                <w:sz w:val="22"/>
                <w:szCs w:val="22"/>
                <w:lang w:val="de-DE"/>
              </w:rPr>
              <w:t>In general, we agree that whatever solution we go the change it may be NBC. However, with out Option 3 we want to keep the procedural text as semantically correct as possible. In this sense, we are basically trying to re-use the text that is already there.</w:t>
            </w:r>
          </w:p>
          <w:p>
            <w:pPr>
              <w:spacing w:after="0"/>
              <w:jc w:val="both"/>
              <w:rPr>
                <w:rFonts w:eastAsia="Calibri"/>
                <w:sz w:val="22"/>
                <w:szCs w:val="22"/>
                <w:lang w:val="de-DE"/>
              </w:rPr>
            </w:pPr>
          </w:p>
          <w:p>
            <w:pPr>
              <w:spacing w:after="0"/>
              <w:jc w:val="both"/>
              <w:rPr>
                <w:rFonts w:eastAsiaTheme="minorEastAsia"/>
                <w:sz w:val="22"/>
                <w:szCs w:val="22"/>
                <w:lang w:val="de-DE" w:eastAsia="zh-CN"/>
              </w:rPr>
            </w:pPr>
            <w:r>
              <w:rPr>
                <w:rFonts w:eastAsia="Calibri"/>
                <w:sz w:val="22"/>
                <w:szCs w:val="22"/>
                <w:lang w:val="de-DE"/>
              </w:rPr>
              <w:t xml:space="preserve">Of course the UE can randomly set a failure cause for the Rel-15 IE, or define a mapping between Rel-16 and Rel-15 failure causes but from a procedural point of view it will look quite strange.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NTTDOCOMO</w:t>
            </w:r>
          </w:p>
        </w:tc>
        <w:tc>
          <w:tcPr>
            <w:tcW w:w="1500" w:type="dxa"/>
          </w:tcPr>
          <w:p>
            <w:pPr>
              <w:spacing w:after="0"/>
              <w:jc w:val="both"/>
              <w:rPr>
                <w:rFonts w:eastAsiaTheme="minorEastAsia"/>
                <w:sz w:val="22"/>
                <w:szCs w:val="22"/>
                <w:lang w:val="de-DE" w:eastAsia="zh-CN"/>
              </w:rPr>
            </w:pPr>
            <w:r>
              <w:rPr>
                <w:rFonts w:eastAsia="Yu Mincho"/>
                <w:sz w:val="22"/>
                <w:szCs w:val="22"/>
                <w:lang w:val="de-DE"/>
              </w:rPr>
              <w:t>S</w:t>
            </w:r>
            <w:r>
              <w:rPr>
                <w:rFonts w:hint="eastAsia" w:eastAsia="Yu Mincho"/>
                <w:sz w:val="22"/>
                <w:szCs w:val="22"/>
                <w:lang w:val="de-DE"/>
              </w:rPr>
              <w:t xml:space="preserve">olution </w:t>
            </w:r>
            <w:r>
              <w:rPr>
                <w:rFonts w:eastAsia="Yu Mincho"/>
                <w:sz w:val="22"/>
                <w:szCs w:val="22"/>
                <w:lang w:val="de-DE"/>
              </w:rPr>
              <w:t>2-1 or solution3</w:t>
            </w:r>
          </w:p>
        </w:tc>
        <w:tc>
          <w:tcPr>
            <w:tcW w:w="6378" w:type="dxa"/>
          </w:tcPr>
          <w:p>
            <w:pPr>
              <w:pStyle w:val="133"/>
              <w:numPr>
                <w:ilvl w:val="0"/>
                <w:numId w:val="22"/>
              </w:numPr>
              <w:jc w:val="both"/>
              <w:rPr>
                <w:rFonts w:eastAsia="Yu Mincho"/>
                <w:lang w:val="de-DE"/>
              </w:rPr>
            </w:pPr>
            <w:r>
              <w:rPr>
                <w:rFonts w:hint="eastAsia" w:eastAsia="Yu Mincho"/>
                <w:lang w:val="de-DE"/>
              </w:rPr>
              <w:t>Either dumm</w:t>
            </w:r>
            <w:r>
              <w:rPr>
                <w:rFonts w:eastAsia="Yu Mincho"/>
                <w:lang w:val="de-DE"/>
              </w:rPr>
              <w:t>i</w:t>
            </w:r>
            <w:r>
              <w:rPr>
                <w:rFonts w:hint="eastAsia" w:eastAsia="Yu Mincho"/>
                <w:lang w:val="de-DE"/>
              </w:rPr>
              <w:t xml:space="preserve">fy </w:t>
            </w:r>
            <w:r>
              <w:rPr>
                <w:rFonts w:eastAsia="Yu Mincho"/>
                <w:lang w:val="de-DE"/>
              </w:rPr>
              <w:t>other-r16 code-point or restrict UE shall not set other-r16 is fine.</w:t>
            </w:r>
          </w:p>
          <w:p>
            <w:pPr>
              <w:pStyle w:val="133"/>
              <w:numPr>
                <w:ilvl w:val="0"/>
                <w:numId w:val="22"/>
              </w:numPr>
              <w:jc w:val="both"/>
              <w:rPr>
                <w:rFonts w:eastAsia="Yu Mincho"/>
                <w:lang w:val="de-DE"/>
              </w:rPr>
            </w:pPr>
            <w:r>
              <w:rPr>
                <w:rFonts w:hint="eastAsia" w:eastAsia="Yu Mincho"/>
                <w:lang w:val="de-DE" w:eastAsia="ja-JP"/>
              </w:rPr>
              <w:t xml:space="preserve">The benefis of </w:t>
            </w:r>
            <w:r>
              <w:rPr>
                <w:rFonts w:eastAsia="Yu Mincho"/>
                <w:lang w:val="de-DE" w:eastAsia="ja-JP"/>
              </w:rPr>
              <w:t>new failureTypeOther-r16 seems limited as</w:t>
            </w:r>
            <w:r>
              <w:t xml:space="preserve"> existing </w:t>
            </w:r>
            <w:r>
              <w:rPr>
                <w:rFonts w:eastAsia="Yu Mincho"/>
                <w:lang w:val="de-DE" w:eastAsia="ja-JP"/>
              </w:rPr>
              <w:t xml:space="preserve">failureType-v1610 already provides the information for r16 eNB, while agree it can mostly re-use the exisiting UE procedure </w:t>
            </w:r>
          </w:p>
          <w:p>
            <w:pPr>
              <w:pStyle w:val="133"/>
              <w:numPr>
                <w:ilvl w:val="0"/>
                <w:numId w:val="22"/>
              </w:numPr>
              <w:jc w:val="both"/>
              <w:rPr>
                <w:lang w:val="de-DE"/>
              </w:rPr>
            </w:pPr>
            <w:r>
              <w:rPr>
                <w:rFonts w:eastAsia="Yu Mincho"/>
                <w:lang w:val="de-DE"/>
              </w:rPr>
              <w:t>For solution2-1, a) is more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vivo</w:t>
            </w:r>
          </w:p>
        </w:tc>
        <w:tc>
          <w:tcPr>
            <w:tcW w:w="1500" w:type="dxa"/>
          </w:tcPr>
          <w:p>
            <w:pPr>
              <w:spacing w:after="0"/>
              <w:jc w:val="both"/>
              <w:rPr>
                <w:rFonts w:eastAsiaTheme="minorEastAsia"/>
                <w:sz w:val="22"/>
                <w:szCs w:val="22"/>
                <w:lang w:val="de-DE" w:eastAsia="zh-CN"/>
              </w:rPr>
            </w:pPr>
            <w:r>
              <w:rPr>
                <w:rFonts w:hint="eastAsia" w:eastAsiaTheme="minorEastAsia"/>
                <w:sz w:val="22"/>
                <w:szCs w:val="22"/>
                <w:lang w:val="de-DE" w:eastAsia="zh-CN"/>
              </w:rPr>
              <w:t>S</w:t>
            </w:r>
            <w:r>
              <w:rPr>
                <w:rFonts w:eastAsiaTheme="minorEastAsia"/>
                <w:sz w:val="22"/>
                <w:szCs w:val="22"/>
                <w:lang w:val="de-DE" w:eastAsia="zh-CN"/>
              </w:rPr>
              <w:t>olution 3</w:t>
            </w:r>
          </w:p>
        </w:tc>
        <w:tc>
          <w:tcPr>
            <w:tcW w:w="6378" w:type="dxa"/>
          </w:tcPr>
          <w:p>
            <w:pPr>
              <w:spacing w:after="0"/>
              <w:jc w:val="both"/>
              <w:rPr>
                <w:rFonts w:eastAsiaTheme="minorEastAsia"/>
                <w:sz w:val="22"/>
                <w:szCs w:val="22"/>
                <w:lang w:val="en-GB" w:eastAsia="zh-CN"/>
              </w:rPr>
            </w:pPr>
            <w:r>
              <w:rPr>
                <w:rFonts w:eastAsiaTheme="minorEastAsia"/>
                <w:sz w:val="22"/>
                <w:szCs w:val="22"/>
                <w:lang w:val="de-DE" w:eastAsia="zh-CN"/>
              </w:rPr>
              <w:t>Prefer to go with solution 3.</w:t>
            </w:r>
          </w:p>
          <w:p>
            <w:pPr>
              <w:spacing w:after="0"/>
              <w:jc w:val="both"/>
              <w:rPr>
                <w:rFonts w:eastAsiaTheme="minorEastAsia"/>
                <w:sz w:val="22"/>
                <w:szCs w:val="22"/>
                <w:lang w:val="en-GB" w:eastAsia="zh-CN"/>
              </w:rPr>
            </w:pPr>
          </w:p>
          <w:p>
            <w:pPr>
              <w:spacing w:after="0"/>
              <w:jc w:val="both"/>
              <w:rPr>
                <w:rFonts w:eastAsiaTheme="minorEastAsia"/>
                <w:sz w:val="22"/>
                <w:szCs w:val="22"/>
                <w:lang w:val="de-DE"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Nokia</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None - See comments</w:t>
            </w:r>
          </w:p>
        </w:tc>
        <w:tc>
          <w:tcPr>
            <w:tcW w:w="6378" w:type="dxa"/>
          </w:tcPr>
          <w:p>
            <w:pPr>
              <w:spacing w:after="0"/>
              <w:jc w:val="both"/>
              <w:rPr>
                <w:rFonts w:eastAsia="Calibri"/>
                <w:sz w:val="22"/>
                <w:szCs w:val="22"/>
                <w:lang w:val="de-DE"/>
              </w:rPr>
            </w:pPr>
            <w:r>
              <w:rPr>
                <w:rFonts w:eastAsia="Calibri"/>
                <w:sz w:val="22"/>
                <w:szCs w:val="22"/>
                <w:lang w:val="de-DE"/>
              </w:rPr>
              <w:t>Is this a problem observed in the field? We assume this can only be network misinterpretation issue.</w:t>
            </w:r>
          </w:p>
          <w:p>
            <w:pPr>
              <w:spacing w:after="0"/>
              <w:jc w:val="both"/>
              <w:rPr>
                <w:rFonts w:eastAsia="Calibri"/>
                <w:sz w:val="22"/>
                <w:szCs w:val="22"/>
                <w:lang w:val="de-DE"/>
              </w:rPr>
            </w:pPr>
            <w:r>
              <w:rPr>
                <w:rFonts w:eastAsia="Calibri"/>
                <w:sz w:val="22"/>
                <w:szCs w:val="22"/>
                <w:lang w:val="de-DE"/>
              </w:rPr>
              <w:t xml:space="preserve">We would like note that the failureType-r15 is a </w:t>
            </w:r>
            <w:r>
              <w:rPr>
                <w:rFonts w:eastAsia="Calibri"/>
                <w:b/>
                <w:bCs/>
                <w:sz w:val="22"/>
                <w:szCs w:val="22"/>
                <w:lang w:val="de-DE"/>
              </w:rPr>
              <w:t>mandatory field</w:t>
            </w:r>
            <w:r>
              <w:rPr>
                <w:rFonts w:eastAsia="Calibri"/>
                <w:sz w:val="22"/>
                <w:szCs w:val="22"/>
                <w:lang w:val="de-DE"/>
              </w:rPr>
              <w:t>. If we were to remove the "other-r16", then what shall the UE fill in for the failure cause? It will have to provide something, and then the eNB not comprehending the extended cause will think this is a failure of other sort than it actually is, causing different kinds of problems as networks will interpret the reporting differently. So if we go this way, we make NBC change for both UEs (who would have to change th codepoint setting) AND networks (who will now have to cope with erroneous information, which is not easy to detect)!</w:t>
            </w:r>
          </w:p>
          <w:p>
            <w:pPr>
              <w:spacing w:after="0"/>
              <w:jc w:val="both"/>
              <w:rPr>
                <w:rFonts w:eastAsia="Calibri"/>
                <w:sz w:val="22"/>
                <w:szCs w:val="22"/>
                <w:lang w:val="de-DE"/>
              </w:rPr>
            </w:pPr>
            <w:r>
              <w:rPr>
                <w:rFonts w:eastAsia="Calibri"/>
                <w:sz w:val="22"/>
                <w:szCs w:val="22"/>
                <w:lang w:val="de-DE"/>
              </w:rPr>
              <w:t xml:space="preserve">Hence, we really think the only way would be to add a note to the specification to clarify the correct handling. Networks can adapt to this and it will not cause incompatibility with any UEs in the field. </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 xml:space="preserve">Finally, we have disucssed network handling of UL spare values earlier, see e.g. </w:t>
            </w:r>
            <w:r>
              <w:fldChar w:fldCharType="begin"/>
            </w:r>
            <w:r>
              <w:instrText xml:space="preserve"> HYPERLINK "http://3gpp.org/ftp/tsg_ran/WG2_RL2/TSGR2_93/Docs/R2-161903.zip" </w:instrText>
            </w:r>
            <w:r>
              <w:fldChar w:fldCharType="separate"/>
            </w:r>
            <w:r>
              <w:rPr>
                <w:rStyle w:val="58"/>
                <w:rFonts w:eastAsia="Calibri"/>
                <w:sz w:val="22"/>
                <w:szCs w:val="22"/>
                <w:lang w:val="de-DE"/>
              </w:rPr>
              <w:t>R2-161903</w:t>
            </w:r>
            <w:r>
              <w:rPr>
                <w:rStyle w:val="58"/>
                <w:rFonts w:eastAsia="Calibri"/>
                <w:sz w:val="22"/>
                <w:szCs w:val="22"/>
                <w:lang w:val="de-DE"/>
              </w:rPr>
              <w:fldChar w:fldCharType="end"/>
            </w:r>
            <w:r>
              <w:rPr>
                <w:rFonts w:eastAsia="Calibri"/>
                <w:sz w:val="22"/>
                <w:szCs w:val="22"/>
                <w:lang w:val="de-DE"/>
              </w:rPr>
              <w:t>. The general understanding at that time was that network just ignores the content. That was also the discussion at the time when the Rel-16 decision to introduce the "other-r16" codepoint was done: The encoding doesn't change and all the codepoints that are unknown will trigger eNB to handle the message as "not comprehended" if received. Hence, network would most likely ignore the whole message (or at least the field value).</w:t>
            </w:r>
          </w:p>
          <w:p>
            <w:pPr>
              <w:spacing w:after="0"/>
              <w:jc w:val="both"/>
              <w:rPr>
                <w:rFonts w:eastAsia="Calibri"/>
                <w:sz w:val="22"/>
                <w:szCs w:val="22"/>
                <w:lang w:val="de-DE"/>
              </w:rPr>
            </w:pPr>
            <w:r>
              <w:rPr>
                <w:rFonts w:eastAsia="Calibri"/>
                <w:sz w:val="22"/>
                <w:szCs w:val="22"/>
                <w:lang w:val="de-DE"/>
              </w:rPr>
              <w:t xml:space="preserve">Note that this whole discussion happened during Rel-16 LTE ASN.1 review, with the following agreements made at the time (see </w:t>
            </w:r>
            <w:r>
              <w:fldChar w:fldCharType="begin"/>
            </w:r>
            <w:r>
              <w:instrText xml:space="preserve"> HYPERLINK "https://www.3gpp.org/ftp/TSG_RAN/WG2_RL2/TSGR2_110-e/Docs/R2-2005752.zip" </w:instrText>
            </w:r>
            <w:r>
              <w:fldChar w:fldCharType="separate"/>
            </w:r>
            <w:r>
              <w:rPr>
                <w:rStyle w:val="58"/>
                <w:rFonts w:eastAsia="Calibri"/>
                <w:sz w:val="22"/>
                <w:szCs w:val="22"/>
                <w:lang w:val="de-DE"/>
              </w:rPr>
              <w:t>R2-2005752</w:t>
            </w:r>
            <w:r>
              <w:rPr>
                <w:rStyle w:val="58"/>
                <w:rFonts w:eastAsia="Calibri"/>
                <w:sz w:val="22"/>
                <w:szCs w:val="22"/>
                <w:lang w:val="de-DE"/>
              </w:rPr>
              <w:fldChar w:fldCharType="end"/>
            </w:r>
            <w:r>
              <w:rPr>
                <w:rFonts w:eastAsia="Calibri"/>
                <w:sz w:val="22"/>
                <w:szCs w:val="22"/>
                <w:lang w:val="de-DE"/>
              </w:rPr>
              <w:t xml:space="preserve"> for discussion details):</w:t>
            </w:r>
          </w:p>
          <w:p>
            <w:pPr>
              <w:pStyle w:val="113"/>
              <w:pBdr>
                <w:top w:val="single" w:color="auto" w:sz="4" w:space="1"/>
                <w:left w:val="single" w:color="auto" w:sz="4" w:space="4"/>
                <w:bottom w:val="single" w:color="auto" w:sz="4" w:space="1"/>
                <w:right w:val="single" w:color="auto" w:sz="4" w:space="4"/>
              </w:pBdr>
              <w:ind w:left="363"/>
              <w:rPr>
                <w:b/>
                <w:bCs/>
                <w:sz w:val="22"/>
              </w:rPr>
            </w:pPr>
            <w:r>
              <w:rPr>
                <w:b/>
                <w:bCs/>
                <w:sz w:val="22"/>
              </w:rPr>
              <w:t>Agreements (for LTE and NR)</w:t>
            </w:r>
          </w:p>
          <w:p>
            <w:pPr>
              <w:pStyle w:val="113"/>
              <w:pBdr>
                <w:top w:val="single" w:color="auto" w:sz="4" w:space="1"/>
                <w:left w:val="single" w:color="auto" w:sz="4" w:space="4"/>
                <w:bottom w:val="single" w:color="auto" w:sz="4" w:space="1"/>
                <w:right w:val="single" w:color="auto" w:sz="4" w:space="4"/>
              </w:pBdr>
              <w:ind w:left="363"/>
              <w:rPr>
                <w:sz w:val="22"/>
              </w:rPr>
            </w:pPr>
          </w:p>
          <w:p>
            <w:pPr>
              <w:pStyle w:val="113"/>
              <w:pBdr>
                <w:top w:val="single" w:color="auto" w:sz="4" w:space="1"/>
                <w:left w:val="single" w:color="auto" w:sz="4" w:space="4"/>
                <w:bottom w:val="single" w:color="auto" w:sz="4" w:space="1"/>
                <w:right w:val="single" w:color="auto" w:sz="4" w:space="4"/>
              </w:pBdr>
              <w:ind w:left="363"/>
              <w:rPr>
                <w:sz w:val="22"/>
              </w:rPr>
            </w:pPr>
            <w:r>
              <w:rPr>
                <w:sz w:val="22"/>
              </w:rPr>
              <w:t>8</w:t>
            </w:r>
            <w:r>
              <w:rPr>
                <w:sz w:val="22"/>
              </w:rPr>
              <w:tab/>
            </w:r>
            <w:r>
              <w:rPr>
                <w:sz w:val="22"/>
              </w:rPr>
              <w:t>For extension of failure types (which have mandatory R15 field) introduced in R16:</w:t>
            </w:r>
          </w:p>
          <w:p>
            <w:pPr>
              <w:pStyle w:val="113"/>
              <w:pBdr>
                <w:top w:val="single" w:color="auto" w:sz="4" w:space="1"/>
                <w:left w:val="single" w:color="auto" w:sz="4" w:space="4"/>
                <w:bottom w:val="single" w:color="auto" w:sz="4" w:space="1"/>
                <w:right w:val="single" w:color="auto" w:sz="4" w:space="4"/>
              </w:pBdr>
              <w:ind w:left="363"/>
              <w:rPr>
                <w:sz w:val="22"/>
              </w:rPr>
            </w:pPr>
            <w:r>
              <w:rPr>
                <w:sz w:val="22"/>
              </w:rPr>
              <w:t>- Introduce a value other/ unspecified within the legacy field; Use spares if defined and undefined code point otherwise</w:t>
            </w:r>
          </w:p>
          <w:p>
            <w:pPr>
              <w:pStyle w:val="113"/>
              <w:pBdr>
                <w:top w:val="single" w:color="auto" w:sz="4" w:space="1"/>
                <w:left w:val="single" w:color="auto" w:sz="4" w:space="4"/>
                <w:bottom w:val="single" w:color="auto" w:sz="4" w:space="1"/>
                <w:right w:val="single" w:color="auto" w:sz="4" w:space="4"/>
              </w:pBdr>
              <w:ind w:left="363"/>
              <w:rPr>
                <w:sz w:val="22"/>
              </w:rPr>
            </w:pPr>
            <w:r>
              <w:rPr>
                <w:sz w:val="22"/>
              </w:rPr>
              <w:t>- Include all new R16 values in an –v16xy extension</w:t>
            </w:r>
          </w:p>
          <w:p>
            <w:pPr>
              <w:pStyle w:val="113"/>
              <w:pBdr>
                <w:top w:val="single" w:color="auto" w:sz="4" w:space="1"/>
                <w:left w:val="single" w:color="auto" w:sz="4" w:space="4"/>
                <w:bottom w:val="single" w:color="auto" w:sz="4" w:space="1"/>
                <w:right w:val="single" w:color="auto" w:sz="4" w:space="4"/>
              </w:pBdr>
              <w:ind w:left="363"/>
              <w:rPr>
                <w:sz w:val="22"/>
              </w:rPr>
            </w:pPr>
            <w:r>
              <w:rPr>
                <w:sz w:val="22"/>
              </w:rPr>
              <w:t>- When signalling the –v16xy extension, the UE will set the legacy field to other/ unspecified</w:t>
            </w:r>
          </w:p>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QCOM</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Option-3</w:t>
            </w:r>
          </w:p>
        </w:tc>
        <w:tc>
          <w:tcPr>
            <w:tcW w:w="6378" w:type="dxa"/>
          </w:tcPr>
          <w:p>
            <w:pPr>
              <w:spacing w:after="0"/>
              <w:jc w:val="both"/>
              <w:rPr>
                <w:rFonts w:eastAsia="Calibri"/>
                <w:sz w:val="22"/>
                <w:szCs w:val="22"/>
                <w:lang w:val="de-DE"/>
              </w:rPr>
            </w:pPr>
            <w:r>
              <w:rPr>
                <w:rFonts w:eastAsia="Calibri"/>
                <w:sz w:val="22"/>
                <w:szCs w:val="22"/>
                <w:lang w:val="de-DE"/>
              </w:rPr>
              <w:t xml:space="preserve">Seems the proper way to rectify the issue in the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de-DE" w:eastAsia="zh-CN"/>
              </w:rPr>
              <w:t>Convida Wireless</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Option 3 with  modifications</w:t>
            </w:r>
          </w:p>
        </w:tc>
        <w:tc>
          <w:tcPr>
            <w:tcW w:w="6378" w:type="dxa"/>
          </w:tcPr>
          <w:p>
            <w:pPr>
              <w:spacing w:after="0"/>
              <w:jc w:val="both"/>
              <w:rPr>
                <w:rFonts w:eastAsia="Calibri"/>
                <w:sz w:val="22"/>
                <w:szCs w:val="22"/>
                <w:lang w:val="de-DE"/>
              </w:rPr>
            </w:pPr>
            <w:r>
              <w:rPr>
                <w:rFonts w:eastAsia="Calibri"/>
                <w:sz w:val="22"/>
                <w:szCs w:val="22"/>
                <w:lang w:val="de-DE"/>
              </w:rPr>
              <w:t>The damage has already happened. Rel-15 and Rel-16 are not backwards compatible for this use case. There is surely an issue to fix.</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Upon reception of "other-r16", eNB implementation based on Rel-15 ASN.1 most likely throws a decoding failure which means that the decoding of the whole message fails. It is the behaviour that commercially available ASN.1 softwares produce for UPER decoders. It is enough to have one such implementation on the field. No comments on in-house solutions.</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It is true that the encoding of this field requires 3 bits in any case and there could potentially be 8 possible code points but only 6 were defined in Rel-15. Therefore these unspecified code points cannot be used as spare values (otherwise they would be called spare values).</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The handling of this case is different from that of spare values. If a spare value is received, the decoder decodes the message and then the receiver decides what to do with its fields. There is no such choice now because there are no spares and decoding fails. (Try it!)</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It is pointless to rename or dummify the value anymore because it would not change anything. It may even create another serious error. So, we propose to leave "other-r16" as is but add in the field description something like this "... in this version of the specification the value other-r16 shall not be used and the extension failureTypeOther should be used instead". It does not exclude or prohibit the possibility that by co-incidence both the UE and the eNB support the same Rel-16 ASN.1 version with the code point "other-r16".</w:t>
            </w:r>
          </w:p>
          <w:p>
            <w:pPr>
              <w:spacing w:after="0"/>
              <w:jc w:val="both"/>
              <w:rPr>
                <w:rFonts w:eastAsia="Calibri"/>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Yu Mincho"/>
                <w:sz w:val="22"/>
                <w:szCs w:val="22"/>
                <w:lang w:val="de-DE"/>
              </w:rPr>
              <w:t>N</w:t>
            </w:r>
            <w:r>
              <w:rPr>
                <w:rFonts w:eastAsia="Yu Mincho"/>
                <w:sz w:val="22"/>
                <w:szCs w:val="22"/>
                <w:lang w:val="de-DE"/>
              </w:rPr>
              <w:t>EC</w:t>
            </w:r>
          </w:p>
        </w:tc>
        <w:tc>
          <w:tcPr>
            <w:tcW w:w="1500" w:type="dxa"/>
          </w:tcPr>
          <w:p>
            <w:pPr>
              <w:spacing w:after="0"/>
              <w:jc w:val="both"/>
              <w:rPr>
                <w:rFonts w:eastAsiaTheme="minorEastAsia"/>
                <w:sz w:val="22"/>
                <w:szCs w:val="22"/>
                <w:lang w:val="de-DE" w:eastAsia="zh-CN"/>
              </w:rPr>
            </w:pPr>
            <w:r>
              <w:rPr>
                <w:rFonts w:hint="eastAsia" w:eastAsia="Yu Mincho"/>
                <w:sz w:val="22"/>
                <w:szCs w:val="22"/>
                <w:lang w:val="de-DE"/>
              </w:rPr>
              <w:t>S</w:t>
            </w:r>
            <w:r>
              <w:rPr>
                <w:rFonts w:eastAsia="Yu Mincho"/>
                <w:sz w:val="22"/>
                <w:szCs w:val="22"/>
                <w:lang w:val="de-DE"/>
              </w:rPr>
              <w:t>ee comments</w:t>
            </w:r>
          </w:p>
        </w:tc>
        <w:tc>
          <w:tcPr>
            <w:tcW w:w="6378" w:type="dxa"/>
          </w:tcPr>
          <w:p>
            <w:pPr>
              <w:spacing w:after="0"/>
              <w:jc w:val="both"/>
              <w:rPr>
                <w:rFonts w:eastAsia="Yu Mincho"/>
                <w:sz w:val="22"/>
                <w:szCs w:val="22"/>
                <w:lang w:val="de-DE"/>
              </w:rPr>
            </w:pPr>
            <w:r>
              <w:rPr>
                <w:rFonts w:eastAsia="Yu Mincho"/>
                <w:sz w:val="22"/>
                <w:szCs w:val="22"/>
                <w:lang w:val="de-DE"/>
              </w:rPr>
              <w:t>our understanding is that the rel-15 eNB cannot understand the new codepoint in rel-16 and it ignores..</w:t>
            </w:r>
          </w:p>
          <w:p>
            <w:pPr>
              <w:spacing w:after="0"/>
              <w:jc w:val="both"/>
              <w:rPr>
                <w:rFonts w:eastAsia="Yu Mincho"/>
                <w:sz w:val="22"/>
                <w:szCs w:val="22"/>
                <w:lang w:val="de-DE"/>
              </w:rPr>
            </w:pPr>
            <w:r>
              <w:rPr>
                <w:rFonts w:eastAsia="Yu Mincho"/>
                <w:sz w:val="22"/>
                <w:szCs w:val="22"/>
                <w:lang w:val="de-DE"/>
              </w:rPr>
              <w:t xml:space="preserve">One question. Is there any case where the rel-15 eNB needs to get and understand the SCG failure report with rel-16 failure cause by rel-16 UE?? To us, even if it happens, rel-15 eNB cannot understand the rel-16 cause anyway. </w:t>
            </w:r>
          </w:p>
          <w:p>
            <w:pPr>
              <w:spacing w:after="0"/>
              <w:jc w:val="both"/>
              <w:rPr>
                <w:rFonts w:eastAsia="Yu Mincho"/>
                <w:sz w:val="22"/>
                <w:szCs w:val="22"/>
                <w:lang w:val="de-DE"/>
              </w:rPr>
            </w:pPr>
          </w:p>
          <w:p>
            <w:pPr>
              <w:spacing w:after="0"/>
              <w:jc w:val="both"/>
              <w:rPr>
                <w:rFonts w:eastAsia="Calibri"/>
                <w:sz w:val="22"/>
                <w:szCs w:val="22"/>
                <w:lang w:val="de-DE"/>
              </w:rPr>
            </w:pPr>
            <w:r>
              <w:rPr>
                <w:rFonts w:eastAsia="Yu Mincho"/>
                <w:sz w:val="22"/>
                <w:szCs w:val="22"/>
                <w:lang w:val="de-DE"/>
              </w:rPr>
              <w:t xml:space="preserve">If and only if any solution is necessary, then the suggestion from MediaTek seems fine, although it is NBC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Yu Mincho"/>
                <w:sz w:val="22"/>
                <w:szCs w:val="22"/>
                <w:lang w:val="de-DE"/>
              </w:rPr>
            </w:pPr>
            <w:r>
              <w:rPr>
                <w:rFonts w:eastAsiaTheme="minorEastAsia"/>
                <w:sz w:val="22"/>
                <w:szCs w:val="22"/>
                <w:lang w:val="de-DE" w:eastAsia="zh-CN"/>
              </w:rPr>
              <w:t>Intel</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See comments</w:t>
            </w:r>
          </w:p>
          <w:p>
            <w:pPr>
              <w:spacing w:after="0"/>
              <w:jc w:val="both"/>
              <w:rPr>
                <w:rFonts w:eastAsia="Yu Mincho"/>
                <w:sz w:val="22"/>
                <w:szCs w:val="22"/>
                <w:lang w:val="de-DE"/>
              </w:rPr>
            </w:pPr>
            <w:r>
              <w:rPr>
                <w:rFonts w:eastAsiaTheme="minorEastAsia"/>
                <w:sz w:val="22"/>
                <w:szCs w:val="22"/>
                <w:lang w:val="de-DE" w:eastAsia="zh-CN"/>
              </w:rPr>
              <w:t>Solution 2-1</w:t>
            </w:r>
          </w:p>
        </w:tc>
        <w:tc>
          <w:tcPr>
            <w:tcW w:w="6378" w:type="dxa"/>
          </w:tcPr>
          <w:p>
            <w:pPr>
              <w:spacing w:after="0"/>
              <w:jc w:val="both"/>
              <w:rPr>
                <w:rFonts w:eastAsia="Calibri"/>
                <w:sz w:val="22"/>
                <w:szCs w:val="22"/>
                <w:lang w:val="de-DE"/>
              </w:rPr>
            </w:pPr>
            <w:r>
              <w:rPr>
                <w:rFonts w:eastAsia="Calibri"/>
                <w:sz w:val="22"/>
                <w:szCs w:val="22"/>
                <w:lang w:val="de-DE"/>
              </w:rPr>
              <w:t>We should not have done such tricks!  There was no spare value in Rel-15 to assign to other-r16.</w:t>
            </w:r>
          </w:p>
          <w:p>
            <w:pPr>
              <w:spacing w:after="0"/>
              <w:jc w:val="both"/>
              <w:rPr>
                <w:rFonts w:eastAsia="Calibri"/>
                <w:sz w:val="22"/>
                <w:szCs w:val="22"/>
                <w:lang w:val="de-DE"/>
              </w:rPr>
            </w:pPr>
            <w:r>
              <w:rPr>
                <w:rFonts w:eastAsia="Calibri"/>
                <w:sz w:val="22"/>
                <w:szCs w:val="22"/>
                <w:lang w:val="de-DE"/>
              </w:rPr>
              <w:t>But we still think whether there is an issue depends on network implementations and whether there is a possibility that the UE might provide this new code point to a legacy node that has not implemented the feature.  If no, there shouldnt be an issue.</w:t>
            </w:r>
          </w:p>
          <w:p>
            <w:pPr>
              <w:spacing w:after="0"/>
              <w:jc w:val="both"/>
              <w:rPr>
                <w:rFonts w:eastAsia="Calibri"/>
                <w:sz w:val="22"/>
                <w:szCs w:val="22"/>
                <w:lang w:val="de-DE"/>
              </w:rPr>
            </w:pPr>
            <w:r>
              <w:rPr>
                <w:rFonts w:eastAsia="Calibri"/>
                <w:sz w:val="22"/>
                <w:szCs w:val="22"/>
                <w:lang w:val="de-DE"/>
              </w:rPr>
              <w:t xml:space="preserve">Even though these solutions also need changes to gNBs, the potential advantage of these solutions is that it will not impact a legacy gNB that hasn’t implemented this feature.  </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 xml:space="preserve">If there is indeed an issue, we prefer solution 2-1.  </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The benefit of the new field in solution 3 is not clear to us when its presence is directly tied to failureType-v1610 other than possibly procedural text.  ASN.1 change is normally more significant than procedural change.</w:t>
            </w:r>
          </w:p>
          <w:p>
            <w:pPr>
              <w:spacing w:after="0"/>
              <w:jc w:val="both"/>
              <w:rPr>
                <w:rFonts w:eastAsia="Calibri"/>
                <w:sz w:val="22"/>
                <w:szCs w:val="22"/>
                <w:lang w:val="de-DE"/>
              </w:rPr>
            </w:pPr>
          </w:p>
          <w:p>
            <w:pPr>
              <w:spacing w:after="0"/>
              <w:jc w:val="both"/>
              <w:rPr>
                <w:rFonts w:eastAsia="Calibri"/>
                <w:sz w:val="22"/>
                <w:szCs w:val="22"/>
                <w:lang w:val="de-DE"/>
              </w:rPr>
            </w:pPr>
            <w:r>
              <w:rPr>
                <w:rFonts w:eastAsia="Calibri"/>
                <w:sz w:val="22"/>
                <w:szCs w:val="22"/>
                <w:lang w:val="de-DE"/>
              </w:rPr>
              <w:t>Further, what value to use for the Rel-15 field then requires further discussion.</w:t>
            </w:r>
          </w:p>
          <w:p>
            <w:pPr>
              <w:spacing w:after="0"/>
              <w:jc w:val="both"/>
              <w:rPr>
                <w:rFonts w:eastAsia="Yu Mincho"/>
                <w:sz w:val="22"/>
                <w:szCs w:val="22"/>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hint="eastAsia" w:eastAsiaTheme="minorEastAsia"/>
                <w:sz w:val="22"/>
                <w:szCs w:val="22"/>
                <w:lang w:val="de-DE" w:eastAsia="zh-CN"/>
              </w:rPr>
              <w:t>O</w:t>
            </w:r>
            <w:r>
              <w:rPr>
                <w:rFonts w:eastAsiaTheme="minorEastAsia"/>
                <w:sz w:val="22"/>
                <w:szCs w:val="22"/>
                <w:lang w:val="de-DE" w:eastAsia="zh-CN"/>
              </w:rPr>
              <w:t>PPO</w:t>
            </w:r>
          </w:p>
        </w:tc>
        <w:tc>
          <w:tcPr>
            <w:tcW w:w="1500" w:type="dxa"/>
          </w:tcPr>
          <w:p>
            <w:pPr>
              <w:spacing w:after="0"/>
              <w:jc w:val="both"/>
              <w:rPr>
                <w:rFonts w:eastAsiaTheme="minorEastAsia"/>
                <w:sz w:val="22"/>
                <w:szCs w:val="22"/>
                <w:lang w:val="de-DE" w:eastAsia="zh-CN"/>
              </w:rPr>
            </w:pPr>
            <w:r>
              <w:rPr>
                <w:rFonts w:eastAsiaTheme="minorEastAsia"/>
                <w:sz w:val="22"/>
                <w:szCs w:val="22"/>
                <w:lang w:val="de-DE" w:eastAsia="zh-CN"/>
              </w:rPr>
              <w:t>Solution 2-1 with comment</w:t>
            </w:r>
          </w:p>
        </w:tc>
        <w:tc>
          <w:tcPr>
            <w:tcW w:w="6378" w:type="dxa"/>
          </w:tcPr>
          <w:p>
            <w:pPr>
              <w:spacing w:after="0"/>
              <w:jc w:val="both"/>
              <w:rPr>
                <w:rFonts w:eastAsiaTheme="minorEastAsia"/>
                <w:sz w:val="22"/>
                <w:szCs w:val="22"/>
                <w:lang w:val="de-DE" w:eastAsia="zh-CN"/>
              </w:rPr>
            </w:pPr>
            <w:r>
              <w:rPr>
                <w:rFonts w:eastAsiaTheme="minorEastAsia"/>
                <w:sz w:val="22"/>
                <w:szCs w:val="22"/>
                <w:lang w:val="de-DE" w:eastAsia="zh-CN"/>
              </w:rPr>
              <w:t>Either not to use this field or dummy it are both fine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de-DE" w:eastAsia="zh-CN"/>
              </w:rPr>
            </w:pPr>
            <w:r>
              <w:rPr>
                <w:rFonts w:eastAsiaTheme="minorEastAsia"/>
                <w:sz w:val="22"/>
                <w:szCs w:val="22"/>
                <w:lang w:val="en-GB" w:eastAsia="zh-CN"/>
              </w:rPr>
              <w:t>CATT</w:t>
            </w:r>
          </w:p>
        </w:tc>
        <w:tc>
          <w:tcPr>
            <w:tcW w:w="1500" w:type="dxa"/>
          </w:tcPr>
          <w:p>
            <w:pPr>
              <w:spacing w:after="0"/>
              <w:jc w:val="both"/>
              <w:rPr>
                <w:rFonts w:eastAsiaTheme="minorEastAsia"/>
                <w:sz w:val="22"/>
                <w:szCs w:val="22"/>
                <w:lang w:val="de-DE" w:eastAsia="zh-CN"/>
              </w:rPr>
            </w:pPr>
            <w:r>
              <w:rPr>
                <w:rFonts w:eastAsiaTheme="minorEastAsia"/>
                <w:sz w:val="22"/>
                <w:szCs w:val="22"/>
                <w:lang w:val="en-GB" w:eastAsia="zh-CN"/>
              </w:rPr>
              <w:t>Any except Solution 3</w:t>
            </w:r>
          </w:p>
        </w:tc>
        <w:tc>
          <w:tcPr>
            <w:tcW w:w="6378" w:type="dxa"/>
          </w:tcPr>
          <w:p>
            <w:pPr>
              <w:spacing w:after="0"/>
              <w:jc w:val="both"/>
              <w:rPr>
                <w:rFonts w:eastAsiaTheme="minorEastAsia"/>
                <w:sz w:val="22"/>
                <w:szCs w:val="22"/>
                <w:lang w:val="en-GB" w:eastAsia="zh-CN"/>
              </w:rPr>
            </w:pPr>
            <w:r>
              <w:rPr>
                <w:rFonts w:eastAsia="Calibri"/>
                <w:sz w:val="22"/>
                <w:szCs w:val="22"/>
                <w:lang w:val="en-GB" w:eastAsia="zh-CN"/>
              </w:rPr>
              <w:t xml:space="preserve">For Solution 3, adding the new field provides no additional information. The precense of the </w:t>
            </w:r>
            <w:r>
              <w:rPr>
                <w:rFonts w:eastAsia="Calibri"/>
                <w:i/>
                <w:sz w:val="22"/>
                <w:szCs w:val="22"/>
                <w:lang w:val="en-GB" w:eastAsia="zh-CN"/>
              </w:rPr>
              <w:t>failureType-v1610</w:t>
            </w:r>
            <w:r>
              <w:rPr>
                <w:rFonts w:eastAsia="Calibri"/>
                <w:sz w:val="22"/>
                <w:szCs w:val="22"/>
                <w:lang w:val="en-GB" w:eastAsia="zh-CN"/>
              </w:rPr>
              <w:t xml:space="preserve"> field itself can imply ignoring the </w:t>
            </w:r>
            <w:r>
              <w:rPr>
                <w:rFonts w:eastAsia="Calibri"/>
                <w:i/>
                <w:sz w:val="22"/>
                <w:szCs w:val="22"/>
                <w:lang w:val="en-GB" w:eastAsia="zh-CN"/>
              </w:rPr>
              <w:t>failureType-r15</w:t>
            </w:r>
            <w:r>
              <w:rPr>
                <w:rFonts w:eastAsia="Calibri"/>
                <w:sz w:val="22"/>
                <w:szCs w:val="22"/>
                <w:lang w:val="en-GB" w:eastAsia="zh-CN"/>
              </w:rPr>
              <w:t xml:space="preserve"> field—</w:t>
            </w:r>
            <w:r>
              <w:rPr>
                <w:rFonts w:hint="eastAsia" w:eastAsia="Calibri"/>
                <w:sz w:val="22"/>
                <w:szCs w:val="22"/>
                <w:lang w:val="en-GB" w:eastAsia="zh-CN"/>
              </w:rPr>
              <w:t>and it becomes Solution 2-1 automatically.</w:t>
            </w:r>
          </w:p>
          <w:p>
            <w:pPr>
              <w:spacing w:after="0"/>
              <w:jc w:val="both"/>
              <w:rPr>
                <w:rFonts w:eastAsia="Calibri"/>
                <w:sz w:val="22"/>
                <w:szCs w:val="22"/>
                <w:lang w:val="de-DE"/>
              </w:rPr>
            </w:pPr>
            <w:r>
              <w:rPr>
                <w:rFonts w:eastAsiaTheme="minorEastAsia"/>
                <w:sz w:val="22"/>
                <w:szCs w:val="22"/>
                <w:lang w:val="en-GB" w:eastAsia="zh-CN"/>
              </w:rPr>
              <w:t xml:space="preserve">And for Solution 2-1, as commented by Huawei, “the Rel-15 eNB can do the </w:t>
            </w:r>
            <w:r>
              <w:rPr>
                <w:rFonts w:hint="eastAsia" w:eastAsiaTheme="minorEastAsia"/>
                <w:sz w:val="22"/>
                <w:szCs w:val="22"/>
                <w:lang w:val="en-GB" w:eastAsia="zh-CN"/>
              </w:rPr>
              <w:t xml:space="preserve">appropriate actions based on the value (of </w:t>
            </w:r>
            <w:r>
              <w:rPr>
                <w:rFonts w:eastAsia="Calibri"/>
                <w:sz w:val="22"/>
                <w:szCs w:val="22"/>
                <w:lang w:val="en-GB" w:eastAsia="zh-CN"/>
              </w:rPr>
              <w:t xml:space="preserve">the </w:t>
            </w:r>
            <w:r>
              <w:rPr>
                <w:rFonts w:eastAsia="Calibri"/>
                <w:i/>
                <w:sz w:val="22"/>
                <w:szCs w:val="22"/>
                <w:lang w:val="en-GB" w:eastAsia="zh-CN"/>
              </w:rPr>
              <w:t>failureType-r15</w:t>
            </w:r>
            <w:r>
              <w:rPr>
                <w:rFonts w:eastAsia="Calibri"/>
                <w:sz w:val="22"/>
                <w:szCs w:val="22"/>
                <w:lang w:val="en-GB" w:eastAsia="zh-CN"/>
              </w:rPr>
              <w:t xml:space="preserve"> field</w:t>
            </w:r>
            <w:r>
              <w:rPr>
                <w:rFonts w:hint="eastAsia" w:eastAsia="Calibri"/>
                <w:sz w:val="22"/>
                <w:szCs w:val="22"/>
                <w:lang w:val="en-GB" w:eastAsia="zh-CN"/>
              </w:rPr>
              <w:t>)</w:t>
            </w:r>
            <w:r>
              <w:rPr>
                <w:rFonts w:eastAsia="Calibri"/>
                <w:sz w:val="22"/>
                <w:szCs w:val="22"/>
                <w:lang w:val="en-GB" w:eastAsia="zh-CN"/>
              </w:rPr>
              <w:t>”</w:t>
            </w:r>
            <w:r>
              <w:rPr>
                <w:rFonts w:hint="eastAsia" w:eastAsia="Calibri"/>
                <w:sz w:val="22"/>
                <w:szCs w:val="22"/>
                <w:lang w:val="en-GB" w:eastAsia="zh-CN"/>
              </w:rPr>
              <w:t>. That is to say, what code point to fill does matter. So we think we had better to specify what value to use in TS 38.331 in order to prevent inter-vendor problems.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6" w:type="dxa"/>
          </w:tcPr>
          <w:p>
            <w:pPr>
              <w:spacing w:after="0"/>
              <w:jc w:val="both"/>
              <w:rPr>
                <w:rFonts w:eastAsiaTheme="minorEastAsia"/>
                <w:sz w:val="22"/>
                <w:szCs w:val="22"/>
                <w:lang w:val="en-GB" w:eastAsia="zh-CN"/>
              </w:rPr>
            </w:pPr>
          </w:p>
        </w:tc>
        <w:tc>
          <w:tcPr>
            <w:tcW w:w="1500" w:type="dxa"/>
          </w:tcPr>
          <w:p>
            <w:pPr>
              <w:spacing w:after="0"/>
              <w:jc w:val="both"/>
              <w:rPr>
                <w:rFonts w:eastAsiaTheme="minorEastAsia"/>
                <w:sz w:val="22"/>
                <w:szCs w:val="22"/>
                <w:lang w:val="de-DE" w:eastAsia="zh-CN"/>
              </w:rPr>
            </w:pPr>
          </w:p>
        </w:tc>
        <w:tc>
          <w:tcPr>
            <w:tcW w:w="6378" w:type="dxa"/>
          </w:tcPr>
          <w:p>
            <w:pPr>
              <w:spacing w:after="0"/>
              <w:jc w:val="both"/>
              <w:rPr>
                <w:rFonts w:eastAsiaTheme="minorEastAsia"/>
                <w:sz w:val="22"/>
                <w:szCs w:val="22"/>
                <w:lang w:val="de-DE" w:eastAsia="zh-CN"/>
              </w:rPr>
            </w:pPr>
          </w:p>
        </w:tc>
      </w:tr>
    </w:tbl>
    <w:p>
      <w:pPr>
        <w:pStyle w:val="171"/>
        <w:rPr>
          <w:rFonts w:ascii="Arial" w:hAnsi="Arial" w:cs="Arial"/>
        </w:rPr>
      </w:pPr>
    </w:p>
    <w:p>
      <w:pPr>
        <w:pStyle w:val="113"/>
        <w:ind w:left="0" w:firstLine="0"/>
        <w:rPr>
          <w:lang w:val="en-GB" w:eastAsia="en-GB"/>
        </w:rPr>
      </w:pPr>
    </w:p>
    <w:bookmarkEnd w:id="0"/>
    <w:p>
      <w:pPr>
        <w:pStyle w:val="2"/>
      </w:pPr>
      <w:r>
        <w:t>3</w:t>
      </w:r>
      <w:r>
        <w:tab/>
      </w:r>
      <w:r>
        <w:t>Conclusion</w:t>
      </w:r>
    </w:p>
    <w:p>
      <w:pPr>
        <w:pStyle w:val="15"/>
        <w:rPr>
          <w:lang w:val="en-US"/>
        </w:rPr>
      </w:pPr>
    </w:p>
    <w:p>
      <w:pPr>
        <w:spacing w:after="0"/>
        <w:jc w:val="both"/>
      </w:pPr>
      <w:r>
        <w:t xml:space="preserve">- To be updated after discussion on Phase 1 - </w:t>
      </w:r>
    </w:p>
    <w:sectPr>
      <w:footerReference r:id="rId3" w:type="default"/>
      <w:footnotePr>
        <w:numRestart w:val="eachSect"/>
      </w:footnotePr>
      <w:type w:val="continuous"/>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MS Gothic"/>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default"/>
    <w:sig w:usb0="E4002EFF" w:usb1="C000247B" w:usb2="00000009" w:usb3="00000000" w:csb0="200001FF" w:csb1="00000000"/>
  </w:font>
  <w:font w:name="바탕">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modern"/>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바탕체">
    <w:altName w:val="Malgun Gothic"/>
    <w:panose1 w:val="02030609000101010101"/>
    <w:charset w:val="81"/>
    <w:family w:val="roman"/>
    <w:pitch w:val="default"/>
    <w:sig w:usb0="00000000" w:usb1="00000000" w:usb2="00000030" w:usb3="00000000" w:csb0="0008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lang w:val="en-US" w:eastAsia="ko-K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a02c40ac8ac89c83725a1c6a"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a02c40ac8ac89c83725a1c6a" o:spid="_x0000_s1026" o:spt="202" alt="{&quot;HashCode&quot;:-1699574231,&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xhIY&#10;udcAAAALAQAADwAAAAAAAAABACAAAAAiAAAAZHJzL2Rvd25yZXYueG1sUEsBAhQAFAAAAAgAh07i&#10;QAUTYJiVAgAADgUAAA4AAAAAAAAAAQAgAAAAJgEAAGRycy9lMm9Eb2MueG1sUEsFBgAAAAAGAAYA&#10;WQEAAC0GAAAAAA==&#10;">
              <v:fill on="f" focussize="0,0"/>
              <v:stroke on="f" weight="0.5pt"/>
              <v:imagedata o:title=""/>
              <o:lock v:ext="edit" aspectratio="f"/>
              <v:textbox inset="20pt,0mm,2.54mm,0mm">
                <w:txbxContent>
                  <w:p>
                    <w:pPr>
                      <w:spacing w:after="0"/>
                      <w:rPr>
                        <w:rFonts w:ascii="Calibri" w:hAnsi="Calibri" w:cs="Calibri"/>
                        <w:color w:val="000000"/>
                        <w:sz w:val="14"/>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162E0793"/>
    <w:multiLevelType w:val="multilevel"/>
    <w:tmpl w:val="162E0793"/>
    <w:lvl w:ilvl="0" w:tentative="0">
      <w:start w:val="1"/>
      <w:numFmt w:val="decimal"/>
      <w:lvlText w:val="%1."/>
      <w:lvlJc w:val="left"/>
      <w:pPr>
        <w:ind w:left="360" w:hanging="360"/>
      </w:pPr>
      <w:rPr>
        <w:rFonts w:hint="default"/>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20B7466B"/>
    <w:multiLevelType w:val="multilevel"/>
    <w:tmpl w:val="20B7466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24591F0F"/>
    <w:multiLevelType w:val="multilevel"/>
    <w:tmpl w:val="24591F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7">
    <w:nsid w:val="2DDF0E1C"/>
    <w:multiLevelType w:val="multilevel"/>
    <w:tmpl w:val="2DDF0E1C"/>
    <w:lvl w:ilvl="0" w:tentative="0">
      <w:start w:val="1"/>
      <w:numFmt w:val="bullet"/>
      <w:pStyle w:val="168"/>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9">
    <w:nsid w:val="36EB067A"/>
    <w:multiLevelType w:val="multilevel"/>
    <w:tmpl w:val="36EB067A"/>
    <w:lvl w:ilvl="0" w:tentative="0">
      <w:start w:val="1"/>
      <w:numFmt w:val="bullet"/>
      <w:lvlText w:val="-"/>
      <w:lvlJc w:val="left"/>
      <w:pPr>
        <w:ind w:left="720" w:hanging="360"/>
      </w:pPr>
      <w:rPr>
        <w:rFonts w:hint="default" w:ascii="Arial" w:hAnsi="Arial" w:eastAsia="Calibri"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39761839"/>
    <w:multiLevelType w:val="multilevel"/>
    <w:tmpl w:val="3976183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408911F9"/>
    <w:multiLevelType w:val="multilevel"/>
    <w:tmpl w:val="408911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3">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4FBD4A46"/>
    <w:multiLevelType w:val="multilevel"/>
    <w:tmpl w:val="4FBD4A46"/>
    <w:lvl w:ilvl="0" w:tentative="0">
      <w:start w:val="1"/>
      <w:numFmt w:val="decimal"/>
      <w:lvlText w:val="%1."/>
      <w:lvlJc w:val="left"/>
      <w:pPr>
        <w:ind w:left="360" w:hanging="360"/>
      </w:pPr>
    </w:lvl>
    <w:lvl w:ilvl="1" w:tentative="0">
      <w:start w:val="1"/>
      <w:numFmt w:val="decimal"/>
      <w:lvlText w:val="%2&gt;"/>
      <w:lvlJc w:val="left"/>
      <w:pPr>
        <w:ind w:left="1080" w:hanging="36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7">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8">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9">
    <w:nsid w:val="70146DC0"/>
    <w:multiLevelType w:val="multilevel"/>
    <w:tmpl w:val="70146DC0"/>
    <w:lvl w:ilvl="0" w:tentative="0">
      <w:start w:val="1"/>
      <w:numFmt w:val="bullet"/>
      <w:pStyle w:val="148"/>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20">
    <w:nsid w:val="74913365"/>
    <w:multiLevelType w:val="multilevel"/>
    <w:tmpl w:val="749133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8"/>
  </w:num>
  <w:num w:numId="2">
    <w:abstractNumId w:val="8"/>
  </w:num>
  <w:num w:numId="3">
    <w:abstractNumId w:val="1"/>
  </w:num>
  <w:num w:numId="4">
    <w:abstractNumId w:val="6"/>
  </w:num>
  <w:num w:numId="5">
    <w:abstractNumId w:val="3"/>
  </w:num>
  <w:num w:numId="6">
    <w:abstractNumId w:val="17"/>
  </w:num>
  <w:num w:numId="7">
    <w:abstractNumId w:val="0"/>
  </w:num>
  <w:num w:numId="8">
    <w:abstractNumId w:val="21"/>
  </w:num>
  <w:num w:numId="9">
    <w:abstractNumId w:val="13"/>
  </w:num>
  <w:num w:numId="10">
    <w:abstractNumId w:val="11"/>
  </w:num>
  <w:num w:numId="11">
    <w:abstractNumId w:val="15"/>
  </w:num>
  <w:num w:numId="12">
    <w:abstractNumId w:val="16"/>
  </w:num>
  <w:num w:numId="13">
    <w:abstractNumId w:val="19"/>
  </w:num>
  <w:num w:numId="14">
    <w:abstractNumId w:val="7"/>
  </w:num>
  <w:num w:numId="15">
    <w:abstractNumId w:val="9"/>
  </w:num>
  <w:num w:numId="16">
    <w:abstractNumId w:val="14"/>
  </w:num>
  <w:num w:numId="17">
    <w:abstractNumId w:val="5"/>
  </w:num>
  <w:num w:numId="18">
    <w:abstractNumId w:val="4"/>
  </w:num>
  <w:num w:numId="19">
    <w:abstractNumId w:val="2"/>
  </w:num>
  <w:num w:numId="20">
    <w:abstractNumId w:val="10"/>
  </w:num>
  <w:num w:numId="21">
    <w:abstractNumId w:val="20"/>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MediaTek (Nathan)">
    <w15:presenceInfo w15:providerId="None" w15:userId="MediaTek (Nathan)"/>
  </w15:person>
  <w15:person w15:author="Samsung (Anil Agiwal)">
    <w15:presenceInfo w15:providerId="None" w15:userId="Samsung (Anil Agiwal)"/>
  </w15:person>
  <w15:person w15:author="vivo (Stephen)">
    <w15:presenceInfo w15:providerId="None" w15:userId="vivo (Step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Y3sbQwMTUwsTA0N7VU0lEKTi0uzszPAykwrAUALeUbaiwAAAA="/>
  </w:docVars>
  <w:rsids>
    <w:rsidRoot w:val="00F36C4C"/>
    <w:rsid w:val="000005B0"/>
    <w:rsid w:val="000006E1"/>
    <w:rsid w:val="00001AC0"/>
    <w:rsid w:val="00001C1B"/>
    <w:rsid w:val="00001FEF"/>
    <w:rsid w:val="00002A37"/>
    <w:rsid w:val="00004581"/>
    <w:rsid w:val="00004E3E"/>
    <w:rsid w:val="000052F3"/>
    <w:rsid w:val="0000564C"/>
    <w:rsid w:val="00006446"/>
    <w:rsid w:val="00006896"/>
    <w:rsid w:val="00006943"/>
    <w:rsid w:val="00006A72"/>
    <w:rsid w:val="000079A6"/>
    <w:rsid w:val="00007CDC"/>
    <w:rsid w:val="0001008E"/>
    <w:rsid w:val="00010D13"/>
    <w:rsid w:val="000114B1"/>
    <w:rsid w:val="00011809"/>
    <w:rsid w:val="00011B28"/>
    <w:rsid w:val="000137CA"/>
    <w:rsid w:val="00014846"/>
    <w:rsid w:val="00015D15"/>
    <w:rsid w:val="00016047"/>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754"/>
    <w:rsid w:val="00045D56"/>
    <w:rsid w:val="00046B0E"/>
    <w:rsid w:val="00047B7B"/>
    <w:rsid w:val="00050C97"/>
    <w:rsid w:val="00050EBF"/>
    <w:rsid w:val="0005167B"/>
    <w:rsid w:val="0005200A"/>
    <w:rsid w:val="00052A07"/>
    <w:rsid w:val="00052D81"/>
    <w:rsid w:val="00052F41"/>
    <w:rsid w:val="00053309"/>
    <w:rsid w:val="000534E3"/>
    <w:rsid w:val="00054A7B"/>
    <w:rsid w:val="00054CF1"/>
    <w:rsid w:val="0005606A"/>
    <w:rsid w:val="0005628B"/>
    <w:rsid w:val="0005671B"/>
    <w:rsid w:val="00056C7F"/>
    <w:rsid w:val="00057117"/>
    <w:rsid w:val="0005753F"/>
    <w:rsid w:val="00057709"/>
    <w:rsid w:val="0006044A"/>
    <w:rsid w:val="00060987"/>
    <w:rsid w:val="00060C9D"/>
    <w:rsid w:val="000616E7"/>
    <w:rsid w:val="000619E7"/>
    <w:rsid w:val="00064110"/>
    <w:rsid w:val="000646CD"/>
    <w:rsid w:val="0006487E"/>
    <w:rsid w:val="000650A4"/>
    <w:rsid w:val="00065849"/>
    <w:rsid w:val="00065E1A"/>
    <w:rsid w:val="00066457"/>
    <w:rsid w:val="00066778"/>
    <w:rsid w:val="00066CC6"/>
    <w:rsid w:val="00072AFB"/>
    <w:rsid w:val="000736E2"/>
    <w:rsid w:val="000742E9"/>
    <w:rsid w:val="000746A1"/>
    <w:rsid w:val="00074DA6"/>
    <w:rsid w:val="0007530E"/>
    <w:rsid w:val="00075979"/>
    <w:rsid w:val="00075C8D"/>
    <w:rsid w:val="00075C94"/>
    <w:rsid w:val="00075F85"/>
    <w:rsid w:val="00076BA0"/>
    <w:rsid w:val="00077E5F"/>
    <w:rsid w:val="0008036A"/>
    <w:rsid w:val="0008069D"/>
    <w:rsid w:val="000817ED"/>
    <w:rsid w:val="00081AE6"/>
    <w:rsid w:val="0008341C"/>
    <w:rsid w:val="0008429E"/>
    <w:rsid w:val="0008471B"/>
    <w:rsid w:val="0008536C"/>
    <w:rsid w:val="000855EB"/>
    <w:rsid w:val="00085B52"/>
    <w:rsid w:val="00086676"/>
    <w:rsid w:val="000866A2"/>
    <w:rsid w:val="000866F2"/>
    <w:rsid w:val="0009009F"/>
    <w:rsid w:val="000903F2"/>
    <w:rsid w:val="00091029"/>
    <w:rsid w:val="00091557"/>
    <w:rsid w:val="00091B2E"/>
    <w:rsid w:val="000924C1"/>
    <w:rsid w:val="000924F0"/>
    <w:rsid w:val="00092EDF"/>
    <w:rsid w:val="00093474"/>
    <w:rsid w:val="000940CE"/>
    <w:rsid w:val="00094A16"/>
    <w:rsid w:val="00094D53"/>
    <w:rsid w:val="0009510F"/>
    <w:rsid w:val="0009532E"/>
    <w:rsid w:val="0009539E"/>
    <w:rsid w:val="000957B8"/>
    <w:rsid w:val="00096490"/>
    <w:rsid w:val="00096818"/>
    <w:rsid w:val="00096DBA"/>
    <w:rsid w:val="000A18ED"/>
    <w:rsid w:val="000A1B7B"/>
    <w:rsid w:val="000A2106"/>
    <w:rsid w:val="000A214F"/>
    <w:rsid w:val="000A3B32"/>
    <w:rsid w:val="000A459E"/>
    <w:rsid w:val="000A56F2"/>
    <w:rsid w:val="000A5FF8"/>
    <w:rsid w:val="000A7CD3"/>
    <w:rsid w:val="000A7D7D"/>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AAE"/>
    <w:rsid w:val="000D3BAA"/>
    <w:rsid w:val="000D46F8"/>
    <w:rsid w:val="000D4797"/>
    <w:rsid w:val="000D489C"/>
    <w:rsid w:val="000D5E8A"/>
    <w:rsid w:val="000D6419"/>
    <w:rsid w:val="000D7852"/>
    <w:rsid w:val="000D7F73"/>
    <w:rsid w:val="000E0527"/>
    <w:rsid w:val="000E0C22"/>
    <w:rsid w:val="000E1E88"/>
    <w:rsid w:val="000E1E92"/>
    <w:rsid w:val="000E36E1"/>
    <w:rsid w:val="000E3911"/>
    <w:rsid w:val="000E3F75"/>
    <w:rsid w:val="000E5A91"/>
    <w:rsid w:val="000E7C17"/>
    <w:rsid w:val="000E7CF8"/>
    <w:rsid w:val="000E7FF9"/>
    <w:rsid w:val="000F06D6"/>
    <w:rsid w:val="000F0EB1"/>
    <w:rsid w:val="000F0F0B"/>
    <w:rsid w:val="000F1106"/>
    <w:rsid w:val="000F3BE9"/>
    <w:rsid w:val="000F3BFB"/>
    <w:rsid w:val="000F3F6C"/>
    <w:rsid w:val="000F41BE"/>
    <w:rsid w:val="000F448D"/>
    <w:rsid w:val="000F49BB"/>
    <w:rsid w:val="000F4F61"/>
    <w:rsid w:val="000F57F8"/>
    <w:rsid w:val="000F6DF3"/>
    <w:rsid w:val="000F6F97"/>
    <w:rsid w:val="000F7AB2"/>
    <w:rsid w:val="0010011F"/>
    <w:rsid w:val="001005FF"/>
    <w:rsid w:val="00100A2E"/>
    <w:rsid w:val="00101B85"/>
    <w:rsid w:val="0010464D"/>
    <w:rsid w:val="00104762"/>
    <w:rsid w:val="001049E3"/>
    <w:rsid w:val="00105F01"/>
    <w:rsid w:val="001062CD"/>
    <w:rsid w:val="001062FB"/>
    <w:rsid w:val="001063E6"/>
    <w:rsid w:val="0010654E"/>
    <w:rsid w:val="00106A58"/>
    <w:rsid w:val="00106AD3"/>
    <w:rsid w:val="00106B2A"/>
    <w:rsid w:val="001071FB"/>
    <w:rsid w:val="00107E2E"/>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E03"/>
    <w:rsid w:val="00116765"/>
    <w:rsid w:val="00117530"/>
    <w:rsid w:val="001211E2"/>
    <w:rsid w:val="001219F5"/>
    <w:rsid w:val="00121A20"/>
    <w:rsid w:val="00122F1C"/>
    <w:rsid w:val="0012348A"/>
    <w:rsid w:val="0012377F"/>
    <w:rsid w:val="00123E57"/>
    <w:rsid w:val="00124314"/>
    <w:rsid w:val="00124486"/>
    <w:rsid w:val="00124544"/>
    <w:rsid w:val="001250F2"/>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242"/>
    <w:rsid w:val="001344C0"/>
    <w:rsid w:val="001346FA"/>
    <w:rsid w:val="00135252"/>
    <w:rsid w:val="00135DF2"/>
    <w:rsid w:val="00135E22"/>
    <w:rsid w:val="001367D1"/>
    <w:rsid w:val="00136BB7"/>
    <w:rsid w:val="00136BD4"/>
    <w:rsid w:val="00136C97"/>
    <w:rsid w:val="00137152"/>
    <w:rsid w:val="00137878"/>
    <w:rsid w:val="00137AB5"/>
    <w:rsid w:val="00137F0B"/>
    <w:rsid w:val="00141CE2"/>
    <w:rsid w:val="001425BA"/>
    <w:rsid w:val="00143267"/>
    <w:rsid w:val="00143F0F"/>
    <w:rsid w:val="001440C2"/>
    <w:rsid w:val="00144909"/>
    <w:rsid w:val="00145293"/>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7011C"/>
    <w:rsid w:val="001702E6"/>
    <w:rsid w:val="00170DEC"/>
    <w:rsid w:val="00172117"/>
    <w:rsid w:val="00173982"/>
    <w:rsid w:val="00173A8E"/>
    <w:rsid w:val="00174F53"/>
    <w:rsid w:val="0017502C"/>
    <w:rsid w:val="0017568F"/>
    <w:rsid w:val="0017576E"/>
    <w:rsid w:val="0018113D"/>
    <w:rsid w:val="0018143F"/>
    <w:rsid w:val="00181FF8"/>
    <w:rsid w:val="00183D01"/>
    <w:rsid w:val="00183D18"/>
    <w:rsid w:val="001853F9"/>
    <w:rsid w:val="001862E0"/>
    <w:rsid w:val="00186BCD"/>
    <w:rsid w:val="00187054"/>
    <w:rsid w:val="00187E68"/>
    <w:rsid w:val="00187FCD"/>
    <w:rsid w:val="00190AC1"/>
    <w:rsid w:val="00191E08"/>
    <w:rsid w:val="00192FB7"/>
    <w:rsid w:val="0019341A"/>
    <w:rsid w:val="001936F1"/>
    <w:rsid w:val="0019390E"/>
    <w:rsid w:val="001957A1"/>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4A16"/>
    <w:rsid w:val="001A5AAA"/>
    <w:rsid w:val="001A6173"/>
    <w:rsid w:val="001A6CBA"/>
    <w:rsid w:val="001A7483"/>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CE5"/>
    <w:rsid w:val="001C3017"/>
    <w:rsid w:val="001C3C43"/>
    <w:rsid w:val="001C3D2A"/>
    <w:rsid w:val="001C477F"/>
    <w:rsid w:val="001C51D8"/>
    <w:rsid w:val="001C5ABF"/>
    <w:rsid w:val="001C61A5"/>
    <w:rsid w:val="001D0024"/>
    <w:rsid w:val="001D29A9"/>
    <w:rsid w:val="001D4838"/>
    <w:rsid w:val="001D51BA"/>
    <w:rsid w:val="001D53E7"/>
    <w:rsid w:val="001D57E0"/>
    <w:rsid w:val="001D5D70"/>
    <w:rsid w:val="001D5F15"/>
    <w:rsid w:val="001D605F"/>
    <w:rsid w:val="001D6342"/>
    <w:rsid w:val="001D6D53"/>
    <w:rsid w:val="001D7324"/>
    <w:rsid w:val="001E084D"/>
    <w:rsid w:val="001E0C1C"/>
    <w:rsid w:val="001E13E6"/>
    <w:rsid w:val="001E1D74"/>
    <w:rsid w:val="001E1E1A"/>
    <w:rsid w:val="001E4DE4"/>
    <w:rsid w:val="001E541E"/>
    <w:rsid w:val="001E58E2"/>
    <w:rsid w:val="001E58E9"/>
    <w:rsid w:val="001E6143"/>
    <w:rsid w:val="001E6400"/>
    <w:rsid w:val="001E7664"/>
    <w:rsid w:val="001E7AD2"/>
    <w:rsid w:val="001E7AED"/>
    <w:rsid w:val="001F21F4"/>
    <w:rsid w:val="001F3916"/>
    <w:rsid w:val="001F3B42"/>
    <w:rsid w:val="001F46D4"/>
    <w:rsid w:val="001F4B9F"/>
    <w:rsid w:val="001F52CC"/>
    <w:rsid w:val="001F54C5"/>
    <w:rsid w:val="001F556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9B2"/>
    <w:rsid w:val="00206AB7"/>
    <w:rsid w:val="002071E4"/>
    <w:rsid w:val="00207FA3"/>
    <w:rsid w:val="00211D13"/>
    <w:rsid w:val="00211F89"/>
    <w:rsid w:val="00211FF9"/>
    <w:rsid w:val="002120E1"/>
    <w:rsid w:val="00212577"/>
    <w:rsid w:val="00212790"/>
    <w:rsid w:val="00213CAA"/>
    <w:rsid w:val="00213F63"/>
    <w:rsid w:val="0021423A"/>
    <w:rsid w:val="002142AF"/>
    <w:rsid w:val="00214DA8"/>
    <w:rsid w:val="00215423"/>
    <w:rsid w:val="002158FA"/>
    <w:rsid w:val="00216126"/>
    <w:rsid w:val="0021785C"/>
    <w:rsid w:val="00217A6B"/>
    <w:rsid w:val="00217F0E"/>
    <w:rsid w:val="00220489"/>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C35"/>
    <w:rsid w:val="00250F49"/>
    <w:rsid w:val="00251362"/>
    <w:rsid w:val="00252C3D"/>
    <w:rsid w:val="00252E9E"/>
    <w:rsid w:val="00252F6B"/>
    <w:rsid w:val="00253AC8"/>
    <w:rsid w:val="00254B31"/>
    <w:rsid w:val="00254F26"/>
    <w:rsid w:val="00255960"/>
    <w:rsid w:val="002564FE"/>
    <w:rsid w:val="00256756"/>
    <w:rsid w:val="00256CC7"/>
    <w:rsid w:val="00256F2B"/>
    <w:rsid w:val="00257543"/>
    <w:rsid w:val="002601AE"/>
    <w:rsid w:val="002603FB"/>
    <w:rsid w:val="0026110A"/>
    <w:rsid w:val="002612DD"/>
    <w:rsid w:val="002617E7"/>
    <w:rsid w:val="002639FB"/>
    <w:rsid w:val="00264228"/>
    <w:rsid w:val="00264334"/>
    <w:rsid w:val="002643BF"/>
    <w:rsid w:val="0026473E"/>
    <w:rsid w:val="00265DEF"/>
    <w:rsid w:val="00266214"/>
    <w:rsid w:val="00266433"/>
    <w:rsid w:val="002664DE"/>
    <w:rsid w:val="002668BE"/>
    <w:rsid w:val="00266A08"/>
    <w:rsid w:val="00267C83"/>
    <w:rsid w:val="0027144F"/>
    <w:rsid w:val="00271813"/>
    <w:rsid w:val="00271827"/>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80"/>
    <w:rsid w:val="00286ACD"/>
    <w:rsid w:val="00287838"/>
    <w:rsid w:val="00290288"/>
    <w:rsid w:val="0029050C"/>
    <w:rsid w:val="002907B5"/>
    <w:rsid w:val="00290880"/>
    <w:rsid w:val="00291228"/>
    <w:rsid w:val="00291786"/>
    <w:rsid w:val="00292AB1"/>
    <w:rsid w:val="00292B23"/>
    <w:rsid w:val="00292EB7"/>
    <w:rsid w:val="0029411E"/>
    <w:rsid w:val="00294B7E"/>
    <w:rsid w:val="00295034"/>
    <w:rsid w:val="00295A2D"/>
    <w:rsid w:val="00296227"/>
    <w:rsid w:val="00296F44"/>
    <w:rsid w:val="00297070"/>
    <w:rsid w:val="0029717A"/>
    <w:rsid w:val="0029777D"/>
    <w:rsid w:val="00297D7F"/>
    <w:rsid w:val="002A039D"/>
    <w:rsid w:val="002A055E"/>
    <w:rsid w:val="002A1032"/>
    <w:rsid w:val="002A1D4E"/>
    <w:rsid w:val="002A2869"/>
    <w:rsid w:val="002A3B19"/>
    <w:rsid w:val="002A6FAE"/>
    <w:rsid w:val="002A7B16"/>
    <w:rsid w:val="002B103B"/>
    <w:rsid w:val="002B1FA8"/>
    <w:rsid w:val="002B24D6"/>
    <w:rsid w:val="002B2E9E"/>
    <w:rsid w:val="002B4333"/>
    <w:rsid w:val="002B4D12"/>
    <w:rsid w:val="002B52ED"/>
    <w:rsid w:val="002B535F"/>
    <w:rsid w:val="002B5441"/>
    <w:rsid w:val="002B5937"/>
    <w:rsid w:val="002B6914"/>
    <w:rsid w:val="002B6B30"/>
    <w:rsid w:val="002B71AD"/>
    <w:rsid w:val="002B7957"/>
    <w:rsid w:val="002B7D00"/>
    <w:rsid w:val="002C06AD"/>
    <w:rsid w:val="002C162C"/>
    <w:rsid w:val="002C188F"/>
    <w:rsid w:val="002C20CD"/>
    <w:rsid w:val="002C3E32"/>
    <w:rsid w:val="002C3E86"/>
    <w:rsid w:val="002C41E6"/>
    <w:rsid w:val="002C45FB"/>
    <w:rsid w:val="002C54D0"/>
    <w:rsid w:val="002C65AB"/>
    <w:rsid w:val="002C6646"/>
    <w:rsid w:val="002C7951"/>
    <w:rsid w:val="002C7CA3"/>
    <w:rsid w:val="002C7E09"/>
    <w:rsid w:val="002D071A"/>
    <w:rsid w:val="002D12EA"/>
    <w:rsid w:val="002D2297"/>
    <w:rsid w:val="002D34B2"/>
    <w:rsid w:val="002D3B16"/>
    <w:rsid w:val="002D4184"/>
    <w:rsid w:val="002D4207"/>
    <w:rsid w:val="002D48B0"/>
    <w:rsid w:val="002D5B37"/>
    <w:rsid w:val="002D5F30"/>
    <w:rsid w:val="002D6DDC"/>
    <w:rsid w:val="002D6F25"/>
    <w:rsid w:val="002D7637"/>
    <w:rsid w:val="002D7943"/>
    <w:rsid w:val="002E054C"/>
    <w:rsid w:val="002E0D25"/>
    <w:rsid w:val="002E140E"/>
    <w:rsid w:val="002E16E2"/>
    <w:rsid w:val="002E1705"/>
    <w:rsid w:val="002E17F2"/>
    <w:rsid w:val="002E52FB"/>
    <w:rsid w:val="002E7040"/>
    <w:rsid w:val="002E769E"/>
    <w:rsid w:val="002E7A2C"/>
    <w:rsid w:val="002E7A65"/>
    <w:rsid w:val="002E7CAE"/>
    <w:rsid w:val="002F1DCD"/>
    <w:rsid w:val="002F2771"/>
    <w:rsid w:val="002F30C9"/>
    <w:rsid w:val="002F3669"/>
    <w:rsid w:val="002F3692"/>
    <w:rsid w:val="002F36B5"/>
    <w:rsid w:val="002F37A9"/>
    <w:rsid w:val="002F3B23"/>
    <w:rsid w:val="002F4A14"/>
    <w:rsid w:val="002F5191"/>
    <w:rsid w:val="002F56EA"/>
    <w:rsid w:val="002F6CD0"/>
    <w:rsid w:val="00300640"/>
    <w:rsid w:val="0030068C"/>
    <w:rsid w:val="00300FD7"/>
    <w:rsid w:val="0030186D"/>
    <w:rsid w:val="00301CE6"/>
    <w:rsid w:val="0030256B"/>
    <w:rsid w:val="00303579"/>
    <w:rsid w:val="00303965"/>
    <w:rsid w:val="0030501F"/>
    <w:rsid w:val="003060FB"/>
    <w:rsid w:val="0030626D"/>
    <w:rsid w:val="00306B30"/>
    <w:rsid w:val="00307623"/>
    <w:rsid w:val="00307BA1"/>
    <w:rsid w:val="00310749"/>
    <w:rsid w:val="00310BB4"/>
    <w:rsid w:val="0031129E"/>
    <w:rsid w:val="00311702"/>
    <w:rsid w:val="00311897"/>
    <w:rsid w:val="003118FF"/>
    <w:rsid w:val="00311E82"/>
    <w:rsid w:val="00312810"/>
    <w:rsid w:val="0031299A"/>
    <w:rsid w:val="003137DE"/>
    <w:rsid w:val="00313FD6"/>
    <w:rsid w:val="003142C2"/>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C3F"/>
    <w:rsid w:val="00324D23"/>
    <w:rsid w:val="00324DAC"/>
    <w:rsid w:val="00324E24"/>
    <w:rsid w:val="00326188"/>
    <w:rsid w:val="00326C4F"/>
    <w:rsid w:val="00326C80"/>
    <w:rsid w:val="0032798D"/>
    <w:rsid w:val="00327B90"/>
    <w:rsid w:val="00331751"/>
    <w:rsid w:val="00331885"/>
    <w:rsid w:val="00334579"/>
    <w:rsid w:val="003346F2"/>
    <w:rsid w:val="00335532"/>
    <w:rsid w:val="00335858"/>
    <w:rsid w:val="00335D68"/>
    <w:rsid w:val="00335F57"/>
    <w:rsid w:val="00336773"/>
    <w:rsid w:val="00336BDA"/>
    <w:rsid w:val="00336DFA"/>
    <w:rsid w:val="0033703E"/>
    <w:rsid w:val="00337AD9"/>
    <w:rsid w:val="00337EFB"/>
    <w:rsid w:val="00340B37"/>
    <w:rsid w:val="00341267"/>
    <w:rsid w:val="00342BD7"/>
    <w:rsid w:val="003434D4"/>
    <w:rsid w:val="00343BEC"/>
    <w:rsid w:val="00343EBB"/>
    <w:rsid w:val="00344326"/>
    <w:rsid w:val="00344F0C"/>
    <w:rsid w:val="00345825"/>
    <w:rsid w:val="00345FC4"/>
    <w:rsid w:val="0034602C"/>
    <w:rsid w:val="00346DB5"/>
    <w:rsid w:val="003477B1"/>
    <w:rsid w:val="003478FC"/>
    <w:rsid w:val="0035170A"/>
    <w:rsid w:val="0035245C"/>
    <w:rsid w:val="0035248D"/>
    <w:rsid w:val="00355988"/>
    <w:rsid w:val="00356D31"/>
    <w:rsid w:val="003572B0"/>
    <w:rsid w:val="00357380"/>
    <w:rsid w:val="003602D9"/>
    <w:rsid w:val="0036039E"/>
    <w:rsid w:val="003604CE"/>
    <w:rsid w:val="00360BC9"/>
    <w:rsid w:val="00360FB7"/>
    <w:rsid w:val="00361A3F"/>
    <w:rsid w:val="00362537"/>
    <w:rsid w:val="00364462"/>
    <w:rsid w:val="00364B86"/>
    <w:rsid w:val="0036547B"/>
    <w:rsid w:val="00365B0F"/>
    <w:rsid w:val="00365F10"/>
    <w:rsid w:val="00366A80"/>
    <w:rsid w:val="00367527"/>
    <w:rsid w:val="00370E47"/>
    <w:rsid w:val="00371E0E"/>
    <w:rsid w:val="003727B4"/>
    <w:rsid w:val="003728FE"/>
    <w:rsid w:val="00373C41"/>
    <w:rsid w:val="003742AC"/>
    <w:rsid w:val="003744B9"/>
    <w:rsid w:val="003744ED"/>
    <w:rsid w:val="00374687"/>
    <w:rsid w:val="00374C2C"/>
    <w:rsid w:val="00377CE1"/>
    <w:rsid w:val="0038005A"/>
    <w:rsid w:val="003803B0"/>
    <w:rsid w:val="0038358D"/>
    <w:rsid w:val="00384569"/>
    <w:rsid w:val="0038468D"/>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DD1"/>
    <w:rsid w:val="003A7EF3"/>
    <w:rsid w:val="003B159C"/>
    <w:rsid w:val="003B160C"/>
    <w:rsid w:val="003B1BE8"/>
    <w:rsid w:val="003B1C23"/>
    <w:rsid w:val="003B369F"/>
    <w:rsid w:val="003B36A3"/>
    <w:rsid w:val="003B3D12"/>
    <w:rsid w:val="003B5117"/>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2FBE"/>
    <w:rsid w:val="003E3A3A"/>
    <w:rsid w:val="003E3EF8"/>
    <w:rsid w:val="003E4103"/>
    <w:rsid w:val="003E4130"/>
    <w:rsid w:val="003E4835"/>
    <w:rsid w:val="003E4956"/>
    <w:rsid w:val="003E4F2A"/>
    <w:rsid w:val="003E5436"/>
    <w:rsid w:val="003E55E4"/>
    <w:rsid w:val="003E58DE"/>
    <w:rsid w:val="003E69C9"/>
    <w:rsid w:val="003E72F7"/>
    <w:rsid w:val="003E74E3"/>
    <w:rsid w:val="003E77F4"/>
    <w:rsid w:val="003F05C7"/>
    <w:rsid w:val="003F11BB"/>
    <w:rsid w:val="003F2210"/>
    <w:rsid w:val="003F28D9"/>
    <w:rsid w:val="003F2CD4"/>
    <w:rsid w:val="003F30FE"/>
    <w:rsid w:val="003F31CF"/>
    <w:rsid w:val="003F434A"/>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3DAF"/>
    <w:rsid w:val="004047F3"/>
    <w:rsid w:val="00404D6E"/>
    <w:rsid w:val="0040512B"/>
    <w:rsid w:val="00405CA0"/>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E67"/>
    <w:rsid w:val="00416622"/>
    <w:rsid w:val="00417087"/>
    <w:rsid w:val="00417DA2"/>
    <w:rsid w:val="004201C5"/>
    <w:rsid w:val="00421105"/>
    <w:rsid w:val="0042141C"/>
    <w:rsid w:val="00421667"/>
    <w:rsid w:val="00421D9B"/>
    <w:rsid w:val="00422AA4"/>
    <w:rsid w:val="00422F32"/>
    <w:rsid w:val="00422FC3"/>
    <w:rsid w:val="00423CF5"/>
    <w:rsid w:val="004241AB"/>
    <w:rsid w:val="004242F4"/>
    <w:rsid w:val="00425000"/>
    <w:rsid w:val="00425203"/>
    <w:rsid w:val="00425649"/>
    <w:rsid w:val="00425DCA"/>
    <w:rsid w:val="004264A0"/>
    <w:rsid w:val="00427248"/>
    <w:rsid w:val="00430098"/>
    <w:rsid w:val="00433A4F"/>
    <w:rsid w:val="00434693"/>
    <w:rsid w:val="0043469A"/>
    <w:rsid w:val="004346C0"/>
    <w:rsid w:val="00435341"/>
    <w:rsid w:val="00436E3E"/>
    <w:rsid w:val="0043735D"/>
    <w:rsid w:val="00437447"/>
    <w:rsid w:val="00440CBE"/>
    <w:rsid w:val="00440FB8"/>
    <w:rsid w:val="00441995"/>
    <w:rsid w:val="00441A92"/>
    <w:rsid w:val="004426D6"/>
    <w:rsid w:val="00442A1A"/>
    <w:rsid w:val="004431DC"/>
    <w:rsid w:val="0044439E"/>
    <w:rsid w:val="00444F56"/>
    <w:rsid w:val="00446488"/>
    <w:rsid w:val="00446859"/>
    <w:rsid w:val="004468A7"/>
    <w:rsid w:val="00446FE3"/>
    <w:rsid w:val="00447256"/>
    <w:rsid w:val="00447DEF"/>
    <w:rsid w:val="00450F82"/>
    <w:rsid w:val="004517AA"/>
    <w:rsid w:val="004522A3"/>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556B"/>
    <w:rsid w:val="0047610C"/>
    <w:rsid w:val="00477457"/>
    <w:rsid w:val="00477768"/>
    <w:rsid w:val="00477992"/>
    <w:rsid w:val="00477ED1"/>
    <w:rsid w:val="00482B0A"/>
    <w:rsid w:val="00482B6A"/>
    <w:rsid w:val="00483255"/>
    <w:rsid w:val="00483296"/>
    <w:rsid w:val="00483C80"/>
    <w:rsid w:val="00484F4C"/>
    <w:rsid w:val="00485206"/>
    <w:rsid w:val="004852D3"/>
    <w:rsid w:val="004868C3"/>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66EA"/>
    <w:rsid w:val="004A6888"/>
    <w:rsid w:val="004A7868"/>
    <w:rsid w:val="004B0C6D"/>
    <w:rsid w:val="004B0C76"/>
    <w:rsid w:val="004B0CFD"/>
    <w:rsid w:val="004B20B8"/>
    <w:rsid w:val="004B25D5"/>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312"/>
    <w:rsid w:val="004E1CBF"/>
    <w:rsid w:val="004E2680"/>
    <w:rsid w:val="004E28F9"/>
    <w:rsid w:val="004E38B0"/>
    <w:rsid w:val="004E414F"/>
    <w:rsid w:val="004E417E"/>
    <w:rsid w:val="004E462E"/>
    <w:rsid w:val="004E497F"/>
    <w:rsid w:val="004E4E9B"/>
    <w:rsid w:val="004E56DC"/>
    <w:rsid w:val="004E664A"/>
    <w:rsid w:val="004E73ED"/>
    <w:rsid w:val="004E76F4"/>
    <w:rsid w:val="004E7DAA"/>
    <w:rsid w:val="004F0B4E"/>
    <w:rsid w:val="004F0B6C"/>
    <w:rsid w:val="004F0F6E"/>
    <w:rsid w:val="004F178B"/>
    <w:rsid w:val="004F1D95"/>
    <w:rsid w:val="004F2078"/>
    <w:rsid w:val="004F2250"/>
    <w:rsid w:val="004F2E36"/>
    <w:rsid w:val="004F3579"/>
    <w:rsid w:val="004F4862"/>
    <w:rsid w:val="004F4DA3"/>
    <w:rsid w:val="004F51AE"/>
    <w:rsid w:val="004F7377"/>
    <w:rsid w:val="0050172D"/>
    <w:rsid w:val="00501C3E"/>
    <w:rsid w:val="00502DDA"/>
    <w:rsid w:val="00502F52"/>
    <w:rsid w:val="00503AA7"/>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580E"/>
    <w:rsid w:val="0051792F"/>
    <w:rsid w:val="0052013E"/>
    <w:rsid w:val="00520734"/>
    <w:rsid w:val="005219CF"/>
    <w:rsid w:val="0052288B"/>
    <w:rsid w:val="00522E10"/>
    <w:rsid w:val="00523417"/>
    <w:rsid w:val="00524589"/>
    <w:rsid w:val="0052554B"/>
    <w:rsid w:val="00526465"/>
    <w:rsid w:val="005268B3"/>
    <w:rsid w:val="00526962"/>
    <w:rsid w:val="00526973"/>
    <w:rsid w:val="005279A2"/>
    <w:rsid w:val="00527CD9"/>
    <w:rsid w:val="00530B65"/>
    <w:rsid w:val="0053113E"/>
    <w:rsid w:val="00531895"/>
    <w:rsid w:val="00531FE0"/>
    <w:rsid w:val="00532DE1"/>
    <w:rsid w:val="005341D8"/>
    <w:rsid w:val="00534549"/>
    <w:rsid w:val="00534934"/>
    <w:rsid w:val="00534B59"/>
    <w:rsid w:val="005354DC"/>
    <w:rsid w:val="00535A9B"/>
    <w:rsid w:val="00536138"/>
    <w:rsid w:val="0053655A"/>
    <w:rsid w:val="00536759"/>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078B"/>
    <w:rsid w:val="0055483F"/>
    <w:rsid w:val="00554BD8"/>
    <w:rsid w:val="00554E19"/>
    <w:rsid w:val="00555981"/>
    <w:rsid w:val="00556DCB"/>
    <w:rsid w:val="00557163"/>
    <w:rsid w:val="005578EB"/>
    <w:rsid w:val="00557FB0"/>
    <w:rsid w:val="00560150"/>
    <w:rsid w:val="0056121F"/>
    <w:rsid w:val="005616FB"/>
    <w:rsid w:val="0056212C"/>
    <w:rsid w:val="005635B4"/>
    <w:rsid w:val="00564201"/>
    <w:rsid w:val="00566318"/>
    <w:rsid w:val="00567F52"/>
    <w:rsid w:val="0057020F"/>
    <w:rsid w:val="00572505"/>
    <w:rsid w:val="00573D1D"/>
    <w:rsid w:val="005741D5"/>
    <w:rsid w:val="0057487C"/>
    <w:rsid w:val="00574D01"/>
    <w:rsid w:val="00575E90"/>
    <w:rsid w:val="00576AED"/>
    <w:rsid w:val="00576E80"/>
    <w:rsid w:val="00577733"/>
    <w:rsid w:val="005779F8"/>
    <w:rsid w:val="00581699"/>
    <w:rsid w:val="0058233D"/>
    <w:rsid w:val="00582809"/>
    <w:rsid w:val="00583F3D"/>
    <w:rsid w:val="00584072"/>
    <w:rsid w:val="0058548C"/>
    <w:rsid w:val="00585A65"/>
    <w:rsid w:val="00586963"/>
    <w:rsid w:val="0058726C"/>
    <w:rsid w:val="005874A4"/>
    <w:rsid w:val="0058798C"/>
    <w:rsid w:val="00587AF9"/>
    <w:rsid w:val="005900FA"/>
    <w:rsid w:val="005901AA"/>
    <w:rsid w:val="00590408"/>
    <w:rsid w:val="00590E1E"/>
    <w:rsid w:val="00590FED"/>
    <w:rsid w:val="00592E68"/>
    <w:rsid w:val="00593331"/>
    <w:rsid w:val="005935A4"/>
    <w:rsid w:val="00593C7D"/>
    <w:rsid w:val="005947B4"/>
    <w:rsid w:val="005948C2"/>
    <w:rsid w:val="00595291"/>
    <w:rsid w:val="005957D5"/>
    <w:rsid w:val="00595AA3"/>
    <w:rsid w:val="00595DCA"/>
    <w:rsid w:val="00597539"/>
    <w:rsid w:val="0059779B"/>
    <w:rsid w:val="00597FF1"/>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2801"/>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2343"/>
    <w:rsid w:val="005C3B27"/>
    <w:rsid w:val="005C6B50"/>
    <w:rsid w:val="005C74FB"/>
    <w:rsid w:val="005C76A7"/>
    <w:rsid w:val="005C78C1"/>
    <w:rsid w:val="005D0370"/>
    <w:rsid w:val="005D1602"/>
    <w:rsid w:val="005D2FE9"/>
    <w:rsid w:val="005D4653"/>
    <w:rsid w:val="005D466C"/>
    <w:rsid w:val="005D4C0F"/>
    <w:rsid w:val="005D5AD0"/>
    <w:rsid w:val="005D6E7C"/>
    <w:rsid w:val="005E2054"/>
    <w:rsid w:val="005E36B0"/>
    <w:rsid w:val="005E385F"/>
    <w:rsid w:val="005E43B2"/>
    <w:rsid w:val="005E4441"/>
    <w:rsid w:val="005E4487"/>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F14"/>
    <w:rsid w:val="006055CB"/>
    <w:rsid w:val="00606960"/>
    <w:rsid w:val="00606B50"/>
    <w:rsid w:val="00606C06"/>
    <w:rsid w:val="00607C49"/>
    <w:rsid w:val="0061004F"/>
    <w:rsid w:val="006101D9"/>
    <w:rsid w:val="00611B83"/>
    <w:rsid w:val="00613257"/>
    <w:rsid w:val="00613743"/>
    <w:rsid w:val="006144C3"/>
    <w:rsid w:val="00614FF8"/>
    <w:rsid w:val="00615271"/>
    <w:rsid w:val="0061578A"/>
    <w:rsid w:val="00616A30"/>
    <w:rsid w:val="00616B07"/>
    <w:rsid w:val="006172FB"/>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AAD"/>
    <w:rsid w:val="00633CE4"/>
    <w:rsid w:val="00634A41"/>
    <w:rsid w:val="00635303"/>
    <w:rsid w:val="006358BA"/>
    <w:rsid w:val="00636398"/>
    <w:rsid w:val="006368D3"/>
    <w:rsid w:val="006374A6"/>
    <w:rsid w:val="0063761D"/>
    <w:rsid w:val="006377EC"/>
    <w:rsid w:val="006401EA"/>
    <w:rsid w:val="006407F4"/>
    <w:rsid w:val="0064151F"/>
    <w:rsid w:val="00641533"/>
    <w:rsid w:val="0064208D"/>
    <w:rsid w:val="00643475"/>
    <w:rsid w:val="0064396A"/>
    <w:rsid w:val="0064624E"/>
    <w:rsid w:val="006469EF"/>
    <w:rsid w:val="00650AB9"/>
    <w:rsid w:val="00651E27"/>
    <w:rsid w:val="00652A35"/>
    <w:rsid w:val="006544BB"/>
    <w:rsid w:val="006545CB"/>
    <w:rsid w:val="0065555F"/>
    <w:rsid w:val="00655733"/>
    <w:rsid w:val="00655ACD"/>
    <w:rsid w:val="00656A92"/>
    <w:rsid w:val="00656DDE"/>
    <w:rsid w:val="0065718B"/>
    <w:rsid w:val="00657D41"/>
    <w:rsid w:val="00657E67"/>
    <w:rsid w:val="0066011D"/>
    <w:rsid w:val="00660761"/>
    <w:rsid w:val="006607C0"/>
    <w:rsid w:val="00660D09"/>
    <w:rsid w:val="006613A6"/>
    <w:rsid w:val="006627A2"/>
    <w:rsid w:val="00662A99"/>
    <w:rsid w:val="006634E6"/>
    <w:rsid w:val="00663603"/>
    <w:rsid w:val="0066527E"/>
    <w:rsid w:val="006655EE"/>
    <w:rsid w:val="00666803"/>
    <w:rsid w:val="00667EE7"/>
    <w:rsid w:val="00670922"/>
    <w:rsid w:val="00670BE1"/>
    <w:rsid w:val="00671098"/>
    <w:rsid w:val="00671638"/>
    <w:rsid w:val="0067218F"/>
    <w:rsid w:val="006741F2"/>
    <w:rsid w:val="00674545"/>
    <w:rsid w:val="00674B72"/>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EE6"/>
    <w:rsid w:val="00686F35"/>
    <w:rsid w:val="006877F1"/>
    <w:rsid w:val="006903D3"/>
    <w:rsid w:val="006938C2"/>
    <w:rsid w:val="00694592"/>
    <w:rsid w:val="00694B15"/>
    <w:rsid w:val="00694FE7"/>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E1"/>
    <w:rsid w:val="006A7AFF"/>
    <w:rsid w:val="006A7D3F"/>
    <w:rsid w:val="006B0283"/>
    <w:rsid w:val="006B0ADF"/>
    <w:rsid w:val="006B1816"/>
    <w:rsid w:val="006B194A"/>
    <w:rsid w:val="006B2099"/>
    <w:rsid w:val="006B2DF6"/>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67FA"/>
    <w:rsid w:val="006D6F08"/>
    <w:rsid w:val="006D7A9B"/>
    <w:rsid w:val="006D7CEE"/>
    <w:rsid w:val="006D7E69"/>
    <w:rsid w:val="006E062C"/>
    <w:rsid w:val="006E0747"/>
    <w:rsid w:val="006E122F"/>
    <w:rsid w:val="006E1844"/>
    <w:rsid w:val="006E1C82"/>
    <w:rsid w:val="006E28B7"/>
    <w:rsid w:val="006E2A9B"/>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082B"/>
    <w:rsid w:val="006F1B70"/>
    <w:rsid w:val="006F1DA2"/>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10D1"/>
    <w:rsid w:val="007111A2"/>
    <w:rsid w:val="00711FB1"/>
    <w:rsid w:val="00712076"/>
    <w:rsid w:val="0071227F"/>
    <w:rsid w:val="00712287"/>
    <w:rsid w:val="00712772"/>
    <w:rsid w:val="00712F54"/>
    <w:rsid w:val="00713004"/>
    <w:rsid w:val="00713243"/>
    <w:rsid w:val="0071338D"/>
    <w:rsid w:val="00713480"/>
    <w:rsid w:val="0071378C"/>
    <w:rsid w:val="00713B2F"/>
    <w:rsid w:val="00713FA6"/>
    <w:rsid w:val="007148D3"/>
    <w:rsid w:val="00714EC9"/>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14A"/>
    <w:rsid w:val="007254EB"/>
    <w:rsid w:val="007257D0"/>
    <w:rsid w:val="00725A1F"/>
    <w:rsid w:val="00725E90"/>
    <w:rsid w:val="00726EA6"/>
    <w:rsid w:val="00727208"/>
    <w:rsid w:val="00727291"/>
    <w:rsid w:val="00727344"/>
    <w:rsid w:val="00727680"/>
    <w:rsid w:val="00727A4C"/>
    <w:rsid w:val="007348B1"/>
    <w:rsid w:val="007351AB"/>
    <w:rsid w:val="0073554B"/>
    <w:rsid w:val="00735C80"/>
    <w:rsid w:val="00735ED5"/>
    <w:rsid w:val="00735FA4"/>
    <w:rsid w:val="007362A6"/>
    <w:rsid w:val="0073659F"/>
    <w:rsid w:val="00736D7D"/>
    <w:rsid w:val="0073707D"/>
    <w:rsid w:val="0074046A"/>
    <w:rsid w:val="00740E58"/>
    <w:rsid w:val="007435E9"/>
    <w:rsid w:val="007445A0"/>
    <w:rsid w:val="00744603"/>
    <w:rsid w:val="0074524B"/>
    <w:rsid w:val="007459F2"/>
    <w:rsid w:val="00747820"/>
    <w:rsid w:val="00747B54"/>
    <w:rsid w:val="00747D8B"/>
    <w:rsid w:val="00750B38"/>
    <w:rsid w:val="00751228"/>
    <w:rsid w:val="00751451"/>
    <w:rsid w:val="0075199A"/>
    <w:rsid w:val="0075276C"/>
    <w:rsid w:val="00752785"/>
    <w:rsid w:val="007556BC"/>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6E3E"/>
    <w:rsid w:val="007671F4"/>
    <w:rsid w:val="007701CB"/>
    <w:rsid w:val="00770B71"/>
    <w:rsid w:val="0077117E"/>
    <w:rsid w:val="007715BE"/>
    <w:rsid w:val="007729A2"/>
    <w:rsid w:val="00773D44"/>
    <w:rsid w:val="0077492B"/>
    <w:rsid w:val="00774E11"/>
    <w:rsid w:val="007755F2"/>
    <w:rsid w:val="00776971"/>
    <w:rsid w:val="00777C5C"/>
    <w:rsid w:val="00780A80"/>
    <w:rsid w:val="0078177E"/>
    <w:rsid w:val="00781B5F"/>
    <w:rsid w:val="00782855"/>
    <w:rsid w:val="0078304C"/>
    <w:rsid w:val="00783219"/>
    <w:rsid w:val="00783673"/>
    <w:rsid w:val="00784D2B"/>
    <w:rsid w:val="00785490"/>
    <w:rsid w:val="007858E6"/>
    <w:rsid w:val="00786E9D"/>
    <w:rsid w:val="007871CF"/>
    <w:rsid w:val="00787FE1"/>
    <w:rsid w:val="00790C18"/>
    <w:rsid w:val="00791E33"/>
    <w:rsid w:val="00791F65"/>
    <w:rsid w:val="007925EA"/>
    <w:rsid w:val="0079284C"/>
    <w:rsid w:val="0079373A"/>
    <w:rsid w:val="007937A0"/>
    <w:rsid w:val="00793CD8"/>
    <w:rsid w:val="00794231"/>
    <w:rsid w:val="007947EB"/>
    <w:rsid w:val="00795B09"/>
    <w:rsid w:val="00795C92"/>
    <w:rsid w:val="00795E3A"/>
    <w:rsid w:val="00796231"/>
    <w:rsid w:val="007965A2"/>
    <w:rsid w:val="0079685A"/>
    <w:rsid w:val="00796DC1"/>
    <w:rsid w:val="007A1CB3"/>
    <w:rsid w:val="007A222C"/>
    <w:rsid w:val="007A2AD7"/>
    <w:rsid w:val="007A306F"/>
    <w:rsid w:val="007A39B6"/>
    <w:rsid w:val="007A3DEA"/>
    <w:rsid w:val="007A43A6"/>
    <w:rsid w:val="007A4536"/>
    <w:rsid w:val="007A4A81"/>
    <w:rsid w:val="007A4C76"/>
    <w:rsid w:val="007A5001"/>
    <w:rsid w:val="007A5083"/>
    <w:rsid w:val="007A520B"/>
    <w:rsid w:val="007A58A6"/>
    <w:rsid w:val="007A67B6"/>
    <w:rsid w:val="007A7239"/>
    <w:rsid w:val="007B2593"/>
    <w:rsid w:val="007B2C1B"/>
    <w:rsid w:val="007B328F"/>
    <w:rsid w:val="007B3670"/>
    <w:rsid w:val="007B3D2D"/>
    <w:rsid w:val="007B4287"/>
    <w:rsid w:val="007B4599"/>
    <w:rsid w:val="007B474C"/>
    <w:rsid w:val="007B50AE"/>
    <w:rsid w:val="007B50F4"/>
    <w:rsid w:val="007B51DF"/>
    <w:rsid w:val="007B77C2"/>
    <w:rsid w:val="007C05DD"/>
    <w:rsid w:val="007C0858"/>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082A"/>
    <w:rsid w:val="007D1360"/>
    <w:rsid w:val="007D13A9"/>
    <w:rsid w:val="007D1530"/>
    <w:rsid w:val="007D166F"/>
    <w:rsid w:val="007D2119"/>
    <w:rsid w:val="007D252B"/>
    <w:rsid w:val="007D2B96"/>
    <w:rsid w:val="007D2D5B"/>
    <w:rsid w:val="007D5901"/>
    <w:rsid w:val="007D61F6"/>
    <w:rsid w:val="007D64D9"/>
    <w:rsid w:val="007D67FE"/>
    <w:rsid w:val="007D7526"/>
    <w:rsid w:val="007E4610"/>
    <w:rsid w:val="007E4715"/>
    <w:rsid w:val="007E4B5C"/>
    <w:rsid w:val="007E505B"/>
    <w:rsid w:val="007E59D4"/>
    <w:rsid w:val="007E60CC"/>
    <w:rsid w:val="007E6BA1"/>
    <w:rsid w:val="007E6C13"/>
    <w:rsid w:val="007E7091"/>
    <w:rsid w:val="007E756A"/>
    <w:rsid w:val="007E7C18"/>
    <w:rsid w:val="007F01CB"/>
    <w:rsid w:val="007F0AEB"/>
    <w:rsid w:val="007F1173"/>
    <w:rsid w:val="007F17AE"/>
    <w:rsid w:val="007F20A7"/>
    <w:rsid w:val="007F24A1"/>
    <w:rsid w:val="007F3216"/>
    <w:rsid w:val="007F408F"/>
    <w:rsid w:val="007F47FA"/>
    <w:rsid w:val="007F504B"/>
    <w:rsid w:val="007F56F8"/>
    <w:rsid w:val="007F58F3"/>
    <w:rsid w:val="007F6B94"/>
    <w:rsid w:val="007F73CC"/>
    <w:rsid w:val="007F7C6F"/>
    <w:rsid w:val="0080103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8D6"/>
    <w:rsid w:val="00815AE8"/>
    <w:rsid w:val="008164E0"/>
    <w:rsid w:val="00816A2D"/>
    <w:rsid w:val="00816B32"/>
    <w:rsid w:val="00816ECE"/>
    <w:rsid w:val="00817196"/>
    <w:rsid w:val="00820015"/>
    <w:rsid w:val="00821468"/>
    <w:rsid w:val="008214D4"/>
    <w:rsid w:val="00821AB3"/>
    <w:rsid w:val="008229DA"/>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7CC"/>
    <w:rsid w:val="00832133"/>
    <w:rsid w:val="0083249F"/>
    <w:rsid w:val="0083257F"/>
    <w:rsid w:val="00832D56"/>
    <w:rsid w:val="00832FC1"/>
    <w:rsid w:val="00833A85"/>
    <w:rsid w:val="008357F9"/>
    <w:rsid w:val="0083595E"/>
    <w:rsid w:val="0083650E"/>
    <w:rsid w:val="00837529"/>
    <w:rsid w:val="008376AC"/>
    <w:rsid w:val="0083787F"/>
    <w:rsid w:val="00837E32"/>
    <w:rsid w:val="008408FA"/>
    <w:rsid w:val="00841FEF"/>
    <w:rsid w:val="00842507"/>
    <w:rsid w:val="00842CFB"/>
    <w:rsid w:val="00843A09"/>
    <w:rsid w:val="008444E8"/>
    <w:rsid w:val="00844A26"/>
    <w:rsid w:val="00844C80"/>
    <w:rsid w:val="00844E80"/>
    <w:rsid w:val="00845819"/>
    <w:rsid w:val="00846FE7"/>
    <w:rsid w:val="0084728C"/>
    <w:rsid w:val="00850190"/>
    <w:rsid w:val="00850C3C"/>
    <w:rsid w:val="00851A76"/>
    <w:rsid w:val="00851F93"/>
    <w:rsid w:val="0085229C"/>
    <w:rsid w:val="00852326"/>
    <w:rsid w:val="00855186"/>
    <w:rsid w:val="00856009"/>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0ED"/>
    <w:rsid w:val="0087365B"/>
    <w:rsid w:val="00874312"/>
    <w:rsid w:val="0087437C"/>
    <w:rsid w:val="00875CD7"/>
    <w:rsid w:val="00876B4D"/>
    <w:rsid w:val="00877C89"/>
    <w:rsid w:val="00877CF0"/>
    <w:rsid w:val="00877F18"/>
    <w:rsid w:val="00880158"/>
    <w:rsid w:val="0088019D"/>
    <w:rsid w:val="00881992"/>
    <w:rsid w:val="008821B6"/>
    <w:rsid w:val="00882605"/>
    <w:rsid w:val="0088297E"/>
    <w:rsid w:val="008830B2"/>
    <w:rsid w:val="00883353"/>
    <w:rsid w:val="00883C53"/>
    <w:rsid w:val="008853E7"/>
    <w:rsid w:val="008857BF"/>
    <w:rsid w:val="008857C8"/>
    <w:rsid w:val="00885866"/>
    <w:rsid w:val="00885AC1"/>
    <w:rsid w:val="00890084"/>
    <w:rsid w:val="00890C9F"/>
    <w:rsid w:val="00890F93"/>
    <w:rsid w:val="00892099"/>
    <w:rsid w:val="008934B3"/>
    <w:rsid w:val="00893E58"/>
    <w:rsid w:val="008941E3"/>
    <w:rsid w:val="00894397"/>
    <w:rsid w:val="00894A88"/>
    <w:rsid w:val="0089531D"/>
    <w:rsid w:val="00895386"/>
    <w:rsid w:val="008953A2"/>
    <w:rsid w:val="00896629"/>
    <w:rsid w:val="008966CC"/>
    <w:rsid w:val="00897584"/>
    <w:rsid w:val="00897C73"/>
    <w:rsid w:val="008A01C6"/>
    <w:rsid w:val="008A2052"/>
    <w:rsid w:val="008A21FF"/>
    <w:rsid w:val="008A22AE"/>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958"/>
    <w:rsid w:val="008C4BAA"/>
    <w:rsid w:val="008C5164"/>
    <w:rsid w:val="008C52EE"/>
    <w:rsid w:val="008C5FC1"/>
    <w:rsid w:val="008C6AE8"/>
    <w:rsid w:val="008C6B99"/>
    <w:rsid w:val="008C6EDC"/>
    <w:rsid w:val="008C7573"/>
    <w:rsid w:val="008C7AFC"/>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530"/>
    <w:rsid w:val="008E1909"/>
    <w:rsid w:val="008E1C8E"/>
    <w:rsid w:val="008E265B"/>
    <w:rsid w:val="008E2B72"/>
    <w:rsid w:val="008E47FD"/>
    <w:rsid w:val="008E513F"/>
    <w:rsid w:val="008E517D"/>
    <w:rsid w:val="008E5762"/>
    <w:rsid w:val="008E5ADC"/>
    <w:rsid w:val="008E62BB"/>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07D"/>
    <w:rsid w:val="00906330"/>
    <w:rsid w:val="00906939"/>
    <w:rsid w:val="00906B1A"/>
    <w:rsid w:val="009102F6"/>
    <w:rsid w:val="0091046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6C4D"/>
    <w:rsid w:val="00917CE9"/>
    <w:rsid w:val="00920BF2"/>
    <w:rsid w:val="00921AA1"/>
    <w:rsid w:val="00922010"/>
    <w:rsid w:val="009221C0"/>
    <w:rsid w:val="00922F6D"/>
    <w:rsid w:val="009231FA"/>
    <w:rsid w:val="009238D7"/>
    <w:rsid w:val="009239BA"/>
    <w:rsid w:val="00923BA5"/>
    <w:rsid w:val="009241FB"/>
    <w:rsid w:val="009245B6"/>
    <w:rsid w:val="00924DCC"/>
    <w:rsid w:val="009253A1"/>
    <w:rsid w:val="00925909"/>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2A7"/>
    <w:rsid w:val="00954399"/>
    <w:rsid w:val="0095576B"/>
    <w:rsid w:val="00955DF7"/>
    <w:rsid w:val="009560CE"/>
    <w:rsid w:val="0095681E"/>
    <w:rsid w:val="009572C8"/>
    <w:rsid w:val="009572D4"/>
    <w:rsid w:val="009574D6"/>
    <w:rsid w:val="0096055C"/>
    <w:rsid w:val="0096058F"/>
    <w:rsid w:val="009615D9"/>
    <w:rsid w:val="00961921"/>
    <w:rsid w:val="00961F87"/>
    <w:rsid w:val="009620E5"/>
    <w:rsid w:val="009623FD"/>
    <w:rsid w:val="00962B93"/>
    <w:rsid w:val="0096327D"/>
    <w:rsid w:val="00963324"/>
    <w:rsid w:val="00964128"/>
    <w:rsid w:val="0096430A"/>
    <w:rsid w:val="00964777"/>
    <w:rsid w:val="00964E90"/>
    <w:rsid w:val="0096554B"/>
    <w:rsid w:val="0096584A"/>
    <w:rsid w:val="00965F75"/>
    <w:rsid w:val="00966BA6"/>
    <w:rsid w:val="00966DF3"/>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603D"/>
    <w:rsid w:val="00976949"/>
    <w:rsid w:val="00976D75"/>
    <w:rsid w:val="00976F70"/>
    <w:rsid w:val="00977FFB"/>
    <w:rsid w:val="00980477"/>
    <w:rsid w:val="00982649"/>
    <w:rsid w:val="009833B1"/>
    <w:rsid w:val="00983A02"/>
    <w:rsid w:val="00983D60"/>
    <w:rsid w:val="00984C25"/>
    <w:rsid w:val="00985122"/>
    <w:rsid w:val="00985253"/>
    <w:rsid w:val="009853B3"/>
    <w:rsid w:val="00985C6C"/>
    <w:rsid w:val="00986117"/>
    <w:rsid w:val="009868AC"/>
    <w:rsid w:val="0098759E"/>
    <w:rsid w:val="0098768E"/>
    <w:rsid w:val="00987F0E"/>
    <w:rsid w:val="00987FF9"/>
    <w:rsid w:val="00990630"/>
    <w:rsid w:val="0099086F"/>
    <w:rsid w:val="00991761"/>
    <w:rsid w:val="00991CA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EF5"/>
    <w:rsid w:val="009C5493"/>
    <w:rsid w:val="009D1482"/>
    <w:rsid w:val="009D227E"/>
    <w:rsid w:val="009D2BFD"/>
    <w:rsid w:val="009D2D00"/>
    <w:rsid w:val="009D3EB3"/>
    <w:rsid w:val="009D44FA"/>
    <w:rsid w:val="009D48CC"/>
    <w:rsid w:val="009D493F"/>
    <w:rsid w:val="009D4FF0"/>
    <w:rsid w:val="009D703C"/>
    <w:rsid w:val="009D718F"/>
    <w:rsid w:val="009D7F71"/>
    <w:rsid w:val="009E068F"/>
    <w:rsid w:val="009E0A6A"/>
    <w:rsid w:val="009E0D62"/>
    <w:rsid w:val="009E0EB2"/>
    <w:rsid w:val="009E11B7"/>
    <w:rsid w:val="009E14E0"/>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5E5"/>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8A8"/>
    <w:rsid w:val="00A04F49"/>
    <w:rsid w:val="00A0747E"/>
    <w:rsid w:val="00A07C97"/>
    <w:rsid w:val="00A07D45"/>
    <w:rsid w:val="00A11511"/>
    <w:rsid w:val="00A1217B"/>
    <w:rsid w:val="00A12497"/>
    <w:rsid w:val="00A128BA"/>
    <w:rsid w:val="00A12E0F"/>
    <w:rsid w:val="00A13E54"/>
    <w:rsid w:val="00A145E0"/>
    <w:rsid w:val="00A1499D"/>
    <w:rsid w:val="00A149F0"/>
    <w:rsid w:val="00A1533E"/>
    <w:rsid w:val="00A1578B"/>
    <w:rsid w:val="00A15C5E"/>
    <w:rsid w:val="00A15C68"/>
    <w:rsid w:val="00A15D73"/>
    <w:rsid w:val="00A17F63"/>
    <w:rsid w:val="00A20572"/>
    <w:rsid w:val="00A2193B"/>
    <w:rsid w:val="00A22218"/>
    <w:rsid w:val="00A22619"/>
    <w:rsid w:val="00A2351A"/>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096"/>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1C15"/>
    <w:rsid w:val="00A62184"/>
    <w:rsid w:val="00A62A77"/>
    <w:rsid w:val="00A63483"/>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5D29"/>
    <w:rsid w:val="00A761D4"/>
    <w:rsid w:val="00A76340"/>
    <w:rsid w:val="00A76A72"/>
    <w:rsid w:val="00A76D37"/>
    <w:rsid w:val="00A77994"/>
    <w:rsid w:val="00A77EC4"/>
    <w:rsid w:val="00A805AF"/>
    <w:rsid w:val="00A80916"/>
    <w:rsid w:val="00A81BD7"/>
    <w:rsid w:val="00A82E56"/>
    <w:rsid w:val="00A82F20"/>
    <w:rsid w:val="00A85208"/>
    <w:rsid w:val="00A872E4"/>
    <w:rsid w:val="00A879A5"/>
    <w:rsid w:val="00A87BAC"/>
    <w:rsid w:val="00A903D2"/>
    <w:rsid w:val="00A90747"/>
    <w:rsid w:val="00A9237F"/>
    <w:rsid w:val="00A92879"/>
    <w:rsid w:val="00A92C93"/>
    <w:rsid w:val="00A9348E"/>
    <w:rsid w:val="00A93A7C"/>
    <w:rsid w:val="00A9442A"/>
    <w:rsid w:val="00A94A2C"/>
    <w:rsid w:val="00A94A72"/>
    <w:rsid w:val="00A96179"/>
    <w:rsid w:val="00A96BEC"/>
    <w:rsid w:val="00AA016F"/>
    <w:rsid w:val="00AA0BB4"/>
    <w:rsid w:val="00AA0EA5"/>
    <w:rsid w:val="00AA1217"/>
    <w:rsid w:val="00AA1ED6"/>
    <w:rsid w:val="00AA1F01"/>
    <w:rsid w:val="00AA3084"/>
    <w:rsid w:val="00AA3264"/>
    <w:rsid w:val="00AA4A41"/>
    <w:rsid w:val="00AA51D6"/>
    <w:rsid w:val="00AA5588"/>
    <w:rsid w:val="00AA5922"/>
    <w:rsid w:val="00AA632B"/>
    <w:rsid w:val="00AB0754"/>
    <w:rsid w:val="00AB0BC8"/>
    <w:rsid w:val="00AB10AE"/>
    <w:rsid w:val="00AB11CA"/>
    <w:rsid w:val="00AB14D9"/>
    <w:rsid w:val="00AB17D7"/>
    <w:rsid w:val="00AB1D78"/>
    <w:rsid w:val="00AB24A5"/>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5E6"/>
    <w:rsid w:val="00AC49DA"/>
    <w:rsid w:val="00AC49FB"/>
    <w:rsid w:val="00AC4F1D"/>
    <w:rsid w:val="00AC5A10"/>
    <w:rsid w:val="00AC6B58"/>
    <w:rsid w:val="00AC71B6"/>
    <w:rsid w:val="00AC78F3"/>
    <w:rsid w:val="00AD0AA3"/>
    <w:rsid w:val="00AD12D8"/>
    <w:rsid w:val="00AD13D6"/>
    <w:rsid w:val="00AD2E46"/>
    <w:rsid w:val="00AD3F94"/>
    <w:rsid w:val="00AD4A5A"/>
    <w:rsid w:val="00AD4F1E"/>
    <w:rsid w:val="00AD57AD"/>
    <w:rsid w:val="00AD5E16"/>
    <w:rsid w:val="00AD75DB"/>
    <w:rsid w:val="00AD7BC8"/>
    <w:rsid w:val="00AE075A"/>
    <w:rsid w:val="00AE0CA8"/>
    <w:rsid w:val="00AE24BF"/>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3B97"/>
    <w:rsid w:val="00AF3D8A"/>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2A2"/>
    <w:rsid w:val="00B157F9"/>
    <w:rsid w:val="00B15AD0"/>
    <w:rsid w:val="00B20256"/>
    <w:rsid w:val="00B20C76"/>
    <w:rsid w:val="00B20D09"/>
    <w:rsid w:val="00B21660"/>
    <w:rsid w:val="00B2177C"/>
    <w:rsid w:val="00B2218D"/>
    <w:rsid w:val="00B224FD"/>
    <w:rsid w:val="00B236A6"/>
    <w:rsid w:val="00B239EE"/>
    <w:rsid w:val="00B24959"/>
    <w:rsid w:val="00B2580B"/>
    <w:rsid w:val="00B25A28"/>
    <w:rsid w:val="00B263FB"/>
    <w:rsid w:val="00B2758B"/>
    <w:rsid w:val="00B2763F"/>
    <w:rsid w:val="00B27AAC"/>
    <w:rsid w:val="00B27B8C"/>
    <w:rsid w:val="00B30929"/>
    <w:rsid w:val="00B31362"/>
    <w:rsid w:val="00B31E8E"/>
    <w:rsid w:val="00B33017"/>
    <w:rsid w:val="00B34200"/>
    <w:rsid w:val="00B34F52"/>
    <w:rsid w:val="00B357AA"/>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36"/>
    <w:rsid w:val="00B443D8"/>
    <w:rsid w:val="00B44D55"/>
    <w:rsid w:val="00B45A52"/>
    <w:rsid w:val="00B4606B"/>
    <w:rsid w:val="00B46175"/>
    <w:rsid w:val="00B46B54"/>
    <w:rsid w:val="00B46D7A"/>
    <w:rsid w:val="00B470D4"/>
    <w:rsid w:val="00B471C3"/>
    <w:rsid w:val="00B47AA5"/>
    <w:rsid w:val="00B50341"/>
    <w:rsid w:val="00B50562"/>
    <w:rsid w:val="00B5124E"/>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67B"/>
    <w:rsid w:val="00B6288C"/>
    <w:rsid w:val="00B629C9"/>
    <w:rsid w:val="00B62E1E"/>
    <w:rsid w:val="00B62F2E"/>
    <w:rsid w:val="00B63378"/>
    <w:rsid w:val="00B64797"/>
    <w:rsid w:val="00B6532A"/>
    <w:rsid w:val="00B6569B"/>
    <w:rsid w:val="00B664C7"/>
    <w:rsid w:val="00B6720E"/>
    <w:rsid w:val="00B67929"/>
    <w:rsid w:val="00B7145E"/>
    <w:rsid w:val="00B714B6"/>
    <w:rsid w:val="00B71CAA"/>
    <w:rsid w:val="00B739F6"/>
    <w:rsid w:val="00B74A07"/>
    <w:rsid w:val="00B74E58"/>
    <w:rsid w:val="00B76813"/>
    <w:rsid w:val="00B773EF"/>
    <w:rsid w:val="00B8122F"/>
    <w:rsid w:val="00B81A6C"/>
    <w:rsid w:val="00B8202F"/>
    <w:rsid w:val="00B8263E"/>
    <w:rsid w:val="00B834E9"/>
    <w:rsid w:val="00B840F4"/>
    <w:rsid w:val="00B85577"/>
    <w:rsid w:val="00B85DB6"/>
    <w:rsid w:val="00B85DE5"/>
    <w:rsid w:val="00B8630D"/>
    <w:rsid w:val="00B876E6"/>
    <w:rsid w:val="00B87754"/>
    <w:rsid w:val="00B908F5"/>
    <w:rsid w:val="00B90F73"/>
    <w:rsid w:val="00B91A52"/>
    <w:rsid w:val="00B91BFE"/>
    <w:rsid w:val="00B91FBF"/>
    <w:rsid w:val="00B91FF4"/>
    <w:rsid w:val="00B935ED"/>
    <w:rsid w:val="00B93878"/>
    <w:rsid w:val="00B93B59"/>
    <w:rsid w:val="00B9406A"/>
    <w:rsid w:val="00B9441A"/>
    <w:rsid w:val="00B94BA6"/>
    <w:rsid w:val="00B9524A"/>
    <w:rsid w:val="00B952C8"/>
    <w:rsid w:val="00B95792"/>
    <w:rsid w:val="00B95C70"/>
    <w:rsid w:val="00B96A11"/>
    <w:rsid w:val="00B9777A"/>
    <w:rsid w:val="00B979FA"/>
    <w:rsid w:val="00B97DA2"/>
    <w:rsid w:val="00BA1564"/>
    <w:rsid w:val="00BA2280"/>
    <w:rsid w:val="00BA2399"/>
    <w:rsid w:val="00BA2A08"/>
    <w:rsid w:val="00BA2D5C"/>
    <w:rsid w:val="00BA3809"/>
    <w:rsid w:val="00BA3EB8"/>
    <w:rsid w:val="00BA4FDE"/>
    <w:rsid w:val="00BA56D2"/>
    <w:rsid w:val="00BA5E0C"/>
    <w:rsid w:val="00BA6B4A"/>
    <w:rsid w:val="00BA76E0"/>
    <w:rsid w:val="00BA79EE"/>
    <w:rsid w:val="00BB016A"/>
    <w:rsid w:val="00BB13D9"/>
    <w:rsid w:val="00BB2A25"/>
    <w:rsid w:val="00BB32DF"/>
    <w:rsid w:val="00BB4136"/>
    <w:rsid w:val="00BB4978"/>
    <w:rsid w:val="00BB4A0B"/>
    <w:rsid w:val="00BB508E"/>
    <w:rsid w:val="00BB51E9"/>
    <w:rsid w:val="00BB7C24"/>
    <w:rsid w:val="00BC0D18"/>
    <w:rsid w:val="00BC0FDC"/>
    <w:rsid w:val="00BC1D5A"/>
    <w:rsid w:val="00BC3053"/>
    <w:rsid w:val="00BC3CA2"/>
    <w:rsid w:val="00BC410E"/>
    <w:rsid w:val="00BC44C4"/>
    <w:rsid w:val="00BC4D2E"/>
    <w:rsid w:val="00BC5371"/>
    <w:rsid w:val="00BC5824"/>
    <w:rsid w:val="00BC650B"/>
    <w:rsid w:val="00BD02D9"/>
    <w:rsid w:val="00BD0AC4"/>
    <w:rsid w:val="00BD3374"/>
    <w:rsid w:val="00BD3693"/>
    <w:rsid w:val="00BD3903"/>
    <w:rsid w:val="00BD48AC"/>
    <w:rsid w:val="00BD4D68"/>
    <w:rsid w:val="00BD5F1A"/>
    <w:rsid w:val="00BD643D"/>
    <w:rsid w:val="00BD6CDD"/>
    <w:rsid w:val="00BD70F4"/>
    <w:rsid w:val="00BE05B4"/>
    <w:rsid w:val="00BE061B"/>
    <w:rsid w:val="00BE1234"/>
    <w:rsid w:val="00BE259D"/>
    <w:rsid w:val="00BE2FA6"/>
    <w:rsid w:val="00BE303A"/>
    <w:rsid w:val="00BE30D0"/>
    <w:rsid w:val="00BE333F"/>
    <w:rsid w:val="00BE3C70"/>
    <w:rsid w:val="00BE41B1"/>
    <w:rsid w:val="00BE48AE"/>
    <w:rsid w:val="00BE5332"/>
    <w:rsid w:val="00BE5B45"/>
    <w:rsid w:val="00BE5C80"/>
    <w:rsid w:val="00BE6380"/>
    <w:rsid w:val="00BE6CD8"/>
    <w:rsid w:val="00BE7078"/>
    <w:rsid w:val="00BE7406"/>
    <w:rsid w:val="00BE7603"/>
    <w:rsid w:val="00BE7C3C"/>
    <w:rsid w:val="00BE7EA8"/>
    <w:rsid w:val="00BF07E1"/>
    <w:rsid w:val="00BF0904"/>
    <w:rsid w:val="00BF12DD"/>
    <w:rsid w:val="00BF133D"/>
    <w:rsid w:val="00BF1FA2"/>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3E29"/>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0432"/>
    <w:rsid w:val="00C2102F"/>
    <w:rsid w:val="00C21519"/>
    <w:rsid w:val="00C217D6"/>
    <w:rsid w:val="00C21A6F"/>
    <w:rsid w:val="00C22004"/>
    <w:rsid w:val="00C22072"/>
    <w:rsid w:val="00C2238C"/>
    <w:rsid w:val="00C2312D"/>
    <w:rsid w:val="00C23840"/>
    <w:rsid w:val="00C24845"/>
    <w:rsid w:val="00C279B5"/>
    <w:rsid w:val="00C27C0F"/>
    <w:rsid w:val="00C27C45"/>
    <w:rsid w:val="00C3246F"/>
    <w:rsid w:val="00C327E1"/>
    <w:rsid w:val="00C329F3"/>
    <w:rsid w:val="00C342B6"/>
    <w:rsid w:val="00C345C8"/>
    <w:rsid w:val="00C35155"/>
    <w:rsid w:val="00C356C2"/>
    <w:rsid w:val="00C3602F"/>
    <w:rsid w:val="00C36862"/>
    <w:rsid w:val="00C3719D"/>
    <w:rsid w:val="00C37CB2"/>
    <w:rsid w:val="00C41C32"/>
    <w:rsid w:val="00C426AF"/>
    <w:rsid w:val="00C43412"/>
    <w:rsid w:val="00C45567"/>
    <w:rsid w:val="00C46135"/>
    <w:rsid w:val="00C46620"/>
    <w:rsid w:val="00C473A5"/>
    <w:rsid w:val="00C474BE"/>
    <w:rsid w:val="00C50A40"/>
    <w:rsid w:val="00C50B28"/>
    <w:rsid w:val="00C51106"/>
    <w:rsid w:val="00C517F3"/>
    <w:rsid w:val="00C517FE"/>
    <w:rsid w:val="00C51F20"/>
    <w:rsid w:val="00C52443"/>
    <w:rsid w:val="00C54995"/>
    <w:rsid w:val="00C54B35"/>
    <w:rsid w:val="00C54D41"/>
    <w:rsid w:val="00C555EE"/>
    <w:rsid w:val="00C556DC"/>
    <w:rsid w:val="00C56ECC"/>
    <w:rsid w:val="00C5702F"/>
    <w:rsid w:val="00C60783"/>
    <w:rsid w:val="00C62948"/>
    <w:rsid w:val="00C6305F"/>
    <w:rsid w:val="00C64672"/>
    <w:rsid w:val="00C650CD"/>
    <w:rsid w:val="00C65AC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A7E"/>
    <w:rsid w:val="00C76E0F"/>
    <w:rsid w:val="00C76E3C"/>
    <w:rsid w:val="00C76FA4"/>
    <w:rsid w:val="00C80809"/>
    <w:rsid w:val="00C80894"/>
    <w:rsid w:val="00C81568"/>
    <w:rsid w:val="00C83FEA"/>
    <w:rsid w:val="00C84787"/>
    <w:rsid w:val="00C84D60"/>
    <w:rsid w:val="00C8503A"/>
    <w:rsid w:val="00C85499"/>
    <w:rsid w:val="00C86565"/>
    <w:rsid w:val="00C9027A"/>
    <w:rsid w:val="00C9068E"/>
    <w:rsid w:val="00C91427"/>
    <w:rsid w:val="00C91D3C"/>
    <w:rsid w:val="00C92F6B"/>
    <w:rsid w:val="00C930D9"/>
    <w:rsid w:val="00C93709"/>
    <w:rsid w:val="00C93736"/>
    <w:rsid w:val="00C93814"/>
    <w:rsid w:val="00C938E9"/>
    <w:rsid w:val="00C93C4B"/>
    <w:rsid w:val="00C9437C"/>
    <w:rsid w:val="00C944AB"/>
    <w:rsid w:val="00C94730"/>
    <w:rsid w:val="00C94A18"/>
    <w:rsid w:val="00C94EBA"/>
    <w:rsid w:val="00C95B40"/>
    <w:rsid w:val="00C95DCC"/>
    <w:rsid w:val="00C96058"/>
    <w:rsid w:val="00C9671A"/>
    <w:rsid w:val="00C96A22"/>
    <w:rsid w:val="00C96CE9"/>
    <w:rsid w:val="00C97144"/>
    <w:rsid w:val="00C97ABD"/>
    <w:rsid w:val="00C97F35"/>
    <w:rsid w:val="00CA0563"/>
    <w:rsid w:val="00CA0863"/>
    <w:rsid w:val="00CA181E"/>
    <w:rsid w:val="00CA1ED8"/>
    <w:rsid w:val="00CA207A"/>
    <w:rsid w:val="00CA2661"/>
    <w:rsid w:val="00CA3600"/>
    <w:rsid w:val="00CA3BFC"/>
    <w:rsid w:val="00CA4C13"/>
    <w:rsid w:val="00CA51BE"/>
    <w:rsid w:val="00CA6408"/>
    <w:rsid w:val="00CA657E"/>
    <w:rsid w:val="00CA6DDC"/>
    <w:rsid w:val="00CA7608"/>
    <w:rsid w:val="00CB0408"/>
    <w:rsid w:val="00CB14BE"/>
    <w:rsid w:val="00CB1884"/>
    <w:rsid w:val="00CB1F63"/>
    <w:rsid w:val="00CB2C61"/>
    <w:rsid w:val="00CB354C"/>
    <w:rsid w:val="00CB3728"/>
    <w:rsid w:val="00CB47D1"/>
    <w:rsid w:val="00CB4F1C"/>
    <w:rsid w:val="00CB6224"/>
    <w:rsid w:val="00CB6855"/>
    <w:rsid w:val="00CB6C14"/>
    <w:rsid w:val="00CB7170"/>
    <w:rsid w:val="00CB7A3B"/>
    <w:rsid w:val="00CC02CB"/>
    <w:rsid w:val="00CC040E"/>
    <w:rsid w:val="00CC06FC"/>
    <w:rsid w:val="00CC111F"/>
    <w:rsid w:val="00CC1EA9"/>
    <w:rsid w:val="00CC2011"/>
    <w:rsid w:val="00CC222C"/>
    <w:rsid w:val="00CC292A"/>
    <w:rsid w:val="00CC30D7"/>
    <w:rsid w:val="00CC3EA0"/>
    <w:rsid w:val="00CC7B45"/>
    <w:rsid w:val="00CD04BC"/>
    <w:rsid w:val="00CD1188"/>
    <w:rsid w:val="00CD204B"/>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0831"/>
    <w:rsid w:val="00CF0D15"/>
    <w:rsid w:val="00CF1354"/>
    <w:rsid w:val="00CF2266"/>
    <w:rsid w:val="00CF2593"/>
    <w:rsid w:val="00CF2B3A"/>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897"/>
    <w:rsid w:val="00D118CD"/>
    <w:rsid w:val="00D11DB9"/>
    <w:rsid w:val="00D121A9"/>
    <w:rsid w:val="00D13135"/>
    <w:rsid w:val="00D1388B"/>
    <w:rsid w:val="00D13E4E"/>
    <w:rsid w:val="00D13F2D"/>
    <w:rsid w:val="00D14338"/>
    <w:rsid w:val="00D15719"/>
    <w:rsid w:val="00D15B4B"/>
    <w:rsid w:val="00D15BA4"/>
    <w:rsid w:val="00D15F96"/>
    <w:rsid w:val="00D176C5"/>
    <w:rsid w:val="00D1779D"/>
    <w:rsid w:val="00D20E70"/>
    <w:rsid w:val="00D20ED2"/>
    <w:rsid w:val="00D221BE"/>
    <w:rsid w:val="00D22AB5"/>
    <w:rsid w:val="00D232E2"/>
    <w:rsid w:val="00D239A7"/>
    <w:rsid w:val="00D23F47"/>
    <w:rsid w:val="00D250FB"/>
    <w:rsid w:val="00D25E03"/>
    <w:rsid w:val="00D263D5"/>
    <w:rsid w:val="00D27978"/>
    <w:rsid w:val="00D27AB8"/>
    <w:rsid w:val="00D3011F"/>
    <w:rsid w:val="00D309C8"/>
    <w:rsid w:val="00D30BC1"/>
    <w:rsid w:val="00D33D5E"/>
    <w:rsid w:val="00D3553E"/>
    <w:rsid w:val="00D35CF3"/>
    <w:rsid w:val="00D361C8"/>
    <w:rsid w:val="00D36720"/>
    <w:rsid w:val="00D36E40"/>
    <w:rsid w:val="00D36E71"/>
    <w:rsid w:val="00D37D87"/>
    <w:rsid w:val="00D4030C"/>
    <w:rsid w:val="00D406EF"/>
    <w:rsid w:val="00D40B33"/>
    <w:rsid w:val="00D42379"/>
    <w:rsid w:val="00D42BA5"/>
    <w:rsid w:val="00D4318F"/>
    <w:rsid w:val="00D43886"/>
    <w:rsid w:val="00D438BF"/>
    <w:rsid w:val="00D43A80"/>
    <w:rsid w:val="00D440F8"/>
    <w:rsid w:val="00D443C1"/>
    <w:rsid w:val="00D448E3"/>
    <w:rsid w:val="00D46EF3"/>
    <w:rsid w:val="00D472F6"/>
    <w:rsid w:val="00D50F35"/>
    <w:rsid w:val="00D52C1D"/>
    <w:rsid w:val="00D53566"/>
    <w:rsid w:val="00D5419B"/>
    <w:rsid w:val="00D543C4"/>
    <w:rsid w:val="00D546FF"/>
    <w:rsid w:val="00D5586A"/>
    <w:rsid w:val="00D55AD5"/>
    <w:rsid w:val="00D56456"/>
    <w:rsid w:val="00D5690B"/>
    <w:rsid w:val="00D57564"/>
    <w:rsid w:val="00D576CA"/>
    <w:rsid w:val="00D57EAE"/>
    <w:rsid w:val="00D606B3"/>
    <w:rsid w:val="00D61AF5"/>
    <w:rsid w:val="00D636BA"/>
    <w:rsid w:val="00D638E6"/>
    <w:rsid w:val="00D63DD2"/>
    <w:rsid w:val="00D64097"/>
    <w:rsid w:val="00D64ABA"/>
    <w:rsid w:val="00D652B5"/>
    <w:rsid w:val="00D65F83"/>
    <w:rsid w:val="00D66137"/>
    <w:rsid w:val="00D66155"/>
    <w:rsid w:val="00D661D3"/>
    <w:rsid w:val="00D66CEB"/>
    <w:rsid w:val="00D7005A"/>
    <w:rsid w:val="00D708B0"/>
    <w:rsid w:val="00D7171F"/>
    <w:rsid w:val="00D71D43"/>
    <w:rsid w:val="00D722E5"/>
    <w:rsid w:val="00D72323"/>
    <w:rsid w:val="00D72811"/>
    <w:rsid w:val="00D728E2"/>
    <w:rsid w:val="00D72E6A"/>
    <w:rsid w:val="00D73231"/>
    <w:rsid w:val="00D7397D"/>
    <w:rsid w:val="00D746B1"/>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5144"/>
    <w:rsid w:val="00D86CA3"/>
    <w:rsid w:val="00D87080"/>
    <w:rsid w:val="00D871CE"/>
    <w:rsid w:val="00D878D0"/>
    <w:rsid w:val="00D879A9"/>
    <w:rsid w:val="00D90D7F"/>
    <w:rsid w:val="00D915D7"/>
    <w:rsid w:val="00D9196D"/>
    <w:rsid w:val="00D91BFA"/>
    <w:rsid w:val="00D91EE8"/>
    <w:rsid w:val="00D92982"/>
    <w:rsid w:val="00D94FF7"/>
    <w:rsid w:val="00D95C8F"/>
    <w:rsid w:val="00D9771A"/>
    <w:rsid w:val="00D9790E"/>
    <w:rsid w:val="00D97993"/>
    <w:rsid w:val="00DA11B9"/>
    <w:rsid w:val="00DA14EE"/>
    <w:rsid w:val="00DA1876"/>
    <w:rsid w:val="00DA189C"/>
    <w:rsid w:val="00DA18C3"/>
    <w:rsid w:val="00DA1B68"/>
    <w:rsid w:val="00DA1E2C"/>
    <w:rsid w:val="00DA2783"/>
    <w:rsid w:val="00DA2AD8"/>
    <w:rsid w:val="00DA305E"/>
    <w:rsid w:val="00DA4CB4"/>
    <w:rsid w:val="00DA5417"/>
    <w:rsid w:val="00DA56E8"/>
    <w:rsid w:val="00DA573A"/>
    <w:rsid w:val="00DA5E85"/>
    <w:rsid w:val="00DA6AC4"/>
    <w:rsid w:val="00DB0107"/>
    <w:rsid w:val="00DB04B3"/>
    <w:rsid w:val="00DB09A7"/>
    <w:rsid w:val="00DB0A9F"/>
    <w:rsid w:val="00DB0E03"/>
    <w:rsid w:val="00DB1B74"/>
    <w:rsid w:val="00DB354E"/>
    <w:rsid w:val="00DB377D"/>
    <w:rsid w:val="00DB4263"/>
    <w:rsid w:val="00DB4EDA"/>
    <w:rsid w:val="00DB515E"/>
    <w:rsid w:val="00DB5B48"/>
    <w:rsid w:val="00DB5C7A"/>
    <w:rsid w:val="00DB7A2B"/>
    <w:rsid w:val="00DC00A0"/>
    <w:rsid w:val="00DC0477"/>
    <w:rsid w:val="00DC1555"/>
    <w:rsid w:val="00DC1749"/>
    <w:rsid w:val="00DC1A50"/>
    <w:rsid w:val="00DC28C1"/>
    <w:rsid w:val="00DC29BF"/>
    <w:rsid w:val="00DC2AC0"/>
    <w:rsid w:val="00DC2D36"/>
    <w:rsid w:val="00DC3932"/>
    <w:rsid w:val="00DC3C09"/>
    <w:rsid w:val="00DC4D4D"/>
    <w:rsid w:val="00DC53EF"/>
    <w:rsid w:val="00DC5B11"/>
    <w:rsid w:val="00DC5EB6"/>
    <w:rsid w:val="00DC63BE"/>
    <w:rsid w:val="00DC66AB"/>
    <w:rsid w:val="00DC6854"/>
    <w:rsid w:val="00DC6A78"/>
    <w:rsid w:val="00DC7133"/>
    <w:rsid w:val="00DC7781"/>
    <w:rsid w:val="00DC784D"/>
    <w:rsid w:val="00DD093D"/>
    <w:rsid w:val="00DD1628"/>
    <w:rsid w:val="00DD1D60"/>
    <w:rsid w:val="00DD201C"/>
    <w:rsid w:val="00DD22BB"/>
    <w:rsid w:val="00DD3604"/>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301"/>
    <w:rsid w:val="00DE654F"/>
    <w:rsid w:val="00DE6A02"/>
    <w:rsid w:val="00DE732B"/>
    <w:rsid w:val="00DE7733"/>
    <w:rsid w:val="00DF0393"/>
    <w:rsid w:val="00DF06B1"/>
    <w:rsid w:val="00DF0B6E"/>
    <w:rsid w:val="00DF15E0"/>
    <w:rsid w:val="00DF182E"/>
    <w:rsid w:val="00DF26F4"/>
    <w:rsid w:val="00DF2884"/>
    <w:rsid w:val="00DF331D"/>
    <w:rsid w:val="00DF37A0"/>
    <w:rsid w:val="00DF4B14"/>
    <w:rsid w:val="00DF5664"/>
    <w:rsid w:val="00DF5DAD"/>
    <w:rsid w:val="00DF73CF"/>
    <w:rsid w:val="00E0028F"/>
    <w:rsid w:val="00E004E7"/>
    <w:rsid w:val="00E01D5E"/>
    <w:rsid w:val="00E01EA9"/>
    <w:rsid w:val="00E034B3"/>
    <w:rsid w:val="00E04332"/>
    <w:rsid w:val="00E06B73"/>
    <w:rsid w:val="00E06BFB"/>
    <w:rsid w:val="00E07093"/>
    <w:rsid w:val="00E10661"/>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EB"/>
    <w:rsid w:val="00E23A90"/>
    <w:rsid w:val="00E23AE6"/>
    <w:rsid w:val="00E2517B"/>
    <w:rsid w:val="00E27157"/>
    <w:rsid w:val="00E3072B"/>
    <w:rsid w:val="00E30B5A"/>
    <w:rsid w:val="00E31002"/>
    <w:rsid w:val="00E3123D"/>
    <w:rsid w:val="00E31461"/>
    <w:rsid w:val="00E31BE2"/>
    <w:rsid w:val="00E31D43"/>
    <w:rsid w:val="00E32202"/>
    <w:rsid w:val="00E32608"/>
    <w:rsid w:val="00E328A7"/>
    <w:rsid w:val="00E3309B"/>
    <w:rsid w:val="00E331CB"/>
    <w:rsid w:val="00E336D1"/>
    <w:rsid w:val="00E34188"/>
    <w:rsid w:val="00E3471D"/>
    <w:rsid w:val="00E3483B"/>
    <w:rsid w:val="00E34B6E"/>
    <w:rsid w:val="00E34FAA"/>
    <w:rsid w:val="00E35025"/>
    <w:rsid w:val="00E35559"/>
    <w:rsid w:val="00E357F0"/>
    <w:rsid w:val="00E36008"/>
    <w:rsid w:val="00E3723A"/>
    <w:rsid w:val="00E374B5"/>
    <w:rsid w:val="00E37797"/>
    <w:rsid w:val="00E37860"/>
    <w:rsid w:val="00E40482"/>
    <w:rsid w:val="00E417C1"/>
    <w:rsid w:val="00E41B6A"/>
    <w:rsid w:val="00E4298D"/>
    <w:rsid w:val="00E43B4F"/>
    <w:rsid w:val="00E446F1"/>
    <w:rsid w:val="00E447B1"/>
    <w:rsid w:val="00E449E8"/>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3C6B"/>
    <w:rsid w:val="00E548D8"/>
    <w:rsid w:val="00E54B33"/>
    <w:rsid w:val="00E54D60"/>
    <w:rsid w:val="00E54D83"/>
    <w:rsid w:val="00E54E3B"/>
    <w:rsid w:val="00E55A9E"/>
    <w:rsid w:val="00E570CB"/>
    <w:rsid w:val="00E57565"/>
    <w:rsid w:val="00E57E26"/>
    <w:rsid w:val="00E60C07"/>
    <w:rsid w:val="00E62043"/>
    <w:rsid w:val="00E624F8"/>
    <w:rsid w:val="00E62A99"/>
    <w:rsid w:val="00E63838"/>
    <w:rsid w:val="00E63D0A"/>
    <w:rsid w:val="00E64434"/>
    <w:rsid w:val="00E64938"/>
    <w:rsid w:val="00E65CFD"/>
    <w:rsid w:val="00E65F01"/>
    <w:rsid w:val="00E66259"/>
    <w:rsid w:val="00E665E2"/>
    <w:rsid w:val="00E6762E"/>
    <w:rsid w:val="00E67C51"/>
    <w:rsid w:val="00E70051"/>
    <w:rsid w:val="00E7057E"/>
    <w:rsid w:val="00E707F3"/>
    <w:rsid w:val="00E70E3B"/>
    <w:rsid w:val="00E717D3"/>
    <w:rsid w:val="00E726BA"/>
    <w:rsid w:val="00E72EFC"/>
    <w:rsid w:val="00E746A1"/>
    <w:rsid w:val="00E74756"/>
    <w:rsid w:val="00E7535A"/>
    <w:rsid w:val="00E757FC"/>
    <w:rsid w:val="00E758EC"/>
    <w:rsid w:val="00E77F6E"/>
    <w:rsid w:val="00E80668"/>
    <w:rsid w:val="00E80683"/>
    <w:rsid w:val="00E8102C"/>
    <w:rsid w:val="00E819B8"/>
    <w:rsid w:val="00E8234C"/>
    <w:rsid w:val="00E82507"/>
    <w:rsid w:val="00E83051"/>
    <w:rsid w:val="00E83AA9"/>
    <w:rsid w:val="00E83AD6"/>
    <w:rsid w:val="00E83EB6"/>
    <w:rsid w:val="00E83F3A"/>
    <w:rsid w:val="00E847A0"/>
    <w:rsid w:val="00E84A92"/>
    <w:rsid w:val="00E854C4"/>
    <w:rsid w:val="00E857E2"/>
    <w:rsid w:val="00E85928"/>
    <w:rsid w:val="00E865D3"/>
    <w:rsid w:val="00E8735E"/>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328"/>
    <w:rsid w:val="00E97638"/>
    <w:rsid w:val="00EA06C5"/>
    <w:rsid w:val="00EA09A1"/>
    <w:rsid w:val="00EA0A3C"/>
    <w:rsid w:val="00EA0A72"/>
    <w:rsid w:val="00EA0E63"/>
    <w:rsid w:val="00EA1F10"/>
    <w:rsid w:val="00EA2B10"/>
    <w:rsid w:val="00EA3DD9"/>
    <w:rsid w:val="00EA3EE7"/>
    <w:rsid w:val="00EA45D1"/>
    <w:rsid w:val="00EA5762"/>
    <w:rsid w:val="00EA6CE1"/>
    <w:rsid w:val="00EA74C2"/>
    <w:rsid w:val="00EA75AA"/>
    <w:rsid w:val="00EA783B"/>
    <w:rsid w:val="00EA7A41"/>
    <w:rsid w:val="00EB04A7"/>
    <w:rsid w:val="00EB067E"/>
    <w:rsid w:val="00EB077B"/>
    <w:rsid w:val="00EB0841"/>
    <w:rsid w:val="00EB0AFD"/>
    <w:rsid w:val="00EB1F63"/>
    <w:rsid w:val="00EB244C"/>
    <w:rsid w:val="00EB283A"/>
    <w:rsid w:val="00EB2CF0"/>
    <w:rsid w:val="00EB3011"/>
    <w:rsid w:val="00EB3940"/>
    <w:rsid w:val="00EB3952"/>
    <w:rsid w:val="00EB4B7F"/>
    <w:rsid w:val="00EB4EA2"/>
    <w:rsid w:val="00EB5078"/>
    <w:rsid w:val="00EB5827"/>
    <w:rsid w:val="00EB6002"/>
    <w:rsid w:val="00EB6221"/>
    <w:rsid w:val="00EB72F1"/>
    <w:rsid w:val="00EB7A9B"/>
    <w:rsid w:val="00EB7EEC"/>
    <w:rsid w:val="00EC059D"/>
    <w:rsid w:val="00EC05D6"/>
    <w:rsid w:val="00EC06A0"/>
    <w:rsid w:val="00EC0C0D"/>
    <w:rsid w:val="00EC24D5"/>
    <w:rsid w:val="00EC25B9"/>
    <w:rsid w:val="00EC27C6"/>
    <w:rsid w:val="00EC2C29"/>
    <w:rsid w:val="00EC3520"/>
    <w:rsid w:val="00EC3C25"/>
    <w:rsid w:val="00EC41C1"/>
    <w:rsid w:val="00EC4207"/>
    <w:rsid w:val="00EC4447"/>
    <w:rsid w:val="00EC4794"/>
    <w:rsid w:val="00EC5387"/>
    <w:rsid w:val="00EC556D"/>
    <w:rsid w:val="00EC5653"/>
    <w:rsid w:val="00EC58F2"/>
    <w:rsid w:val="00EC5916"/>
    <w:rsid w:val="00EC5E68"/>
    <w:rsid w:val="00EC692B"/>
    <w:rsid w:val="00EC71CE"/>
    <w:rsid w:val="00EC722B"/>
    <w:rsid w:val="00EC7F3F"/>
    <w:rsid w:val="00ED03B7"/>
    <w:rsid w:val="00ED04AD"/>
    <w:rsid w:val="00ED1006"/>
    <w:rsid w:val="00ED257D"/>
    <w:rsid w:val="00ED2AFD"/>
    <w:rsid w:val="00ED382C"/>
    <w:rsid w:val="00ED3D00"/>
    <w:rsid w:val="00ED3D73"/>
    <w:rsid w:val="00ED4056"/>
    <w:rsid w:val="00ED47C4"/>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56"/>
    <w:rsid w:val="00EF1D9A"/>
    <w:rsid w:val="00EF1FA3"/>
    <w:rsid w:val="00EF27BD"/>
    <w:rsid w:val="00EF32CD"/>
    <w:rsid w:val="00EF402A"/>
    <w:rsid w:val="00EF46A4"/>
    <w:rsid w:val="00EF494C"/>
    <w:rsid w:val="00EF4A02"/>
    <w:rsid w:val="00EF5787"/>
    <w:rsid w:val="00EF5BFF"/>
    <w:rsid w:val="00EF60D0"/>
    <w:rsid w:val="00EF6286"/>
    <w:rsid w:val="00EF7818"/>
    <w:rsid w:val="00F0014E"/>
    <w:rsid w:val="00F01CF9"/>
    <w:rsid w:val="00F01E18"/>
    <w:rsid w:val="00F02ABF"/>
    <w:rsid w:val="00F02D83"/>
    <w:rsid w:val="00F02FCE"/>
    <w:rsid w:val="00F03390"/>
    <w:rsid w:val="00F0528D"/>
    <w:rsid w:val="00F05F52"/>
    <w:rsid w:val="00F06484"/>
    <w:rsid w:val="00F06C67"/>
    <w:rsid w:val="00F06DFD"/>
    <w:rsid w:val="00F071D1"/>
    <w:rsid w:val="00F07533"/>
    <w:rsid w:val="00F10257"/>
    <w:rsid w:val="00F10629"/>
    <w:rsid w:val="00F1123E"/>
    <w:rsid w:val="00F11840"/>
    <w:rsid w:val="00F12834"/>
    <w:rsid w:val="00F12C54"/>
    <w:rsid w:val="00F14B1A"/>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5EB1"/>
    <w:rsid w:val="00F25EF1"/>
    <w:rsid w:val="00F26237"/>
    <w:rsid w:val="00F26BDC"/>
    <w:rsid w:val="00F26D0F"/>
    <w:rsid w:val="00F2789F"/>
    <w:rsid w:val="00F27BCF"/>
    <w:rsid w:val="00F30828"/>
    <w:rsid w:val="00F313D6"/>
    <w:rsid w:val="00F31500"/>
    <w:rsid w:val="00F31901"/>
    <w:rsid w:val="00F31CAE"/>
    <w:rsid w:val="00F31CBF"/>
    <w:rsid w:val="00F33632"/>
    <w:rsid w:val="00F34754"/>
    <w:rsid w:val="00F35DB0"/>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D5E"/>
    <w:rsid w:val="00F672B9"/>
    <w:rsid w:val="00F67F53"/>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87185"/>
    <w:rsid w:val="00F9056A"/>
    <w:rsid w:val="00F90627"/>
    <w:rsid w:val="00F90998"/>
    <w:rsid w:val="00F90E34"/>
    <w:rsid w:val="00F90F8D"/>
    <w:rsid w:val="00F90FCF"/>
    <w:rsid w:val="00F91F43"/>
    <w:rsid w:val="00F92782"/>
    <w:rsid w:val="00F92ACC"/>
    <w:rsid w:val="00F92B2A"/>
    <w:rsid w:val="00F93782"/>
    <w:rsid w:val="00F937DD"/>
    <w:rsid w:val="00F93AA9"/>
    <w:rsid w:val="00F9402B"/>
    <w:rsid w:val="00F94834"/>
    <w:rsid w:val="00F95CEF"/>
    <w:rsid w:val="00F96770"/>
    <w:rsid w:val="00F96985"/>
    <w:rsid w:val="00F96B5F"/>
    <w:rsid w:val="00F97838"/>
    <w:rsid w:val="00FA04D5"/>
    <w:rsid w:val="00FA2399"/>
    <w:rsid w:val="00FA26E1"/>
    <w:rsid w:val="00FA2BB3"/>
    <w:rsid w:val="00FA3B5D"/>
    <w:rsid w:val="00FA448C"/>
    <w:rsid w:val="00FA5F86"/>
    <w:rsid w:val="00FA63CE"/>
    <w:rsid w:val="00FA770E"/>
    <w:rsid w:val="00FA7840"/>
    <w:rsid w:val="00FB00B0"/>
    <w:rsid w:val="00FB01CF"/>
    <w:rsid w:val="00FB035B"/>
    <w:rsid w:val="00FB1309"/>
    <w:rsid w:val="00FB1738"/>
    <w:rsid w:val="00FB2ACF"/>
    <w:rsid w:val="00FB313F"/>
    <w:rsid w:val="00FB3C94"/>
    <w:rsid w:val="00FB40F9"/>
    <w:rsid w:val="00FB499C"/>
    <w:rsid w:val="00FB4C80"/>
    <w:rsid w:val="00FB51C6"/>
    <w:rsid w:val="00FB613C"/>
    <w:rsid w:val="00FB62F7"/>
    <w:rsid w:val="00FB6902"/>
    <w:rsid w:val="00FB6A6A"/>
    <w:rsid w:val="00FB6DEC"/>
    <w:rsid w:val="00FB7C1F"/>
    <w:rsid w:val="00FB7CC6"/>
    <w:rsid w:val="00FC11D6"/>
    <w:rsid w:val="00FC159A"/>
    <w:rsid w:val="00FC23B2"/>
    <w:rsid w:val="00FC2619"/>
    <w:rsid w:val="00FC4079"/>
    <w:rsid w:val="00FC58CC"/>
    <w:rsid w:val="00FC5965"/>
    <w:rsid w:val="00FC5E75"/>
    <w:rsid w:val="00FC7429"/>
    <w:rsid w:val="00FD004F"/>
    <w:rsid w:val="00FD00E0"/>
    <w:rsid w:val="00FD07F6"/>
    <w:rsid w:val="00FD0DBE"/>
    <w:rsid w:val="00FD184E"/>
    <w:rsid w:val="00FD1EC8"/>
    <w:rsid w:val="00FD23EF"/>
    <w:rsid w:val="00FD33C4"/>
    <w:rsid w:val="00FD4401"/>
    <w:rsid w:val="00FD47ED"/>
    <w:rsid w:val="00FD61E1"/>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EA"/>
    <w:rsid w:val="00FE4C7B"/>
    <w:rsid w:val="00FE4E6A"/>
    <w:rsid w:val="00FE58B8"/>
    <w:rsid w:val="00FE5921"/>
    <w:rsid w:val="00FE5DD4"/>
    <w:rsid w:val="00FE6108"/>
    <w:rsid w:val="00FE630C"/>
    <w:rsid w:val="00FE7336"/>
    <w:rsid w:val="00FE787C"/>
    <w:rsid w:val="00FF0A4F"/>
    <w:rsid w:val="00FF0BD5"/>
    <w:rsid w:val="00FF13B1"/>
    <w:rsid w:val="00FF3AB3"/>
    <w:rsid w:val="00FF45A5"/>
    <w:rsid w:val="00FF5247"/>
    <w:rsid w:val="00FF5560"/>
    <w:rsid w:val="00FF5C91"/>
    <w:rsid w:val="00FF79A1"/>
    <w:rsid w:val="7D8963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99" w:semiHidden="0" w:name="table of figures"/>
    <w:lsdException w:uiPriority="0" w:name="envelope address"/>
    <w:lsdException w:uiPriority="0" w:name="envelope return"/>
    <w:lsdException w:unhideWhenUsed="0" w:uiPriority="0" w:semiHidden="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nhideWhenUsed="0" w:uiPriority="0" w:semiHidden="0" w:name="List Continue"/>
    <w:lsdException w:unhideWhenUsed="0" w:uiPriority="0" w:semiHidden="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Arial" w:hAnsi="Arial"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4"/>
    <w:qFormat/>
    <w:uiPriority w:val="0"/>
    <w:pPr>
      <w:pBdr>
        <w:top w:val="none" w:color="auto" w:sz="0" w:space="0"/>
      </w:pBdr>
      <w:spacing w:before="180"/>
      <w:outlineLvl w:val="1"/>
    </w:pPr>
    <w:rPr>
      <w:sz w:val="32"/>
    </w:rPr>
  </w:style>
  <w:style w:type="paragraph" w:styleId="4">
    <w:name w:val="heading 3"/>
    <w:basedOn w:val="3"/>
    <w:next w:val="1"/>
    <w:link w:val="125"/>
    <w:qFormat/>
    <w:uiPriority w:val="0"/>
    <w:pPr>
      <w:spacing w:before="120"/>
      <w:outlineLvl w:val="2"/>
    </w:pPr>
    <w:rPr>
      <w:sz w:val="28"/>
    </w:rPr>
  </w:style>
  <w:style w:type="paragraph" w:styleId="5">
    <w:name w:val="heading 4"/>
    <w:basedOn w:val="4"/>
    <w:next w:val="1"/>
    <w:link w:val="126"/>
    <w:qFormat/>
    <w:uiPriority w:val="0"/>
    <w:pPr>
      <w:ind w:left="1418" w:hanging="1418"/>
      <w:outlineLvl w:val="3"/>
    </w:pPr>
    <w:rPr>
      <w:sz w:val="24"/>
    </w:rPr>
  </w:style>
  <w:style w:type="paragraph" w:styleId="6">
    <w:name w:val="heading 5"/>
    <w:basedOn w:val="5"/>
    <w:next w:val="1"/>
    <w:link w:val="127"/>
    <w:qFormat/>
    <w:uiPriority w:val="0"/>
    <w:pPr>
      <w:ind w:left="1701" w:hanging="1701"/>
      <w:outlineLvl w:val="4"/>
    </w:pPr>
    <w:rPr>
      <w:sz w:val="22"/>
    </w:rPr>
  </w:style>
  <w:style w:type="paragraph" w:styleId="7">
    <w:name w:val="heading 6"/>
    <w:basedOn w:val="8"/>
    <w:next w:val="1"/>
    <w:link w:val="128"/>
    <w:qFormat/>
    <w:uiPriority w:val="0"/>
    <w:pPr>
      <w:outlineLvl w:val="5"/>
    </w:pPr>
  </w:style>
  <w:style w:type="paragraph" w:styleId="9">
    <w:name w:val="heading 7"/>
    <w:basedOn w:val="8"/>
    <w:next w:val="1"/>
    <w:link w:val="129"/>
    <w:qFormat/>
    <w:uiPriority w:val="0"/>
    <w:pPr>
      <w:outlineLvl w:val="6"/>
    </w:pPr>
  </w:style>
  <w:style w:type="paragraph" w:styleId="10">
    <w:name w:val="heading 8"/>
    <w:basedOn w:val="2"/>
    <w:next w:val="1"/>
    <w:link w:val="130"/>
    <w:qFormat/>
    <w:uiPriority w:val="0"/>
    <w:pPr>
      <w:ind w:left="0" w:firstLine="0"/>
      <w:outlineLvl w:val="7"/>
    </w:pPr>
  </w:style>
  <w:style w:type="paragraph" w:styleId="11">
    <w:name w:val="heading 9"/>
    <w:basedOn w:val="10"/>
    <w:next w:val="1"/>
    <w:link w:val="131"/>
    <w:qFormat/>
    <w:uiPriority w:val="0"/>
    <w:pPr>
      <w:outlineLvl w:val="8"/>
    </w:pPr>
  </w:style>
  <w:style w:type="character" w:default="1" w:styleId="53">
    <w:name w:val="Default Paragraph Font"/>
    <w:semiHidden/>
    <w:unhideWhenUsed/>
    <w:uiPriority w:val="1"/>
  </w:style>
  <w:style w:type="table" w:default="1" w:styleId="51">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4"/>
    <w:uiPriority w:val="0"/>
    <w:pPr>
      <w:spacing w:after="120"/>
      <w:jc w:val="both"/>
    </w:pPr>
    <w:rPr>
      <w:lang w:eastAsia="zh-CN"/>
    </w:rPr>
  </w:style>
  <w:style w:type="paragraph" w:styleId="16">
    <w:name w:val="toc 7"/>
    <w:basedOn w:val="17"/>
    <w:next w:val="1"/>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uiPriority w:val="39"/>
    <w:pPr>
      <w:tabs>
        <w:tab w:val="right" w:leader="dot" w:pos="9639"/>
      </w:tabs>
      <w:ind w:left="1134" w:hanging="1134"/>
    </w:pPr>
  </w:style>
  <w:style w:type="paragraph" w:styleId="21">
    <w:name w:val="toc 2"/>
    <w:basedOn w:val="22"/>
    <w:next w:val="1"/>
    <w:uiPriority w:val="39"/>
    <w:pPr>
      <w:keepNext w:val="0"/>
      <w:tabs>
        <w:tab w:val="right" w:leader="dot" w:pos="9639"/>
      </w:tabs>
      <w:spacing w:before="0"/>
      <w:ind w:left="851" w:hanging="851"/>
    </w:pPr>
    <w:rPr>
      <w:sz w:val="20"/>
    </w:rPr>
  </w:style>
  <w:style w:type="paragraph" w:styleId="22">
    <w:name w:val="toc 1"/>
    <w:next w:val="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uiPriority w:val="0"/>
    <w:pPr>
      <w:numPr>
        <w:ilvl w:val="0"/>
        <w:numId w:val="1"/>
      </w:numPr>
    </w:pPr>
  </w:style>
  <w:style w:type="paragraph" w:styleId="24">
    <w:name w:val="List Number"/>
    <w:basedOn w:val="14"/>
    <w:uiPriority w:val="0"/>
    <w:pPr>
      <w:numPr>
        <w:ilvl w:val="0"/>
        <w:numId w:val="2"/>
      </w:numPr>
    </w:pPr>
    <w:rPr>
      <w:lang w:eastAsia="ja-JP"/>
    </w:rPr>
  </w:style>
  <w:style w:type="paragraph" w:styleId="25">
    <w:name w:val="List Bullet 4"/>
    <w:basedOn w:val="26"/>
    <w:uiPriority w:val="0"/>
    <w:pPr>
      <w:numPr>
        <w:numId w:val="3"/>
      </w:numPr>
    </w:pPr>
  </w:style>
  <w:style w:type="paragraph" w:styleId="26">
    <w:name w:val="List Bullet 3"/>
    <w:basedOn w:val="27"/>
    <w:uiPriority w:val="0"/>
    <w:pPr>
      <w:numPr>
        <w:numId w:val="4"/>
      </w:numPr>
    </w:pPr>
  </w:style>
  <w:style w:type="paragraph" w:styleId="27">
    <w:name w:val="List Bullet 2"/>
    <w:basedOn w:val="28"/>
    <w:uiPriority w:val="0"/>
    <w:pPr>
      <w:numPr>
        <w:ilvl w:val="0"/>
        <w:numId w:val="5"/>
      </w:numPr>
    </w:pPr>
  </w:style>
  <w:style w:type="paragraph" w:styleId="28">
    <w:name w:val="List Bullet"/>
    <w:basedOn w:val="14"/>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uiPriority w:val="0"/>
    <w:pPr>
      <w:numPr>
        <w:numId w:val="7"/>
      </w:numPr>
      <w:contextualSpacing/>
    </w:pPr>
  </w:style>
  <w:style w:type="paragraph" w:styleId="33">
    <w:name w:val="List Continue"/>
    <w:basedOn w:val="1"/>
    <w:uiPriority w:val="0"/>
    <w:pPr>
      <w:spacing w:after="120"/>
      <w:ind w:left="283"/>
      <w:contextualSpacing/>
    </w:pPr>
  </w:style>
  <w:style w:type="paragraph" w:styleId="34">
    <w:name w:val="Plain Text"/>
    <w:basedOn w:val="1"/>
    <w:link w:val="139"/>
    <w:uiPriority w:val="0"/>
    <w:rPr>
      <w:rFonts w:ascii="Courier New" w:hAnsi="Courier New"/>
      <w:lang w:val="nb-NO"/>
    </w:rPr>
  </w:style>
  <w:style w:type="paragraph" w:styleId="35">
    <w:name w:val="List Bullet 5"/>
    <w:basedOn w:val="25"/>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8"/>
    <w:uiPriority w:val="0"/>
    <w:pPr>
      <w:spacing w:after="0"/>
    </w:pPr>
    <w:rPr>
      <w:rFonts w:ascii="Segoe UI" w:hAnsi="Segoe UI" w:cs="Segoe UI"/>
      <w:sz w:val="18"/>
      <w:szCs w:val="18"/>
    </w:rPr>
  </w:style>
  <w:style w:type="paragraph" w:styleId="38">
    <w:name w:val="footer"/>
    <w:basedOn w:val="39"/>
    <w:link w:val="121"/>
    <w:qFormat/>
    <w:uiPriority w:val="99"/>
    <w:pPr>
      <w:jc w:val="center"/>
    </w:pPr>
    <w:rPr>
      <w:i/>
    </w:rPr>
  </w:style>
  <w:style w:type="paragraph" w:styleId="39">
    <w:name w:val="header"/>
    <w:link w:val="120"/>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40">
    <w:name w:val="index heading"/>
    <w:basedOn w:val="1"/>
    <w:next w:val="1"/>
    <w:uiPriority w:val="0"/>
    <w:pPr>
      <w:pBdr>
        <w:top w:val="single" w:color="auto" w:sz="12" w:space="0"/>
      </w:pBdr>
      <w:spacing w:before="360" w:after="240"/>
    </w:pPr>
    <w:rPr>
      <w:b/>
      <w:i/>
      <w:sz w:val="26"/>
      <w:lang w:eastAsia="en-GB"/>
    </w:rPr>
  </w:style>
  <w:style w:type="paragraph" w:styleId="41">
    <w:name w:val="footnote text"/>
    <w:basedOn w:val="1"/>
    <w:link w:val="122"/>
    <w:uiPriority w:val="0"/>
    <w:pPr>
      <w:keepLines/>
      <w:spacing w:after="0"/>
      <w:ind w:left="454" w:hanging="454"/>
    </w:pPr>
    <w:rPr>
      <w:sz w:val="16"/>
    </w:rPr>
  </w:style>
  <w:style w:type="paragraph" w:styleId="42">
    <w:name w:val="List 5"/>
    <w:basedOn w:val="43"/>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uiPriority w:val="0"/>
    <w:pPr>
      <w:spacing w:after="120"/>
      <w:ind w:left="566"/>
      <w:contextualSpacing/>
    </w:pPr>
  </w:style>
  <w:style w:type="paragraph" w:styleId="47">
    <w:name w:val="Normal (Web)"/>
    <w:basedOn w:val="1"/>
    <w:unhideWhenUsed/>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uiPriority w:val="0"/>
    <w:pPr>
      <w:keepLines/>
      <w:spacing w:after="0"/>
    </w:pPr>
  </w:style>
  <w:style w:type="paragraph" w:styleId="49">
    <w:name w:val="index 2"/>
    <w:basedOn w:val="48"/>
    <w:next w:val="1"/>
    <w:uiPriority w:val="0"/>
    <w:pPr>
      <w:ind w:left="284"/>
    </w:pPr>
  </w:style>
  <w:style w:type="paragraph" w:styleId="50">
    <w:name w:val="annotation subject"/>
    <w:basedOn w:val="31"/>
    <w:next w:val="31"/>
    <w:link w:val="110"/>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uiPriority w:val="0"/>
  </w:style>
  <w:style w:type="character" w:styleId="56">
    <w:name w:val="FollowedHyperlink"/>
    <w:unhideWhenUsed/>
    <w:uiPriority w:val="0"/>
    <w:rPr>
      <w:color w:val="800080"/>
      <w:u w:val="single"/>
    </w:rPr>
  </w:style>
  <w:style w:type="character" w:styleId="57">
    <w:name w:val="Emphasis"/>
    <w:qFormat/>
    <w:uiPriority w:val="0"/>
    <w:rPr>
      <w:i/>
      <w:iCs/>
    </w:rPr>
  </w:style>
  <w:style w:type="character" w:styleId="58">
    <w:name w:val="Hyperlink"/>
    <w:qFormat/>
    <w:uiPriority w:val="0"/>
    <w:rPr>
      <w:color w:val="0000FF"/>
      <w:u w:val="single"/>
    </w:rPr>
  </w:style>
  <w:style w:type="character" w:styleId="59">
    <w:name w:val="HTML Code"/>
    <w:unhideWhenUsed/>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uiPriority w:val="0"/>
    <w:rPr>
      <w:b/>
      <w:position w:val="6"/>
      <w:sz w:val="16"/>
    </w:rPr>
  </w:style>
  <w:style w:type="paragraph" w:customStyle="1" w:styleId="62">
    <w:name w:val="Figure"/>
    <w:basedOn w:val="1"/>
    <w:next w:val="29"/>
    <w:uiPriority w:val="0"/>
    <w:pPr>
      <w:keepNext/>
      <w:keepLines/>
      <w:spacing w:before="180"/>
      <w:jc w:val="center"/>
    </w:pPr>
  </w:style>
  <w:style w:type="paragraph" w:customStyle="1" w:styleId="63">
    <w:name w:val="3GPP_Header"/>
    <w:basedOn w:val="15"/>
    <w:uiPriority w:val="0"/>
    <w:pPr>
      <w:tabs>
        <w:tab w:val="left" w:pos="1701"/>
        <w:tab w:val="right" w:pos="9639"/>
      </w:tabs>
      <w:spacing w:after="240"/>
    </w:pPr>
    <w:rPr>
      <w:b/>
      <w:sz w:val="24"/>
    </w:rPr>
  </w:style>
  <w:style w:type="paragraph" w:customStyle="1" w:styleId="64">
    <w:name w:val="EQ"/>
    <w:basedOn w:val="1"/>
    <w:next w:val="1"/>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uiPriority w:val="0"/>
    <w:pPr>
      <w:keepLines/>
      <w:ind w:left="1135" w:hanging="851"/>
    </w:pPr>
  </w:style>
  <w:style w:type="paragraph" w:customStyle="1" w:styleId="67">
    <w:name w:val="Reference"/>
    <w:basedOn w:val="15"/>
    <w:uiPriority w:val="0"/>
    <w:pPr>
      <w:numPr>
        <w:ilvl w:val="0"/>
        <w:numId w:val="9"/>
      </w:numPr>
    </w:pPr>
  </w:style>
  <w:style w:type="character" w:customStyle="1" w:styleId="68">
    <w:name w:val="제목 1 Char"/>
    <w:link w:val="2"/>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본문 Char"/>
    <w:link w:val="15"/>
    <w:uiPriority w:val="0"/>
    <w:rPr>
      <w:rFonts w:ascii="Arial" w:hAnsi="Arial"/>
      <w:lang w:eastAsia="zh-CN"/>
    </w:rPr>
  </w:style>
  <w:style w:type="paragraph" w:customStyle="1" w:styleId="75">
    <w:name w:val="B5"/>
    <w:basedOn w:val="42"/>
    <w:link w:val="102"/>
    <w:uiPriority w:val="0"/>
    <w:rPr>
      <w:rFonts w:ascii="Times New Roman" w:hAnsi="Times New Roman"/>
    </w:rPr>
  </w:style>
  <w:style w:type="paragraph" w:customStyle="1" w:styleId="76">
    <w:name w:val="EX"/>
    <w:basedOn w:val="1"/>
    <w:uiPriority w:val="0"/>
    <w:pPr>
      <w:keepLines/>
      <w:ind w:left="1702" w:hanging="1418"/>
    </w:pPr>
  </w:style>
  <w:style w:type="paragraph" w:customStyle="1" w:styleId="77">
    <w:name w:val="EW"/>
    <w:basedOn w:val="76"/>
    <w:uiPriority w:val="0"/>
    <w:pPr>
      <w:spacing w:after="0"/>
    </w:pPr>
  </w:style>
  <w:style w:type="paragraph" w:customStyle="1" w:styleId="78">
    <w:name w:val="TAL"/>
    <w:basedOn w:val="1"/>
    <w:link w:val="140"/>
    <w:qFormat/>
    <w:uiPriority w:val="0"/>
    <w:pPr>
      <w:keepNext/>
      <w:keepLines/>
      <w:spacing w:after="0"/>
    </w:pPr>
    <w:rPr>
      <w:sz w:val="18"/>
      <w:lang w:val="zh-CN" w:eastAsia="zh-CN"/>
    </w:rPr>
  </w:style>
  <w:style w:type="paragraph" w:customStyle="1" w:styleId="79">
    <w:name w:val="TAC"/>
    <w:basedOn w:val="78"/>
    <w:uiPriority w:val="0"/>
    <w:pPr>
      <w:jc w:val="center"/>
    </w:pPr>
  </w:style>
  <w:style w:type="paragraph" w:customStyle="1" w:styleId="80">
    <w:name w:val="TAH"/>
    <w:basedOn w:val="79"/>
    <w:link w:val="141"/>
    <w:qFormat/>
    <w:uiPriority w:val="0"/>
    <w:rPr>
      <w:b/>
    </w:rPr>
  </w:style>
  <w:style w:type="paragraph" w:customStyle="1" w:styleId="81">
    <w:name w:val="TAN"/>
    <w:basedOn w:val="78"/>
    <w:qFormat/>
    <w:uiPriority w:val="0"/>
    <w:pPr>
      <w:ind w:left="851" w:hanging="851"/>
    </w:pPr>
  </w:style>
  <w:style w:type="paragraph" w:customStyle="1" w:styleId="82">
    <w:name w:val="TAR"/>
    <w:basedOn w:val="78"/>
    <w:uiPriority w:val="0"/>
    <w:pPr>
      <w:jc w:val="right"/>
    </w:pPr>
  </w:style>
  <w:style w:type="paragraph" w:customStyle="1" w:styleId="83">
    <w:name w:val="TH"/>
    <w:basedOn w:val="1"/>
    <w:link w:val="142"/>
    <w:qFormat/>
    <w:uiPriority w:val="0"/>
    <w:pPr>
      <w:keepNext/>
      <w:keepLines/>
      <w:spacing w:before="60"/>
      <w:jc w:val="center"/>
    </w:pPr>
    <w:rPr>
      <w:b/>
      <w:lang w:val="zh-CN" w:eastAsia="zh-CN"/>
    </w:rPr>
  </w:style>
  <w:style w:type="paragraph" w:customStyle="1" w:styleId="84">
    <w:name w:val="TF"/>
    <w:basedOn w:val="83"/>
    <w:link w:val="146"/>
    <w:qFormat/>
    <w:uiPriority w:val="0"/>
    <w:pPr>
      <w:keepNext w:val="0"/>
      <w:spacing w:before="0" w:after="240"/>
    </w:pPr>
  </w:style>
  <w:style w:type="paragraph" w:customStyle="1" w:styleId="85">
    <w:name w:val="TT"/>
    <w:basedOn w:val="2"/>
    <w:next w:val="1"/>
    <w:uiPriority w:val="0"/>
    <w:pPr>
      <w:outlineLvl w:val="9"/>
    </w:pPr>
  </w:style>
  <w:style w:type="paragraph" w:customStyle="1" w:styleId="86">
    <w:name w:val="ZA"/>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87">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88">
    <w:name w:val="ZD"/>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89">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character" w:customStyle="1" w:styleId="90">
    <w:name w:val="ZGSM"/>
    <w:uiPriority w:val="0"/>
  </w:style>
  <w:style w:type="paragraph" w:customStyle="1" w:styleId="91">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92">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uiPriority w:val="0"/>
    <w:pPr>
      <w:framePr w:hRule="auto" w:y="852"/>
    </w:pPr>
    <w:rPr>
      <w:i w:val="0"/>
      <w:sz w:val="40"/>
    </w:rPr>
  </w:style>
  <w:style w:type="paragraph" w:customStyle="1" w:styleId="94">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95">
    <w:name w:val="ZV"/>
    <w:basedOn w:val="94"/>
    <w:uiPriority w:val="0"/>
    <w:pPr>
      <w:framePr w:y="16161"/>
    </w:pPr>
  </w:style>
  <w:style w:type="paragraph" w:customStyle="1" w:styleId="96">
    <w:name w:val="FP"/>
    <w:basedOn w:val="1"/>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uiPriority w:val="0"/>
    <w:rPr>
      <w:rFonts w:ascii="Times New Roman" w:hAnsi="Times New Roman"/>
      <w:lang w:eastAsia="ja-JP"/>
    </w:rPr>
  </w:style>
  <w:style w:type="paragraph" w:customStyle="1" w:styleId="103">
    <w:name w:val="B6"/>
    <w:basedOn w:val="75"/>
    <w:link w:val="104"/>
    <w:uiPriority w:val="0"/>
    <w:pPr>
      <w:ind w:left="1985"/>
    </w:pPr>
  </w:style>
  <w:style w:type="character" w:customStyle="1" w:styleId="104">
    <w:name w:val="B6 Char"/>
    <w:link w:val="103"/>
    <w:uiPriority w:val="0"/>
    <w:rPr>
      <w:rFonts w:ascii="Times New Roman" w:hAnsi="Times New Roman"/>
      <w:lang w:eastAsia="ja-JP"/>
    </w:rPr>
  </w:style>
  <w:style w:type="paragraph" w:customStyle="1" w:styleId="105">
    <w:name w:val="B7"/>
    <w:basedOn w:val="103"/>
    <w:link w:val="106"/>
    <w:uiPriority w:val="0"/>
    <w:pPr>
      <w:ind w:left="2269"/>
    </w:pPr>
  </w:style>
  <w:style w:type="character" w:customStyle="1" w:styleId="106">
    <w:name w:val="B7 Char"/>
    <w:basedOn w:val="104"/>
    <w:link w:val="105"/>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풍선 도움말 텍스트 Char"/>
    <w:link w:val="37"/>
    <w:uiPriority w:val="0"/>
    <w:rPr>
      <w:rFonts w:ascii="Segoe UI" w:hAnsi="Segoe UI" w:cs="Segoe UI"/>
      <w:sz w:val="18"/>
      <w:szCs w:val="18"/>
      <w:lang w:eastAsia="ja-JP"/>
    </w:rPr>
  </w:style>
  <w:style w:type="character" w:customStyle="1" w:styleId="109">
    <w:name w:val="메모 텍스트 Char"/>
    <w:link w:val="31"/>
    <w:qFormat/>
    <w:uiPriority w:val="99"/>
    <w:rPr>
      <w:rFonts w:ascii="Times New Roman" w:hAnsi="Times New Roman"/>
      <w:lang w:eastAsia="ja-JP"/>
    </w:rPr>
  </w:style>
  <w:style w:type="character" w:customStyle="1" w:styleId="110">
    <w:name w:val="메모 주제 Char"/>
    <w:link w:val="50"/>
    <w:uiPriority w:val="0"/>
    <w:rPr>
      <w:rFonts w:ascii="Times New Roman" w:hAnsi="Times New Roman"/>
      <w:b/>
      <w:bCs/>
      <w:lang w:eastAsia="ja-JP"/>
    </w:rPr>
  </w:style>
  <w:style w:type="paragraph" w:customStyle="1" w:styleId="111">
    <w:name w:val="CR Cover Page"/>
    <w:link w:val="112"/>
    <w:qFormat/>
    <w:uiPriority w:val="0"/>
    <w:pPr>
      <w:spacing w:after="120"/>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문서 구조 Char"/>
    <w:link w:val="30"/>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
    <w:link w:val="161"/>
    <w:qFormat/>
    <w:uiPriority w:val="0"/>
    <w:pPr>
      <w:numPr>
        <w:ilvl w:val="0"/>
        <w:numId w:val="12"/>
      </w:numPr>
      <w:spacing w:before="40" w:after="0"/>
    </w:pPr>
    <w:rPr>
      <w:rFonts w:eastAsia="MS Mincho"/>
      <w:b/>
      <w:szCs w:val="24"/>
      <w:lang w:eastAsia="en-GB"/>
    </w:rPr>
  </w:style>
  <w:style w:type="paragraph" w:customStyle="1" w:styleId="119">
    <w:name w:val="Figure_Title"/>
    <w:basedOn w:val="1"/>
    <w:next w:val="1"/>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0">
    <w:name w:val="머리글 Char"/>
    <w:link w:val="39"/>
    <w:uiPriority w:val="0"/>
    <w:rPr>
      <w:rFonts w:ascii="Arial" w:hAnsi="Arial"/>
      <w:b/>
      <w:sz w:val="18"/>
      <w:lang w:eastAsia="ja-JP"/>
    </w:rPr>
  </w:style>
  <w:style w:type="character" w:customStyle="1" w:styleId="121">
    <w:name w:val="바닥글 Char"/>
    <w:link w:val="38"/>
    <w:uiPriority w:val="99"/>
    <w:rPr>
      <w:rFonts w:ascii="Arial" w:hAnsi="Arial"/>
      <w:b/>
      <w:i/>
      <w:sz w:val="18"/>
      <w:lang w:eastAsia="ja-JP"/>
    </w:rPr>
  </w:style>
  <w:style w:type="character" w:customStyle="1" w:styleId="122">
    <w:name w:val="각주 텍스트 Char"/>
    <w:link w:val="41"/>
    <w:uiPriority w:val="0"/>
    <w:rPr>
      <w:rFonts w:ascii="Times New Roman" w:hAnsi="Times New Roman"/>
      <w:sz w:val="16"/>
      <w:lang w:eastAsia="ja-JP"/>
    </w:rPr>
  </w:style>
  <w:style w:type="paragraph" w:customStyle="1" w:styleId="123">
    <w:name w:val="Guidance"/>
    <w:basedOn w:val="1"/>
    <w:uiPriority w:val="0"/>
    <w:rPr>
      <w:i/>
      <w:color w:val="0000FF"/>
    </w:rPr>
  </w:style>
  <w:style w:type="character" w:customStyle="1" w:styleId="124">
    <w:name w:val="제목 2 Char"/>
    <w:link w:val="3"/>
    <w:uiPriority w:val="0"/>
    <w:rPr>
      <w:rFonts w:ascii="Arial" w:hAnsi="Arial"/>
      <w:sz w:val="32"/>
      <w:lang w:eastAsia="ja-JP"/>
    </w:rPr>
  </w:style>
  <w:style w:type="character" w:customStyle="1" w:styleId="125">
    <w:name w:val="제목 3 Char"/>
    <w:link w:val="4"/>
    <w:uiPriority w:val="0"/>
    <w:rPr>
      <w:rFonts w:ascii="Arial" w:hAnsi="Arial"/>
      <w:sz w:val="28"/>
      <w:lang w:eastAsia="ja-JP"/>
    </w:rPr>
  </w:style>
  <w:style w:type="character" w:customStyle="1" w:styleId="126">
    <w:name w:val="제목 4 Char"/>
    <w:link w:val="5"/>
    <w:uiPriority w:val="0"/>
    <w:rPr>
      <w:rFonts w:ascii="Arial" w:hAnsi="Arial"/>
      <w:sz w:val="24"/>
      <w:lang w:eastAsia="ja-JP"/>
    </w:rPr>
  </w:style>
  <w:style w:type="character" w:customStyle="1" w:styleId="127">
    <w:name w:val="제목 5 Char"/>
    <w:link w:val="6"/>
    <w:uiPriority w:val="0"/>
    <w:rPr>
      <w:rFonts w:ascii="Arial" w:hAnsi="Arial"/>
      <w:sz w:val="22"/>
      <w:lang w:eastAsia="ja-JP"/>
    </w:rPr>
  </w:style>
  <w:style w:type="character" w:customStyle="1" w:styleId="128">
    <w:name w:val="제목 6 Char"/>
    <w:link w:val="7"/>
    <w:uiPriority w:val="0"/>
    <w:rPr>
      <w:rFonts w:ascii="Arial" w:hAnsi="Arial"/>
      <w:lang w:eastAsia="ja-JP"/>
    </w:rPr>
  </w:style>
  <w:style w:type="character" w:customStyle="1" w:styleId="129">
    <w:name w:val="제목 7 Char"/>
    <w:link w:val="9"/>
    <w:uiPriority w:val="0"/>
    <w:rPr>
      <w:rFonts w:ascii="Arial" w:hAnsi="Arial"/>
      <w:lang w:eastAsia="ja-JP"/>
    </w:rPr>
  </w:style>
  <w:style w:type="character" w:customStyle="1" w:styleId="130">
    <w:name w:val="제목 8 Char"/>
    <w:link w:val="10"/>
    <w:uiPriority w:val="0"/>
    <w:rPr>
      <w:rFonts w:ascii="Arial" w:hAnsi="Arial"/>
      <w:sz w:val="36"/>
      <w:lang w:eastAsia="ja-JP"/>
    </w:rPr>
  </w:style>
  <w:style w:type="character" w:customStyle="1" w:styleId="131">
    <w:name w:val="제목 9 Char"/>
    <w:link w:val="11"/>
    <w:uiPriority w:val="0"/>
    <w:rPr>
      <w:rFonts w:ascii="Arial" w:hAnsi="Arial"/>
      <w:sz w:val="36"/>
      <w:lang w:eastAsia="ja-JP"/>
    </w:rPr>
  </w:style>
  <w:style w:type="paragraph" w:customStyle="1" w:styleId="132">
    <w:name w:val="LD"/>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styleId="133">
    <w:name w:val="List Paragraph"/>
    <w:basedOn w:val="1"/>
    <w:link w:val="134"/>
    <w:qFormat/>
    <w:uiPriority w:val="34"/>
    <w:pPr>
      <w:spacing w:after="0"/>
      <w:ind w:left="720"/>
    </w:pPr>
    <w:rPr>
      <w:rFonts w:ascii="Calibri" w:hAnsi="Calibri" w:eastAsia="Calibri"/>
      <w:sz w:val="22"/>
      <w:szCs w:val="22"/>
      <w:lang w:val="zh-CN" w:eastAsia="en-US"/>
    </w:rPr>
  </w:style>
  <w:style w:type="character" w:customStyle="1" w:styleId="134">
    <w:name w:val="목록 단락 Char"/>
    <w:link w:val="133"/>
    <w:locked/>
    <w:uiPriority w:val="34"/>
    <w:rPr>
      <w:rFonts w:ascii="Calibri" w:hAnsi="Calibri" w:eastAsia="Calibri"/>
      <w:sz w:val="22"/>
      <w:szCs w:val="22"/>
      <w:lang w:val="zh-CN" w:eastAsia="en-US"/>
    </w:rPr>
  </w:style>
  <w:style w:type="paragraph" w:customStyle="1" w:styleId="135">
    <w:name w:val="NF"/>
    <w:basedOn w:val="66"/>
    <w:uiPriority w:val="0"/>
    <w:pPr>
      <w:keepNext/>
      <w:spacing w:after="0"/>
    </w:pPr>
    <w:rPr>
      <w:sz w:val="18"/>
    </w:rPr>
  </w:style>
  <w:style w:type="paragraph" w:customStyle="1" w:styleId="136">
    <w:name w:val="NW"/>
    <w:basedOn w:val="66"/>
    <w:uiPriority w:val="0"/>
    <w:pPr>
      <w:spacing w:after="0"/>
    </w:pPr>
  </w:style>
  <w:style w:type="paragraph" w:customStyle="1" w:styleId="137">
    <w:name w:val="PL"/>
    <w:link w:val="138"/>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바탕" w:cs="Times New Roman"/>
      <w:sz w:val="16"/>
      <w:lang w:val="en-GB" w:eastAsia="sv-SE" w:bidi="ar-SA"/>
    </w:rPr>
  </w:style>
  <w:style w:type="character" w:customStyle="1" w:styleId="138">
    <w:name w:val="PL Char"/>
    <w:link w:val="137"/>
    <w:qFormat/>
    <w:uiPriority w:val="0"/>
    <w:rPr>
      <w:rFonts w:ascii="Courier New" w:hAnsi="Courier New" w:eastAsia="바탕"/>
      <w:sz w:val="16"/>
      <w:shd w:val="clear" w:color="auto" w:fill="E6E6E6"/>
      <w:lang w:eastAsia="sv-SE"/>
    </w:rPr>
  </w:style>
  <w:style w:type="character" w:customStyle="1" w:styleId="139">
    <w:name w:val="글자만 Char"/>
    <w:link w:val="34"/>
    <w:uiPriority w:val="0"/>
    <w:rPr>
      <w:rFonts w:ascii="Courier New" w:hAnsi="Courier New"/>
      <w:lang w:val="nb-NO" w:eastAsia="ja-JP"/>
    </w:rPr>
  </w:style>
  <w:style w:type="character" w:customStyle="1" w:styleId="140">
    <w:name w:val="TAL Car"/>
    <w:link w:val="78"/>
    <w:qFormat/>
    <w:uiPriority w:val="0"/>
    <w:rPr>
      <w:rFonts w:ascii="Arial" w:hAnsi="Arial"/>
      <w:sz w:val="18"/>
      <w:lang w:val="zh-CN" w:eastAsia="zh-CN"/>
    </w:rPr>
  </w:style>
  <w:style w:type="character" w:customStyle="1" w:styleId="141">
    <w:name w:val="TAH Car"/>
    <w:link w:val="80"/>
    <w:qFormat/>
    <w:locked/>
    <w:uiPriority w:val="0"/>
    <w:rPr>
      <w:rFonts w:ascii="Arial" w:hAnsi="Arial"/>
      <w:b/>
      <w:sz w:val="18"/>
      <w:lang w:val="zh-CN" w:eastAsia="zh-CN"/>
    </w:rPr>
  </w:style>
  <w:style w:type="character" w:customStyle="1" w:styleId="142">
    <w:name w:val="TH Char"/>
    <w:link w:val="83"/>
    <w:qFormat/>
    <w:uiPriority w:val="0"/>
    <w:rPr>
      <w:rFonts w:ascii="Arial" w:hAnsi="Arial"/>
      <w:b/>
      <w:lang w:val="zh-CN" w:eastAsia="zh-CN"/>
    </w:rPr>
  </w:style>
  <w:style w:type="paragraph" w:customStyle="1" w:styleId="143">
    <w:name w:val="TAJ"/>
    <w:basedOn w:val="83"/>
    <w:uiPriority w:val="0"/>
  </w:style>
  <w:style w:type="paragraph" w:customStyle="1" w:styleId="144">
    <w:name w:val="TAL Char Char"/>
    <w:basedOn w:val="1"/>
    <w:link w:val="145"/>
    <w:uiPriority w:val="0"/>
    <w:pPr>
      <w:keepNext/>
      <w:keepLines/>
      <w:spacing w:after="0"/>
    </w:pPr>
    <w:rPr>
      <w:rFonts w:eastAsia="Malgun Gothic"/>
      <w:sz w:val="18"/>
      <w:lang w:val="zh-CN" w:eastAsia="zh-CN"/>
    </w:rPr>
  </w:style>
  <w:style w:type="character" w:customStyle="1" w:styleId="145">
    <w:name w:val="TAL Char Char Char"/>
    <w:link w:val="144"/>
    <w:uiPriority w:val="0"/>
    <w:rPr>
      <w:rFonts w:ascii="Arial" w:hAnsi="Arial" w:eastAsia="Malgun Gothic"/>
      <w:sz w:val="18"/>
      <w:lang w:val="zh-CN" w:eastAsia="zh-CN"/>
    </w:rPr>
  </w:style>
  <w:style w:type="character" w:customStyle="1" w:styleId="146">
    <w:name w:val="TF Char"/>
    <w:link w:val="84"/>
    <w:qFormat/>
    <w:uiPriority w:val="0"/>
    <w:rPr>
      <w:rFonts w:ascii="Arial" w:hAnsi="Arial"/>
      <w:b/>
      <w:lang w:val="zh-CN" w:eastAsia="zh-CN"/>
    </w:rPr>
  </w:style>
  <w:style w:type="character" w:customStyle="1" w:styleId="147">
    <w:name w:val="Unresolved Mention1"/>
    <w:basedOn w:val="53"/>
    <w:semiHidden/>
    <w:unhideWhenUsed/>
    <w:uiPriority w:val="99"/>
    <w:rPr>
      <w:color w:val="808080"/>
      <w:shd w:val="clear" w:color="auto" w:fill="E6E6E6"/>
    </w:rPr>
  </w:style>
  <w:style w:type="paragraph" w:customStyle="1" w:styleId="148">
    <w:name w:val="Agreement"/>
    <w:basedOn w:val="1"/>
    <w:next w:val="1"/>
    <w:qFormat/>
    <w:uiPriority w:val="0"/>
    <w:pPr>
      <w:numPr>
        <w:ilvl w:val="0"/>
        <w:numId w:val="13"/>
      </w:numPr>
      <w:overflowPunct/>
      <w:autoSpaceDE/>
      <w:autoSpaceDN/>
      <w:adjustRightInd/>
      <w:spacing w:before="60" w:after="0"/>
      <w:textAlignment w:val="auto"/>
    </w:pPr>
    <w:rPr>
      <w:rFonts w:eastAsia="MS Mincho"/>
      <w:b/>
      <w:szCs w:val="24"/>
      <w:lang w:eastAsia="en-GB"/>
    </w:rPr>
  </w:style>
  <w:style w:type="table" w:customStyle="1" w:styleId="149">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1">
    <w:name w:val="B1 Char"/>
    <w:qFormat/>
    <w:uiPriority w:val="0"/>
    <w:rPr>
      <w:rFonts w:ascii="Times New Roman" w:hAnsi="Times New Roman"/>
      <w:lang w:val="en-GB" w:eastAsia="en-US"/>
    </w:rPr>
  </w:style>
  <w:style w:type="paragraph" w:customStyle="1" w:styleId="152">
    <w:name w:val="IvD Instructiontext"/>
    <w:basedOn w:val="15"/>
    <w:link w:val="153"/>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3">
    <w:name w:val="IvD Instructiontext Char"/>
    <w:link w:val="152"/>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4">
    <w:name w:val="IvD bodytext"/>
    <w:basedOn w:val="15"/>
    <w:link w:val="155"/>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5">
    <w:name w:val="IvD bodytext Char"/>
    <w:basedOn w:val="53"/>
    <w:link w:val="154"/>
    <w:uiPriority w:val="0"/>
    <w:rPr>
      <w:rFonts w:ascii="Arial" w:hAnsi="Arial" w:eastAsia="Times New Roman"/>
      <w:spacing w:val="2"/>
      <w:lang w:val="en-US" w:eastAsia="en-US"/>
    </w:rPr>
  </w:style>
  <w:style w:type="paragraph" w:customStyle="1" w:styleId="156">
    <w:name w:val="Revision"/>
    <w:hidden/>
    <w:semiHidden/>
    <w:uiPriority w:val="99"/>
    <w:rPr>
      <w:rFonts w:ascii="Times New Roman" w:hAnsi="Times New Roman" w:eastAsia="宋体" w:cs="Times New Roman"/>
      <w:lang w:val="en-GB" w:eastAsia="ja-JP" w:bidi="ar-SA"/>
    </w:rPr>
  </w:style>
  <w:style w:type="character" w:customStyle="1" w:styleId="157">
    <w:name w:val="B1 Zchn"/>
    <w:basedOn w:val="53"/>
    <w:semiHidden/>
    <w:locked/>
    <w:uiPriority w:val="0"/>
    <w:rPr>
      <w:lang w:eastAsia="en-US"/>
    </w:rPr>
  </w:style>
  <w:style w:type="paragraph" w:customStyle="1" w:styleId="158">
    <w:name w:val="Comments"/>
    <w:basedOn w:val="1"/>
    <w:link w:val="159"/>
    <w:qFormat/>
    <w:uiPriority w:val="0"/>
    <w:pPr>
      <w:overflowPunct/>
      <w:autoSpaceDE/>
      <w:autoSpaceDN/>
      <w:adjustRightInd/>
      <w:spacing w:before="40" w:after="0"/>
      <w:textAlignment w:val="auto"/>
    </w:pPr>
    <w:rPr>
      <w:rFonts w:eastAsia="MS Mincho"/>
      <w:i/>
      <w:sz w:val="18"/>
      <w:szCs w:val="24"/>
      <w:lang w:eastAsia="en-GB"/>
    </w:rPr>
  </w:style>
  <w:style w:type="character" w:customStyle="1" w:styleId="159">
    <w:name w:val="Comments Char"/>
    <w:link w:val="158"/>
    <w:qFormat/>
    <w:uiPriority w:val="0"/>
    <w:rPr>
      <w:rFonts w:ascii="Arial" w:hAnsi="Arial" w:eastAsia="MS Mincho"/>
      <w:i/>
      <w:sz w:val="18"/>
      <w:szCs w:val="24"/>
    </w:rPr>
  </w:style>
  <w:style w:type="table" w:customStyle="1" w:styleId="160">
    <w:name w:val="Table Grid3"/>
    <w:basedOn w:val="51"/>
    <w:uiPriority w:val="59"/>
    <w:pPr>
      <w:widowControl w:val="0"/>
      <w:autoSpaceDE w:val="0"/>
      <w:autoSpaceDN w:val="0"/>
      <w:adjustRightInd w:val="0"/>
    </w:pPr>
    <w:rPr>
      <w:rFonts w:ascii="Times New Roman" w:hAnsi="Times New Roman"/>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1">
    <w:name w:val="EmailDiscussion Char"/>
    <w:link w:val="118"/>
    <w:uiPriority w:val="0"/>
    <w:rPr>
      <w:rFonts w:ascii="Arial" w:hAnsi="Arial" w:eastAsia="MS Mincho"/>
      <w:b/>
      <w:szCs w:val="24"/>
    </w:rPr>
  </w:style>
  <w:style w:type="paragraph" w:customStyle="1" w:styleId="162">
    <w:name w:val="EmailDiscussion2"/>
    <w:basedOn w:val="113"/>
    <w:qFormat/>
    <w:uiPriority w:val="99"/>
    <w:pPr>
      <w:overflowPunct/>
      <w:autoSpaceDE/>
      <w:autoSpaceDN/>
      <w:adjustRightInd/>
      <w:textAlignment w:val="auto"/>
    </w:pPr>
    <w:rPr>
      <w:lang w:val="en-GB" w:eastAsia="en-GB"/>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
    <w:link w:val="166"/>
    <w:qFormat/>
    <w:uiPriority w:val="0"/>
    <w:pPr>
      <w:overflowPunct/>
      <w:autoSpaceDE/>
      <w:autoSpaceDN/>
      <w:adjustRightInd/>
      <w:spacing w:before="240" w:after="60"/>
      <w:textAlignment w:val="auto"/>
      <w:outlineLvl w:val="8"/>
    </w:pPr>
    <w:rPr>
      <w:rFonts w:eastAsia="MS Mincho"/>
      <w:b/>
      <w:szCs w:val="24"/>
      <w:lang w:eastAsia="en-GB"/>
    </w:rPr>
  </w:style>
  <w:style w:type="character" w:customStyle="1" w:styleId="166">
    <w:name w:val="Bold Comments Char"/>
    <w:link w:val="165"/>
    <w:qFormat/>
    <w:uiPriority w:val="0"/>
    <w:rPr>
      <w:rFonts w:ascii="Arial" w:hAnsi="Arial" w:eastAsia="MS Mincho"/>
      <w:b/>
      <w:szCs w:val="24"/>
    </w:rPr>
  </w:style>
  <w:style w:type="paragraph" w:customStyle="1" w:styleId="167">
    <w:name w:val="Doc-comment"/>
    <w:basedOn w:val="1"/>
    <w:next w:val="1"/>
    <w:qFormat/>
    <w:uiPriority w:val="0"/>
    <w:pPr>
      <w:tabs>
        <w:tab w:val="left" w:pos="1622"/>
      </w:tabs>
      <w:overflowPunct/>
      <w:autoSpaceDE/>
      <w:autoSpaceDN/>
      <w:adjustRightInd/>
      <w:spacing w:after="0"/>
      <w:ind w:left="1622" w:hanging="363"/>
      <w:textAlignment w:val="auto"/>
    </w:pPr>
    <w:rPr>
      <w:rFonts w:eastAsia="MS Mincho"/>
      <w:i/>
      <w:szCs w:val="24"/>
      <w:lang w:eastAsia="en-GB"/>
    </w:rPr>
  </w:style>
  <w:style w:type="paragraph" w:customStyle="1" w:styleId="168">
    <w:name w:val="bullet"/>
    <w:basedOn w:val="133"/>
    <w:qFormat/>
    <w:uiPriority w:val="0"/>
    <w:pPr>
      <w:numPr>
        <w:ilvl w:val="0"/>
        <w:numId w:val="14"/>
      </w:numPr>
      <w:overflowPunct/>
      <w:autoSpaceDE/>
      <w:autoSpaceDN/>
      <w:adjustRightInd/>
      <w:contextualSpacing/>
      <w:textAlignment w:val="auto"/>
    </w:pPr>
    <w:rPr>
      <w:rFonts w:ascii="Times New Roman" w:hAnsi="Times New Roman" w:eastAsia="等线"/>
      <w:sz w:val="20"/>
      <w:szCs w:val="24"/>
      <w:lang w:val="en-US"/>
    </w:rPr>
  </w:style>
  <w:style w:type="paragraph" w:customStyle="1" w:styleId="169">
    <w:name w:val="x_xemaildiscussion20"/>
    <w:basedOn w:val="1"/>
    <w:uiPriority w:val="0"/>
    <w:pPr>
      <w:overflowPunct/>
      <w:autoSpaceDE/>
      <w:autoSpaceDN/>
      <w:adjustRightInd/>
      <w:spacing w:before="100" w:beforeAutospacing="1" w:after="100" w:afterAutospacing="1"/>
      <w:textAlignment w:val="auto"/>
    </w:pPr>
    <w:rPr>
      <w:rFonts w:ascii="Calibri" w:hAnsi="Calibri" w:cs="Calibri" w:eastAsiaTheme="minorEastAsia"/>
      <w:sz w:val="22"/>
      <w:szCs w:val="22"/>
      <w:lang w:eastAsia="zh-CN"/>
    </w:rPr>
  </w:style>
  <w:style w:type="character" w:customStyle="1" w:styleId="170">
    <w:name w:val="Unresolved Mention2"/>
    <w:basedOn w:val="53"/>
    <w:semiHidden/>
    <w:unhideWhenUsed/>
    <w:uiPriority w:val="99"/>
    <w:rPr>
      <w:color w:val="605E5C"/>
      <w:shd w:val="clear" w:color="auto" w:fill="E1DFDD"/>
    </w:rPr>
  </w:style>
  <w:style w:type="paragraph" w:customStyle="1" w:styleId="171">
    <w:name w:val="proposal text"/>
    <w:basedOn w:val="1"/>
    <w:qFormat/>
    <w:uiPriority w:val="0"/>
    <w:rPr>
      <w:rFonts w:ascii="Times New Roman" w:hAnsi="Times New Roman"/>
      <w:lang w:eastAsia="zh-CN"/>
    </w:rPr>
  </w:style>
  <w:style w:type="character" w:customStyle="1" w:styleId="172">
    <w:name w:val="Unresolved Mention3"/>
    <w:basedOn w:val="53"/>
    <w:semiHidden/>
    <w:unhideWhenUsed/>
    <w:uiPriority w:val="99"/>
    <w:rPr>
      <w:color w:val="605E5C"/>
      <w:shd w:val="clear" w:color="auto" w:fill="E1DFDD"/>
    </w:rPr>
  </w:style>
  <w:style w:type="paragraph" w:customStyle="1" w:styleId="173">
    <w:name w:val="x_x_xmsonormal"/>
    <w:basedOn w:val="1"/>
    <w:uiPriority w:val="0"/>
    <w:pPr>
      <w:overflowPunct/>
      <w:autoSpaceDE/>
      <w:autoSpaceDN/>
      <w:adjustRightInd/>
      <w:spacing w:before="100" w:beforeAutospacing="1" w:after="100" w:afterAutospacing="1"/>
      <w:textAlignment w:val="auto"/>
    </w:pPr>
    <w:rPr>
      <w:rFonts w:ascii="Times New Roman" w:hAnsi="Times New Roman" w:eastAsia="Times New Roman"/>
      <w:sz w:val="24"/>
      <w:szCs w:val="24"/>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8D1DB-85AF-4DC8-894E-EFF95A0FF537}">
  <ds:schemaRefs/>
</ds:datastoreItem>
</file>

<file path=customXml/itemProps3.xml><?xml version="1.0" encoding="utf-8"?>
<ds:datastoreItem xmlns:ds="http://schemas.openxmlformats.org/officeDocument/2006/customXml" ds:itemID="{8B854ED7-CCA7-494E-BACC-2120E68FAE93}">
  <ds:schemaRefs/>
</ds:datastoreItem>
</file>

<file path=customXml/itemProps4.xml><?xml version="1.0" encoding="utf-8"?>
<ds:datastoreItem xmlns:ds="http://schemas.openxmlformats.org/officeDocument/2006/customXml" ds:itemID="{4913694E-B112-4C60-90C2-6D76CB11DFB9}">
  <ds:schemaRefs/>
</ds:datastoreItem>
</file>

<file path=customXml/itemProps5.xml><?xml version="1.0" encoding="utf-8"?>
<ds:datastoreItem xmlns:ds="http://schemas.openxmlformats.org/officeDocument/2006/customXml" ds:itemID="{F8E46271-02B5-4F61-B299-E746730C5783}">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21</Pages>
  <Words>8122</Words>
  <Characters>46296</Characters>
  <Lines>385</Lines>
  <Paragraphs>108</Paragraphs>
  <TotalTime>15</TotalTime>
  <ScaleCrop>false</ScaleCrop>
  <LinksUpToDate>false</LinksUpToDate>
  <CharactersWithSpaces>54310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2021-08-19T08:30:00Z</dcterms:created>
  <dc:creator>Ericsson</dc:creator>
  <cp:keywords>3GPP; Ericsson; TDoc</cp:keywords>
  <cp:lastModifiedBy>ZTE DF</cp:lastModifiedBy>
  <cp:lastPrinted>2008-02-01T05:09:00Z</cp:lastPrinted>
  <dcterms:modified xsi:type="dcterms:W3CDTF">2021-08-19T12:12:03Z</dcterms:modified>
  <dc:title>Ericsson</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(2)UMF+ndC2XANPo+beR2oD+UdCg+sh8NzoQURwugBPLXaEm+7Ma8LMLIbVtc/nvcbBgG/+nPZs
E255zPzKIzp2LQyVjsJheVqN86ixAql0+SLDp7hG3/ctNCFUwDVHQ8Ur/h97ulNckdj73BlK
pCgdDnAiovSJxrdW+lTKOhM5KvBW/kIYkZKmdXob2+9PdU9HivjVro5iJ0DwpsFjbK+NiQOT
sA3K1EDphWdHe2txBT</vt:lpwstr>
  </property>
  <property fmtid="{D5CDD505-2E9C-101B-9397-08002B2CF9AE}" pid="5" name="_2015_ms_pID_7253431">
    <vt:lpwstr>b4360FvdU9i5RE7M/1iEofkKNCpGebYxyh6QGnjwBQtCj9cMVst87D
t/w29VCyUdb/TdAOyolT1VocWGN13Q+NGjVp8peyanyyDKkygsT5HPoG+Cqg+i+9r8Of2EKm
dTXqwqBd2y9yKiZNz9MPMBbYhDtMCvXkDOrnRRaie3oULOrYRFUivF1gA/txldLAuou/4ENT
ozqR0Txsigups4Cr</vt:lpwstr>
  </property>
  <property fmtid="{D5CDD505-2E9C-101B-9397-08002B2CF9AE}" pid="6" name="MSIP_Label_0359f705-2ba0-454b-9cfc-6ce5bcaac040_Enabled">
    <vt:lpwstr>true</vt:lpwstr>
  </property>
  <property fmtid="{D5CDD505-2E9C-101B-9397-08002B2CF9AE}" pid="7" name="MSIP_Label_0359f705-2ba0-454b-9cfc-6ce5bcaac040_SetDate">
    <vt:lpwstr>2021-08-18T16:38:01Z</vt:lpwstr>
  </property>
  <property fmtid="{D5CDD505-2E9C-101B-9397-08002B2CF9AE}" pid="8" name="MSIP_Label_0359f705-2ba0-454b-9cfc-6ce5bcaac040_Method">
    <vt:lpwstr>Standard</vt:lpwstr>
  </property>
  <property fmtid="{D5CDD505-2E9C-101B-9397-08002B2CF9AE}" pid="9" name="MSIP_Label_0359f705-2ba0-454b-9cfc-6ce5bcaac040_Name">
    <vt:lpwstr>0359f705-2ba0-454b-9cfc-6ce5bcaac040</vt:lpwstr>
  </property>
  <property fmtid="{D5CDD505-2E9C-101B-9397-08002B2CF9AE}" pid="10" name="MSIP_Label_0359f705-2ba0-454b-9cfc-6ce5bcaac040_SiteId">
    <vt:lpwstr>68283f3b-8487-4c86-adb3-a5228f18b893</vt:lpwstr>
  </property>
  <property fmtid="{D5CDD505-2E9C-101B-9397-08002B2CF9AE}" pid="11" name="MSIP_Label_0359f705-2ba0-454b-9cfc-6ce5bcaac040_ActionId">
    <vt:lpwstr>6b4bd7b3-21dc-4c3d-81ee-acf300b9be7b</vt:lpwstr>
  </property>
  <property fmtid="{D5CDD505-2E9C-101B-9397-08002B2CF9AE}" pid="12" name="MSIP_Label_0359f705-2ba0-454b-9cfc-6ce5bcaac040_ContentBits">
    <vt:lpwstr>2</vt:lpwstr>
  </property>
  <property fmtid="{D5CDD505-2E9C-101B-9397-08002B2CF9AE}" pid="13" name="KSOProductBuildVer">
    <vt:lpwstr>2052-11.8.2.9022</vt:lpwstr>
  </property>
</Properties>
</file>