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027][</w:t>
      </w:r>
      <w:proofErr w:type="gramEnd"/>
      <w:r w:rsidR="00CD204B" w:rsidRPr="00CD204B">
        <w:t>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w:t>
      </w:r>
      <w:proofErr w:type="gramStart"/>
      <w:r>
        <w:t>027][</w:t>
      </w:r>
      <w:proofErr w:type="gramEnd"/>
      <w:r>
        <w:t>NR16] CP Other &amp; LTE (Ericsson)</w:t>
      </w:r>
    </w:p>
    <w:p w14:paraId="564AF486" w14:textId="789896DC" w:rsidR="00714EC9" w:rsidRPr="00F36170" w:rsidRDefault="00714EC9" w:rsidP="00714EC9">
      <w:pPr>
        <w:pStyle w:val="Doc-text2"/>
      </w:pPr>
      <w:r>
        <w:tab/>
        <w:t xml:space="preserve">Scope: Determine agreeable parts and agree CRs, For </w:t>
      </w:r>
      <w:r w:rsidR="007556BC">
        <w:fldChar w:fldCharType="begin"/>
      </w:r>
      <w:r w:rsidR="007556BC">
        <w:instrText xml:space="preserve"> HYPERLINK "http://www.3gpp.org/ftp/tsg_ran/WG2_RL2//TSGR2_115-e/Docs//R2-2107285.zip"</w:instrText>
      </w:r>
      <w:r w:rsidR="007556BC">
        <w:instrText xml:space="preserve"> </w:instrText>
      </w:r>
      <w:r w:rsidR="007556BC">
        <w:fldChar w:fldCharType="separate"/>
      </w:r>
      <w:r w:rsidRPr="00EC556D">
        <w:rPr>
          <w:rStyle w:val="Hyperlink"/>
        </w:rPr>
        <w:t>R2-2107285</w:t>
      </w:r>
      <w:r w:rsidR="007556BC">
        <w:rPr>
          <w:rStyle w:val="Hyperlink"/>
        </w:rPr>
        <w:fldChar w:fldCharType="end"/>
      </w:r>
      <w:r>
        <w:t xml:space="preserve">-7288 await on-line treat remaining part if needed, Treat </w:t>
      </w:r>
      <w:r w:rsidR="007556BC">
        <w:fldChar w:fldCharType="begin"/>
      </w:r>
      <w:r w:rsidR="007556BC">
        <w:instrText xml:space="preserve"> HYPERLINK "http://www.3gpp.org/ftp/tsg_ran/WG2_RL2//TSGR2_115-e/Docs//R2-2108291.zip" </w:instrText>
      </w:r>
      <w:r w:rsidR="007556BC">
        <w:fldChar w:fldCharType="separate"/>
      </w:r>
      <w:r w:rsidRPr="00EC556D">
        <w:rPr>
          <w:rStyle w:val="Hyperlink"/>
        </w:rPr>
        <w:t>R2-2108291</w:t>
      </w:r>
      <w:r w:rsidR="007556BC">
        <w:rPr>
          <w:rStyle w:val="Hyperlink"/>
        </w:rPr>
        <w:fldChar w:fldCharType="end"/>
      </w:r>
      <w:r>
        <w:t xml:space="preserve">, </w:t>
      </w:r>
      <w:hyperlink r:id="rId11" w:history="1">
        <w:r w:rsidRPr="00EC556D">
          <w:rPr>
            <w:rStyle w:val="Hyperlink"/>
          </w:rPr>
          <w:t>R2-2107129</w:t>
        </w:r>
      </w:hyperlink>
      <w:r>
        <w:t>,</w:t>
      </w:r>
      <w:r w:rsidRPr="00744F59">
        <w:t xml:space="preserve"> </w:t>
      </w:r>
      <w:hyperlink r:id="rId12" w:history="1">
        <w:r w:rsidRPr="00EC556D">
          <w:rPr>
            <w:rStyle w:val="Hyperlink"/>
          </w:rPr>
          <w:t>R2-2107482</w:t>
        </w:r>
      </w:hyperlink>
      <w:r>
        <w:t>,</w:t>
      </w:r>
      <w:r w:rsidRPr="00744F59">
        <w:t xml:space="preserve"> </w:t>
      </w:r>
      <w:hyperlink r:id="rId13" w:history="1">
        <w:r w:rsidRPr="00EC556D">
          <w:rPr>
            <w:rStyle w:val="Hyperlink"/>
          </w:rPr>
          <w:t>R2-2106911</w:t>
        </w:r>
      </w:hyperlink>
      <w:r>
        <w:t>,</w:t>
      </w:r>
      <w:r w:rsidRPr="00744F59">
        <w:t xml:space="preserve"> </w:t>
      </w:r>
      <w:hyperlink r:id="rId14" w:history="1">
        <w:r w:rsidRPr="00EC556D">
          <w:rPr>
            <w:rStyle w:val="Hyperlink"/>
          </w:rPr>
          <w:t>R2-2108268</w:t>
        </w:r>
      </w:hyperlink>
      <w:r>
        <w:t>,</w:t>
      </w:r>
      <w:r w:rsidRPr="00744F59">
        <w:t xml:space="preserve"> </w:t>
      </w:r>
      <w:hyperlink r:id="rId15" w:history="1">
        <w:r w:rsidRPr="00EC556D">
          <w:rPr>
            <w:rStyle w:val="Hyperlink"/>
          </w:rPr>
          <w:t>R2-2107485</w:t>
        </w:r>
      </w:hyperlink>
      <w:r>
        <w:t>,</w:t>
      </w:r>
      <w:r w:rsidRPr="00744F59">
        <w:t xml:space="preserve"> </w:t>
      </w:r>
      <w:hyperlink r:id="rId16" w:history="1">
        <w:r w:rsidRPr="00EC556D">
          <w:rPr>
            <w:rStyle w:val="Hyperlink"/>
          </w:rPr>
          <w:t>R2-2106996</w:t>
        </w:r>
      </w:hyperlink>
      <w:r>
        <w:t>,</w:t>
      </w:r>
      <w:r w:rsidRPr="00744F59">
        <w:t xml:space="preserve"> </w:t>
      </w:r>
      <w:hyperlink r:id="rId17" w:history="1">
        <w:r w:rsidRPr="00EC556D">
          <w:rPr>
            <w:rStyle w:val="Hyperlink"/>
          </w:rPr>
          <w:t>R2-2108434</w:t>
        </w:r>
      </w:hyperlink>
      <w:r>
        <w:t>,</w:t>
      </w:r>
      <w:r w:rsidRPr="00744F59">
        <w:t xml:space="preserve"> </w:t>
      </w:r>
      <w:hyperlink r:id="rId18" w:history="1">
        <w:r w:rsidRPr="00EC556D">
          <w:rPr>
            <w:rStyle w:val="Hyperlink"/>
          </w:rPr>
          <w:t>R2-2108275</w:t>
        </w:r>
      </w:hyperlink>
      <w:r>
        <w:t>,</w:t>
      </w:r>
      <w:r w:rsidRPr="00744F59">
        <w:t xml:space="preserve"> </w:t>
      </w:r>
      <w:hyperlink r:id="rId19" w:history="1">
        <w:r w:rsidRPr="00EC556D">
          <w:rPr>
            <w:rStyle w:val="Hyperlink"/>
          </w:rPr>
          <w:t>R2-2108189</w:t>
        </w:r>
      </w:hyperlink>
      <w:r>
        <w:t xml:space="preserve">, </w:t>
      </w:r>
      <w:hyperlink r:id="rId20" w:history="1">
        <w:r w:rsidRPr="00EC556D">
          <w:rPr>
            <w:rStyle w:val="Hyperlink"/>
          </w:rPr>
          <w:t>R2-2108190</w:t>
        </w:r>
      </w:hyperlink>
      <w:r>
        <w:t xml:space="preserve">, </w:t>
      </w:r>
      <w:hyperlink r:id="rId21" w:history="1">
        <w:r w:rsidRPr="00EC556D">
          <w:rPr>
            <w:rStyle w:val="Hyperlink"/>
          </w:rPr>
          <w:t>R2-2108569</w:t>
        </w:r>
      </w:hyperlink>
      <w:r>
        <w:t xml:space="preserve">, </w:t>
      </w:r>
      <w:hyperlink r:id="rId22"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 xml:space="preserve">A first round with Deadline for comments Thursday Aug </w:t>
      </w:r>
      <w:proofErr w:type="gramStart"/>
      <w:r w:rsidR="008730ED" w:rsidRPr="008730ED">
        <w:rPr>
          <w:b/>
          <w:bCs/>
        </w:rPr>
        <w:t>19</w:t>
      </w:r>
      <w:proofErr w:type="gramEnd"/>
      <w:r w:rsidR="008730ED" w:rsidRPr="008730ED">
        <w:rPr>
          <w:b/>
          <w:bCs/>
        </w:rPr>
        <w:t xml:space="preserve">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7556BC" w:rsidP="00D543C4">
      <w:pPr>
        <w:pStyle w:val="Doc-title"/>
      </w:pPr>
      <w:hyperlink r:id="rId23"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7556BC" w:rsidP="00CF0831">
      <w:pPr>
        <w:pStyle w:val="Doc-title"/>
      </w:pPr>
      <w:hyperlink r:id="rId24"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7556BC" w:rsidP="00CF0831">
      <w:pPr>
        <w:pStyle w:val="Doc-title"/>
      </w:pPr>
      <w:hyperlink r:id="rId25"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7556BC" w:rsidP="00CF0831">
      <w:pPr>
        <w:pStyle w:val="Doc-title"/>
      </w:pPr>
      <w:hyperlink r:id="rId26"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proofErr w:type="spellStart"/>
      <w:r>
        <w:t>M</w:t>
      </w:r>
      <w:r w:rsidRPr="002E066B">
        <w:t>isc</w:t>
      </w:r>
      <w:proofErr w:type="spellEnd"/>
      <w:r w:rsidRPr="002E066B">
        <w:t xml:space="preserve"> </w:t>
      </w:r>
      <w:r>
        <w:rPr>
          <w:lang w:val="en-US"/>
        </w:rPr>
        <w:t>Corrections</w:t>
      </w:r>
    </w:p>
    <w:p w14:paraId="56504538" w14:textId="4ED11ECA" w:rsidR="00D72323" w:rsidRDefault="007556BC" w:rsidP="00D72323">
      <w:pPr>
        <w:pStyle w:val="Doc-title"/>
      </w:pPr>
      <w:hyperlink r:id="rId27"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7556BC" w:rsidP="008730ED">
      <w:pPr>
        <w:pStyle w:val="Doc-title"/>
      </w:pPr>
      <w:hyperlink r:id="rId28"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7556BC" w:rsidP="00D72323">
      <w:pPr>
        <w:pStyle w:val="Doc-title"/>
      </w:pPr>
      <w:hyperlink r:id="rId29"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7556BC" w:rsidP="00C555EE">
      <w:pPr>
        <w:pStyle w:val="Doc-title"/>
      </w:pPr>
      <w:hyperlink r:id="rId30"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7556BC" w:rsidP="00C555EE">
      <w:pPr>
        <w:pStyle w:val="Doc-title"/>
      </w:pPr>
      <w:hyperlink r:id="rId31" w:history="1">
        <w:r w:rsidR="00C555EE" w:rsidRPr="00EC556D">
          <w:rPr>
            <w:rStyle w:val="Hyperlink"/>
          </w:rPr>
          <w:t>R2-2106911</w:t>
        </w:r>
      </w:hyperlink>
      <w:r w:rsidR="00C555EE">
        <w:tab/>
        <w:t>LS on the description of RRC parameter p0-AlphaSets (</w:t>
      </w:r>
      <w:hyperlink r:id="rId32"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7556BC" w:rsidP="00C555EE">
      <w:pPr>
        <w:pStyle w:val="Doc-title"/>
      </w:pPr>
      <w:hyperlink r:id="rId33"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7556BC" w:rsidP="00C555EE">
      <w:pPr>
        <w:pStyle w:val="Doc-title"/>
      </w:pPr>
      <w:hyperlink r:id="rId34"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7556BC" w:rsidP="00C555EE">
      <w:pPr>
        <w:pStyle w:val="Doc-title"/>
      </w:pPr>
      <w:hyperlink r:id="rId35"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7556BC" w:rsidP="00C555EE">
      <w:pPr>
        <w:pStyle w:val="Doc-title"/>
      </w:pPr>
      <w:hyperlink r:id="rId36"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7556BC" w:rsidP="00964E90">
      <w:pPr>
        <w:pStyle w:val="Doc-title"/>
      </w:pPr>
      <w:hyperlink r:id="rId37"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7556BC" w:rsidP="00C555EE">
      <w:pPr>
        <w:pStyle w:val="Doc-title"/>
      </w:pPr>
      <w:hyperlink r:id="rId38"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7556BC" w:rsidP="00C555EE">
      <w:pPr>
        <w:pStyle w:val="Doc-title"/>
      </w:pPr>
      <w:hyperlink r:id="rId39"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7556BC" w:rsidP="00C555EE">
      <w:pPr>
        <w:pStyle w:val="Doc-title"/>
      </w:pPr>
      <w:hyperlink r:id="rId40"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7556BC" w:rsidP="00C555EE">
      <w:pPr>
        <w:pStyle w:val="Doc-title"/>
      </w:pPr>
      <w:hyperlink r:id="rId41"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3E2FBE"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336773"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336773"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77777777" w:rsidR="0072514A" w:rsidRPr="00716303" w:rsidRDefault="0072514A" w:rsidP="00336773">
            <w:pPr>
              <w:jc w:val="center"/>
              <w:rPr>
                <w:lang w:val="de-DE" w:eastAsia="zh-CN"/>
              </w:rPr>
            </w:pPr>
          </w:p>
        </w:tc>
      </w:tr>
      <w:tr w:rsidR="0072514A" w:rsidRPr="00336773"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716303" w:rsidRDefault="0072514A" w:rsidP="00336773">
            <w:pPr>
              <w:jc w:val="center"/>
              <w:rPr>
                <w:lang w:val="de-DE" w:eastAsia="zh-CN"/>
              </w:rPr>
            </w:pPr>
          </w:p>
        </w:tc>
      </w:tr>
      <w:tr w:rsidR="0072514A" w:rsidRPr="00336773"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09504420" w:rsidR="00D543C4" w:rsidRPr="00E14330" w:rsidRDefault="007556BC" w:rsidP="00D543C4">
      <w:pPr>
        <w:pStyle w:val="Doc-title"/>
      </w:pPr>
      <w:hyperlink r:id="rId42"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7556BC" w:rsidP="00D543C4">
      <w:pPr>
        <w:pStyle w:val="Doc-title"/>
      </w:pPr>
      <w:hyperlink r:id="rId43"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7556BC" w:rsidP="00D543C4">
      <w:pPr>
        <w:pStyle w:val="Doc-title"/>
      </w:pPr>
      <w:hyperlink r:id="rId44"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7556BC" w:rsidP="00D543C4">
      <w:pPr>
        <w:pStyle w:val="Doc-title"/>
      </w:pPr>
      <w:hyperlink r:id="rId45"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 xml:space="preserve">This topic was discussed </w:t>
      </w:r>
      <w:proofErr w:type="gramStart"/>
      <w:r>
        <w:rPr>
          <w:lang w:eastAsia="en-GB"/>
        </w:rPr>
        <w:t>at</w:t>
      </w:r>
      <w:proofErr w:type="gramEnd"/>
      <w:r>
        <w:rPr>
          <w:lang w:eastAsia="en-GB"/>
        </w:rPr>
        <w:t xml:space="preserve">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6"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77777777"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r>
      <w:proofErr w:type="spellStart"/>
      <w:r>
        <w:t>M</w:t>
      </w:r>
      <w:r w:rsidRPr="002E066B">
        <w:t>isc</w:t>
      </w:r>
      <w:proofErr w:type="spellEnd"/>
      <w:r w:rsidRPr="002E066B">
        <w:t xml:space="preserve"> </w:t>
      </w:r>
      <w:r>
        <w:t>Corrections</w:t>
      </w:r>
    </w:p>
    <w:p w14:paraId="0E2C6BFE" w14:textId="2611BC35" w:rsidR="008730ED" w:rsidRDefault="007556BC" w:rsidP="008730ED">
      <w:pPr>
        <w:pStyle w:val="Doc-title"/>
      </w:pPr>
      <w:hyperlink r:id="rId47"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72514A">
            <w:pPr>
              <w:pStyle w:val="ListParagraph"/>
              <w:numPr>
                <w:ilvl w:val="0"/>
                <w:numId w:val="4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72514A">
            <w:pPr>
              <w:pStyle w:val="Doc-text2"/>
              <w:numPr>
                <w:ilvl w:val="0"/>
                <w:numId w:val="47"/>
              </w:numPr>
              <w:rPr>
                <w:lang w:val="de-DE"/>
              </w:rPr>
            </w:pPr>
            <w:r>
              <w:rPr>
                <w:lang w:val="de-DE"/>
              </w:rPr>
              <w:t>R16 issues:</w:t>
            </w:r>
          </w:p>
          <w:p w14:paraId="02C3D982"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DengXian"/>
              </w:rPr>
            </w:pPr>
            <w:r w:rsidRPr="006F115B">
              <w:rPr>
                <w:rFonts w:eastAsia="DengXian"/>
              </w:rPr>
              <w:t>1&gt;</w:t>
            </w:r>
            <w:r w:rsidRPr="006F115B">
              <w:rPr>
                <w:rFonts w:eastAsia="DengXian"/>
              </w:rPr>
              <w:tab/>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72514A">
            <w:pPr>
              <w:pStyle w:val="Doc-text2"/>
              <w:numPr>
                <w:ilvl w:val="0"/>
                <w:numId w:val="48"/>
              </w:numPr>
            </w:pPr>
            <w:r w:rsidRPr="00612631">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72514A">
            <w:pPr>
              <w:pStyle w:val="Doc-text2"/>
              <w:numPr>
                <w:ilvl w:val="0"/>
                <w:numId w:val="4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72514A">
            <w:pPr>
              <w:pStyle w:val="ListParagraph"/>
              <w:numPr>
                <w:ilvl w:val="0"/>
                <w:numId w:val="4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72514A">
            <w:pPr>
              <w:pStyle w:val="ListParagraph"/>
              <w:numPr>
                <w:ilvl w:val="0"/>
                <w:numId w:val="4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lastRenderedPageBreak/>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7F20A7" w:rsidRPr="000005B0" w14:paraId="3D15A651" w14:textId="77777777" w:rsidTr="005B2801">
        <w:tc>
          <w:tcPr>
            <w:tcW w:w="1756" w:type="dxa"/>
          </w:tcPr>
          <w:p w14:paraId="080815B1" w14:textId="77777777" w:rsidR="007F20A7" w:rsidRPr="000F0F0B" w:rsidRDefault="007F20A7" w:rsidP="00EC556D">
            <w:pPr>
              <w:spacing w:after="0"/>
              <w:jc w:val="both"/>
              <w:rPr>
                <w:rFonts w:eastAsiaTheme="minorEastAsia"/>
                <w:noProof/>
                <w:lang w:eastAsia="zh-CN"/>
              </w:rPr>
            </w:pPr>
          </w:p>
        </w:tc>
        <w:tc>
          <w:tcPr>
            <w:tcW w:w="8020" w:type="dxa"/>
          </w:tcPr>
          <w:p w14:paraId="3934E3D8" w14:textId="77777777" w:rsidR="007F20A7" w:rsidRPr="000005B0" w:rsidRDefault="007F20A7" w:rsidP="00EC556D">
            <w:pPr>
              <w:spacing w:after="0"/>
              <w:jc w:val="both"/>
              <w:rPr>
                <w:noProof/>
              </w:rPr>
            </w:pPr>
          </w:p>
        </w:tc>
      </w:tr>
    </w:tbl>
    <w:p w14:paraId="5937B7CE" w14:textId="77777777" w:rsidR="008730ED" w:rsidRDefault="008730ED" w:rsidP="008730ED">
      <w:pPr>
        <w:pStyle w:val="Doc-text2"/>
        <w:ind w:left="0" w:firstLine="0"/>
        <w:rPr>
          <w:b/>
        </w:rPr>
      </w:pPr>
    </w:p>
    <w:p w14:paraId="49932D15" w14:textId="643E704D" w:rsidR="008730ED" w:rsidRDefault="007556BC" w:rsidP="008730ED">
      <w:pPr>
        <w:pStyle w:val="Doc-title"/>
      </w:pPr>
      <w:hyperlink r:id="rId48"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FE3EEA">
            <w:pPr>
              <w:pStyle w:val="Doc-text2"/>
              <w:numPr>
                <w:ilvl w:val="0"/>
                <w:numId w:val="4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FE3EEA">
            <w:pPr>
              <w:pStyle w:val="Doc-text2"/>
              <w:numPr>
                <w:ilvl w:val="0"/>
                <w:numId w:val="4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FE3EEA">
            <w:pPr>
              <w:pStyle w:val="Doc-text2"/>
              <w:numPr>
                <w:ilvl w:val="0"/>
                <w:numId w:val="4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FE3EEA">
            <w:pPr>
              <w:pStyle w:val="Doc-text2"/>
              <w:numPr>
                <w:ilvl w:val="0"/>
                <w:numId w:val="4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FE3EEA">
            <w:pPr>
              <w:pStyle w:val="Doc-text2"/>
              <w:numPr>
                <w:ilvl w:val="0"/>
                <w:numId w:val="4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FE3EEA">
            <w:pPr>
              <w:pStyle w:val="Doc-text2"/>
              <w:numPr>
                <w:ilvl w:val="0"/>
                <w:numId w:val="4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5B2801" w:rsidRPr="000005B0" w14:paraId="11B0371B" w14:textId="77777777" w:rsidTr="006C01F0">
        <w:tc>
          <w:tcPr>
            <w:tcW w:w="1756" w:type="dxa"/>
          </w:tcPr>
          <w:p w14:paraId="67476B46" w14:textId="77777777" w:rsidR="005B2801" w:rsidRPr="000F0F0B" w:rsidRDefault="005B2801" w:rsidP="006C01F0">
            <w:pPr>
              <w:spacing w:after="0"/>
              <w:jc w:val="both"/>
              <w:rPr>
                <w:rFonts w:eastAsiaTheme="minorEastAsia"/>
                <w:noProof/>
                <w:lang w:eastAsia="zh-CN"/>
              </w:rPr>
            </w:pPr>
          </w:p>
        </w:tc>
        <w:tc>
          <w:tcPr>
            <w:tcW w:w="1500" w:type="dxa"/>
          </w:tcPr>
          <w:p w14:paraId="39EB41E2" w14:textId="77777777" w:rsidR="005B2801" w:rsidRPr="000F0F0B" w:rsidRDefault="005B2801" w:rsidP="006C01F0">
            <w:pPr>
              <w:spacing w:after="0"/>
              <w:jc w:val="both"/>
              <w:rPr>
                <w:rFonts w:eastAsiaTheme="minorEastAsia"/>
                <w:noProof/>
                <w:lang w:eastAsia="zh-CN"/>
              </w:rPr>
            </w:pPr>
          </w:p>
        </w:tc>
        <w:tc>
          <w:tcPr>
            <w:tcW w:w="6378" w:type="dxa"/>
          </w:tcPr>
          <w:p w14:paraId="114B52B2" w14:textId="77777777" w:rsidR="005B2801" w:rsidRPr="000005B0" w:rsidRDefault="005B2801" w:rsidP="006C01F0">
            <w:pPr>
              <w:spacing w:after="0"/>
              <w:jc w:val="both"/>
              <w:rPr>
                <w:noProof/>
              </w:rPr>
            </w:pP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Heading3"/>
      </w:pPr>
      <w:r>
        <w:t>2.1.</w:t>
      </w:r>
      <w:r w:rsidR="00D543C4">
        <w:t>3</w:t>
      </w:r>
      <w:r>
        <w:tab/>
      </w:r>
      <w:proofErr w:type="spellStart"/>
      <w:r w:rsidRPr="006C6CBD">
        <w:t>eCall</w:t>
      </w:r>
      <w:proofErr w:type="spellEnd"/>
      <w:r w:rsidRPr="006C6CBD">
        <w:t xml:space="preserve"> over IMS</w:t>
      </w:r>
    </w:p>
    <w:p w14:paraId="57C7D422" w14:textId="2E1C36FE" w:rsidR="008730ED" w:rsidRDefault="007556BC" w:rsidP="008730ED">
      <w:pPr>
        <w:pStyle w:val="Doc-title"/>
      </w:pPr>
      <w:hyperlink r:id="rId49"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77777777" w:rsidR="005B2801" w:rsidRPr="000F0F0B" w:rsidRDefault="005B2801" w:rsidP="006C01F0">
            <w:pPr>
              <w:spacing w:after="0"/>
              <w:jc w:val="both"/>
              <w:rPr>
                <w:rFonts w:eastAsiaTheme="minorEastAsia"/>
                <w:noProof/>
                <w:lang w:eastAsia="zh-CN"/>
              </w:rPr>
            </w:pPr>
          </w:p>
        </w:tc>
        <w:tc>
          <w:tcPr>
            <w:tcW w:w="1500" w:type="dxa"/>
          </w:tcPr>
          <w:p w14:paraId="4B2BF1D1" w14:textId="77777777" w:rsidR="005B2801" w:rsidRPr="000F0F0B" w:rsidRDefault="005B2801" w:rsidP="006C01F0">
            <w:pPr>
              <w:spacing w:after="0"/>
              <w:jc w:val="both"/>
              <w:rPr>
                <w:rFonts w:eastAsiaTheme="minorEastAsia"/>
                <w:noProof/>
                <w:lang w:eastAsia="zh-CN"/>
              </w:rPr>
            </w:pPr>
          </w:p>
        </w:tc>
        <w:tc>
          <w:tcPr>
            <w:tcW w:w="6378" w:type="dxa"/>
          </w:tcPr>
          <w:p w14:paraId="6FE8C859" w14:textId="77777777" w:rsidR="005B2801" w:rsidRPr="000005B0" w:rsidRDefault="005B2801" w:rsidP="006C01F0">
            <w:pPr>
              <w:spacing w:after="0"/>
              <w:jc w:val="both"/>
              <w:rPr>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lastRenderedPageBreak/>
        <w:t>2.1.</w:t>
      </w:r>
      <w:r w:rsidR="00D543C4">
        <w:t>4</w:t>
      </w:r>
      <w:r>
        <w:tab/>
      </w:r>
      <w:r w:rsidRPr="00F464D6">
        <w:t>NR-U</w:t>
      </w:r>
    </w:p>
    <w:p w14:paraId="3E04D866" w14:textId="2B245E87" w:rsidR="008730ED" w:rsidRDefault="007556BC" w:rsidP="008730ED">
      <w:pPr>
        <w:pStyle w:val="Doc-title"/>
      </w:pPr>
      <w:hyperlink r:id="rId50"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77777777" w:rsidR="005B2801" w:rsidRPr="000F0F0B" w:rsidRDefault="005B2801" w:rsidP="006C01F0">
            <w:pPr>
              <w:spacing w:after="0"/>
              <w:jc w:val="both"/>
              <w:rPr>
                <w:rFonts w:eastAsiaTheme="minorEastAsia"/>
                <w:noProof/>
                <w:lang w:eastAsia="zh-CN"/>
              </w:rPr>
            </w:pPr>
          </w:p>
        </w:tc>
        <w:tc>
          <w:tcPr>
            <w:tcW w:w="1500" w:type="dxa"/>
          </w:tcPr>
          <w:p w14:paraId="0F80ED1D" w14:textId="77777777" w:rsidR="005B2801" w:rsidRPr="000F0F0B" w:rsidRDefault="005B2801" w:rsidP="006C01F0">
            <w:pPr>
              <w:spacing w:after="0"/>
              <w:jc w:val="both"/>
              <w:rPr>
                <w:rFonts w:eastAsiaTheme="minorEastAsia"/>
                <w:noProof/>
                <w:lang w:eastAsia="zh-CN"/>
              </w:rPr>
            </w:pPr>
          </w:p>
        </w:tc>
        <w:tc>
          <w:tcPr>
            <w:tcW w:w="6378" w:type="dxa"/>
          </w:tcPr>
          <w:p w14:paraId="60152B4E" w14:textId="77777777" w:rsidR="005B2801" w:rsidRPr="000005B0" w:rsidRDefault="005B2801" w:rsidP="006C01F0">
            <w:pPr>
              <w:spacing w:after="0"/>
              <w:jc w:val="both"/>
              <w:rPr>
                <w:noProof/>
              </w:rPr>
            </w:pPr>
          </w:p>
        </w:tc>
      </w:tr>
      <w:tr w:rsidR="005B2801" w:rsidRPr="000005B0" w14:paraId="04B56100" w14:textId="77777777" w:rsidTr="006C01F0">
        <w:tc>
          <w:tcPr>
            <w:tcW w:w="1756" w:type="dxa"/>
          </w:tcPr>
          <w:p w14:paraId="3E19920C" w14:textId="77777777" w:rsidR="005B2801" w:rsidRPr="000F0F0B" w:rsidRDefault="005B2801" w:rsidP="006C01F0">
            <w:pPr>
              <w:spacing w:after="0"/>
              <w:jc w:val="both"/>
              <w:rPr>
                <w:rFonts w:eastAsiaTheme="minorEastAsia"/>
                <w:noProof/>
                <w:lang w:eastAsia="zh-CN"/>
              </w:rPr>
            </w:pPr>
          </w:p>
        </w:tc>
        <w:tc>
          <w:tcPr>
            <w:tcW w:w="1500" w:type="dxa"/>
          </w:tcPr>
          <w:p w14:paraId="76049DB0" w14:textId="77777777" w:rsidR="005B2801" w:rsidRPr="000F0F0B" w:rsidRDefault="005B2801" w:rsidP="006C01F0">
            <w:pPr>
              <w:spacing w:after="0"/>
              <w:jc w:val="both"/>
              <w:rPr>
                <w:rFonts w:eastAsiaTheme="minorEastAsia"/>
                <w:noProof/>
                <w:lang w:eastAsia="zh-CN"/>
              </w:rPr>
            </w:pPr>
          </w:p>
        </w:tc>
        <w:tc>
          <w:tcPr>
            <w:tcW w:w="6378" w:type="dxa"/>
          </w:tcPr>
          <w:p w14:paraId="2A226625" w14:textId="77777777" w:rsidR="005B2801" w:rsidRPr="000005B0" w:rsidRDefault="005B2801" w:rsidP="006C01F0">
            <w:pPr>
              <w:spacing w:after="0"/>
              <w:jc w:val="both"/>
              <w:rPr>
                <w:noProof/>
              </w:rPr>
            </w:pPr>
          </w:p>
        </w:tc>
      </w:tr>
    </w:tbl>
    <w:p w14:paraId="3D570262" w14:textId="77777777" w:rsidR="005B2801" w:rsidRDefault="005B2801" w:rsidP="005B2801">
      <w:pPr>
        <w:pStyle w:val="Doc-text2"/>
        <w:ind w:left="0" w:firstLine="0"/>
        <w:rPr>
          <w: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7556BC" w:rsidP="008730ED">
      <w:pPr>
        <w:pStyle w:val="Doc-title"/>
      </w:pPr>
      <w:hyperlink r:id="rId51" w:history="1">
        <w:r w:rsidR="008730ED" w:rsidRPr="00EC556D">
          <w:rPr>
            <w:rStyle w:val="Hyperlink"/>
          </w:rPr>
          <w:t>R2-2106911</w:t>
        </w:r>
      </w:hyperlink>
      <w:r w:rsidR="008730ED">
        <w:tab/>
        <w:t>LS on the description of RRC parameter p0-AlphaSets (</w:t>
      </w:r>
      <w:hyperlink r:id="rId52"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7556BC" w:rsidP="00EC556D">
      <w:pPr>
        <w:pStyle w:val="Doc-title"/>
      </w:pPr>
      <w:hyperlink r:id="rId53"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77777777" w:rsidR="00EC556D" w:rsidRPr="000F0F0B" w:rsidRDefault="00EC556D" w:rsidP="00EC556D">
            <w:pPr>
              <w:spacing w:after="0"/>
              <w:jc w:val="both"/>
              <w:rPr>
                <w:rFonts w:eastAsiaTheme="minorEastAsia"/>
                <w:noProof/>
                <w:lang w:eastAsia="zh-CN"/>
              </w:rPr>
            </w:pPr>
          </w:p>
        </w:tc>
        <w:tc>
          <w:tcPr>
            <w:tcW w:w="1500" w:type="dxa"/>
          </w:tcPr>
          <w:p w14:paraId="359893A9" w14:textId="77777777" w:rsidR="00EC556D" w:rsidRPr="000F0F0B" w:rsidRDefault="00EC556D" w:rsidP="00EC556D">
            <w:pPr>
              <w:spacing w:after="0"/>
              <w:jc w:val="both"/>
              <w:rPr>
                <w:rFonts w:eastAsiaTheme="minorEastAsia"/>
                <w:noProof/>
                <w:lang w:eastAsia="zh-CN"/>
              </w:rPr>
            </w:pPr>
          </w:p>
        </w:tc>
        <w:tc>
          <w:tcPr>
            <w:tcW w:w="6378" w:type="dxa"/>
          </w:tcPr>
          <w:p w14:paraId="39657883" w14:textId="77777777" w:rsidR="00EC556D" w:rsidRPr="000005B0" w:rsidRDefault="00EC556D" w:rsidP="00EC556D">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7556BC" w:rsidP="008730ED">
      <w:pPr>
        <w:pStyle w:val="Doc-title"/>
      </w:pPr>
      <w:hyperlink r:id="rId54"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16880E11" w:rsidR="005B2801" w:rsidRPr="000F0F0B" w:rsidRDefault="005B2801" w:rsidP="006C01F0">
            <w:pPr>
              <w:spacing w:after="0"/>
              <w:jc w:val="both"/>
              <w:rPr>
                <w:rFonts w:eastAsiaTheme="minorEastAsia"/>
                <w:noProof/>
                <w:lang w:eastAsia="zh-CN"/>
              </w:rPr>
            </w:pPr>
          </w:p>
        </w:tc>
        <w:tc>
          <w:tcPr>
            <w:tcW w:w="1500" w:type="dxa"/>
          </w:tcPr>
          <w:p w14:paraId="0FEDC528" w14:textId="300DA537" w:rsidR="005B2801" w:rsidRPr="000F0F0B" w:rsidRDefault="005B2801" w:rsidP="006C01F0">
            <w:pPr>
              <w:spacing w:after="0"/>
              <w:jc w:val="both"/>
              <w:rPr>
                <w:rFonts w:eastAsiaTheme="minorEastAsia"/>
                <w:noProof/>
                <w:lang w:eastAsia="zh-CN"/>
              </w:rPr>
            </w:pPr>
          </w:p>
        </w:tc>
        <w:tc>
          <w:tcPr>
            <w:tcW w:w="6378" w:type="dxa"/>
          </w:tcPr>
          <w:p w14:paraId="2FB14003" w14:textId="77777777" w:rsidR="005B2801" w:rsidRPr="000005B0" w:rsidRDefault="005B2801" w:rsidP="006C01F0">
            <w:pPr>
              <w:spacing w:after="0"/>
              <w:jc w:val="both"/>
              <w:rPr>
                <w:noProof/>
              </w:rPr>
            </w:pPr>
          </w:p>
        </w:tc>
      </w:tr>
      <w:tr w:rsidR="005B2801" w:rsidRPr="000005B0" w14:paraId="6F0E0199" w14:textId="77777777" w:rsidTr="006C01F0">
        <w:tc>
          <w:tcPr>
            <w:tcW w:w="1756" w:type="dxa"/>
          </w:tcPr>
          <w:p w14:paraId="73F817D1" w14:textId="77777777" w:rsidR="005B2801" w:rsidRPr="000F0F0B" w:rsidRDefault="005B2801" w:rsidP="006C01F0">
            <w:pPr>
              <w:spacing w:after="0"/>
              <w:jc w:val="both"/>
              <w:rPr>
                <w:rFonts w:eastAsiaTheme="minorEastAsia"/>
                <w:noProof/>
                <w:lang w:eastAsia="zh-CN"/>
              </w:rPr>
            </w:pPr>
          </w:p>
        </w:tc>
        <w:tc>
          <w:tcPr>
            <w:tcW w:w="1500" w:type="dxa"/>
          </w:tcPr>
          <w:p w14:paraId="0FB69288" w14:textId="77777777" w:rsidR="005B2801" w:rsidRPr="000F0F0B" w:rsidRDefault="005B2801" w:rsidP="006C01F0">
            <w:pPr>
              <w:spacing w:after="0"/>
              <w:jc w:val="both"/>
              <w:rPr>
                <w:rFonts w:eastAsiaTheme="minorEastAsia"/>
                <w:noProof/>
                <w:lang w:eastAsia="zh-CN"/>
              </w:rPr>
            </w:pPr>
          </w:p>
        </w:tc>
        <w:tc>
          <w:tcPr>
            <w:tcW w:w="6378" w:type="dxa"/>
          </w:tcPr>
          <w:p w14:paraId="6A202A92" w14:textId="77777777" w:rsidR="005B2801" w:rsidRPr="000005B0" w:rsidRDefault="005B2801" w:rsidP="006C01F0">
            <w:pPr>
              <w:spacing w:after="0"/>
              <w:jc w:val="both"/>
              <w:rPr>
                <w:noProof/>
              </w:rPr>
            </w:pPr>
          </w:p>
        </w:tc>
      </w:tr>
      <w:tr w:rsidR="005B2801" w:rsidRPr="000005B0" w14:paraId="1FF9B387" w14:textId="77777777" w:rsidTr="006C01F0">
        <w:tc>
          <w:tcPr>
            <w:tcW w:w="1756" w:type="dxa"/>
          </w:tcPr>
          <w:p w14:paraId="07602D44" w14:textId="77777777" w:rsidR="005B2801" w:rsidRPr="000F0F0B" w:rsidRDefault="005B2801" w:rsidP="006C01F0">
            <w:pPr>
              <w:spacing w:after="0"/>
              <w:jc w:val="both"/>
              <w:rPr>
                <w:rFonts w:eastAsiaTheme="minorEastAsia"/>
                <w:noProof/>
                <w:lang w:eastAsia="zh-CN"/>
              </w:rPr>
            </w:pPr>
          </w:p>
        </w:tc>
        <w:tc>
          <w:tcPr>
            <w:tcW w:w="1500" w:type="dxa"/>
          </w:tcPr>
          <w:p w14:paraId="0FB545B9" w14:textId="77777777" w:rsidR="005B2801" w:rsidRPr="000F0F0B" w:rsidRDefault="005B2801" w:rsidP="006C01F0">
            <w:pPr>
              <w:spacing w:after="0"/>
              <w:jc w:val="both"/>
              <w:rPr>
                <w:rFonts w:eastAsiaTheme="minorEastAsia"/>
                <w:noProof/>
                <w:lang w:eastAsia="zh-CN"/>
              </w:rPr>
            </w:pPr>
          </w:p>
        </w:tc>
        <w:tc>
          <w:tcPr>
            <w:tcW w:w="6378" w:type="dxa"/>
          </w:tcPr>
          <w:p w14:paraId="384090A4" w14:textId="77777777" w:rsidR="005B2801" w:rsidRPr="000005B0" w:rsidRDefault="005B2801" w:rsidP="006C01F0">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7556BC" w:rsidP="008730ED">
      <w:pPr>
        <w:pStyle w:val="Doc-title"/>
      </w:pPr>
      <w:hyperlink r:id="rId55"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5B2801" w:rsidRPr="000005B0" w14:paraId="3783AE47" w14:textId="77777777" w:rsidTr="006C01F0">
        <w:tc>
          <w:tcPr>
            <w:tcW w:w="1756" w:type="dxa"/>
          </w:tcPr>
          <w:p w14:paraId="089F5BB1" w14:textId="77777777" w:rsidR="005B2801" w:rsidRPr="000F0F0B" w:rsidRDefault="005B2801" w:rsidP="006C01F0">
            <w:pPr>
              <w:spacing w:after="0"/>
              <w:jc w:val="both"/>
              <w:rPr>
                <w:rFonts w:eastAsiaTheme="minorEastAsia"/>
                <w:noProof/>
                <w:lang w:eastAsia="zh-CN"/>
              </w:rPr>
            </w:pPr>
          </w:p>
        </w:tc>
        <w:tc>
          <w:tcPr>
            <w:tcW w:w="1500" w:type="dxa"/>
          </w:tcPr>
          <w:p w14:paraId="648D43FB" w14:textId="77777777" w:rsidR="005B2801" w:rsidRPr="000F0F0B" w:rsidRDefault="005B2801" w:rsidP="006C01F0">
            <w:pPr>
              <w:spacing w:after="0"/>
              <w:jc w:val="both"/>
              <w:rPr>
                <w:rFonts w:eastAsiaTheme="minorEastAsia"/>
                <w:noProof/>
                <w:lang w:eastAsia="zh-CN"/>
              </w:rPr>
            </w:pPr>
          </w:p>
        </w:tc>
        <w:tc>
          <w:tcPr>
            <w:tcW w:w="6378" w:type="dxa"/>
          </w:tcPr>
          <w:p w14:paraId="1A75E29F" w14:textId="77777777" w:rsidR="005B2801" w:rsidRPr="000005B0" w:rsidRDefault="005B2801" w:rsidP="006C01F0">
            <w:pPr>
              <w:spacing w:after="0"/>
              <w:jc w:val="both"/>
              <w:rPr>
                <w:noProof/>
              </w:rPr>
            </w:pPr>
          </w:p>
        </w:tc>
      </w:tr>
      <w:tr w:rsidR="005B2801" w:rsidRPr="000005B0" w14:paraId="681CDEB4" w14:textId="77777777" w:rsidTr="006C01F0">
        <w:tc>
          <w:tcPr>
            <w:tcW w:w="1756" w:type="dxa"/>
          </w:tcPr>
          <w:p w14:paraId="51C19C54" w14:textId="77777777" w:rsidR="005B2801" w:rsidRPr="000F0F0B" w:rsidRDefault="005B2801" w:rsidP="006C01F0">
            <w:pPr>
              <w:spacing w:after="0"/>
              <w:jc w:val="both"/>
              <w:rPr>
                <w:rFonts w:eastAsiaTheme="minorEastAsia"/>
                <w:noProof/>
                <w:lang w:eastAsia="zh-CN"/>
              </w:rPr>
            </w:pPr>
          </w:p>
        </w:tc>
        <w:tc>
          <w:tcPr>
            <w:tcW w:w="1500" w:type="dxa"/>
          </w:tcPr>
          <w:p w14:paraId="0B9727BF" w14:textId="77777777" w:rsidR="005B2801" w:rsidRPr="000F0F0B" w:rsidRDefault="005B2801" w:rsidP="006C01F0">
            <w:pPr>
              <w:spacing w:after="0"/>
              <w:jc w:val="both"/>
              <w:rPr>
                <w:rFonts w:eastAsiaTheme="minorEastAsia"/>
                <w:noProof/>
                <w:lang w:eastAsia="zh-CN"/>
              </w:rPr>
            </w:pPr>
          </w:p>
        </w:tc>
        <w:tc>
          <w:tcPr>
            <w:tcW w:w="6378" w:type="dxa"/>
          </w:tcPr>
          <w:p w14:paraId="40DC8D13" w14:textId="77777777" w:rsidR="005B2801" w:rsidRPr="000005B0" w:rsidRDefault="005B2801" w:rsidP="006C01F0">
            <w:pPr>
              <w:spacing w:after="0"/>
              <w:jc w:val="both"/>
              <w:rPr>
                <w:noProof/>
              </w:rPr>
            </w:pPr>
          </w:p>
        </w:tc>
      </w:tr>
      <w:tr w:rsidR="005B2801" w:rsidRPr="000005B0" w14:paraId="6837D49C" w14:textId="77777777" w:rsidTr="006C01F0">
        <w:tc>
          <w:tcPr>
            <w:tcW w:w="1756" w:type="dxa"/>
          </w:tcPr>
          <w:p w14:paraId="36988033" w14:textId="77777777" w:rsidR="005B2801" w:rsidRPr="000F0F0B" w:rsidRDefault="005B2801" w:rsidP="006C01F0">
            <w:pPr>
              <w:spacing w:after="0"/>
              <w:jc w:val="both"/>
              <w:rPr>
                <w:rFonts w:eastAsiaTheme="minorEastAsia"/>
                <w:noProof/>
                <w:lang w:eastAsia="zh-CN"/>
              </w:rPr>
            </w:pPr>
          </w:p>
        </w:tc>
        <w:tc>
          <w:tcPr>
            <w:tcW w:w="1500" w:type="dxa"/>
          </w:tcPr>
          <w:p w14:paraId="137AF215" w14:textId="77777777" w:rsidR="005B2801" w:rsidRPr="000F0F0B" w:rsidRDefault="005B2801" w:rsidP="006C01F0">
            <w:pPr>
              <w:spacing w:after="0"/>
              <w:jc w:val="both"/>
              <w:rPr>
                <w:rFonts w:eastAsiaTheme="minorEastAsia"/>
                <w:noProof/>
                <w:lang w:eastAsia="zh-CN"/>
              </w:rPr>
            </w:pPr>
          </w:p>
        </w:tc>
        <w:tc>
          <w:tcPr>
            <w:tcW w:w="6378" w:type="dxa"/>
          </w:tcPr>
          <w:p w14:paraId="6EA5C307" w14:textId="77777777" w:rsidR="005B2801" w:rsidRPr="000005B0" w:rsidRDefault="005B2801" w:rsidP="006C01F0">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7556BC" w:rsidP="008730ED">
      <w:pPr>
        <w:pStyle w:val="Doc-title"/>
      </w:pPr>
      <w:hyperlink r:id="rId56"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5B2801" w:rsidRPr="000005B0" w14:paraId="3AF5127A" w14:textId="77777777" w:rsidTr="006C01F0">
        <w:tc>
          <w:tcPr>
            <w:tcW w:w="1756" w:type="dxa"/>
          </w:tcPr>
          <w:p w14:paraId="7D0AEF71" w14:textId="77777777" w:rsidR="005B2801" w:rsidRPr="000F0F0B" w:rsidRDefault="005B2801" w:rsidP="006C01F0">
            <w:pPr>
              <w:spacing w:after="0"/>
              <w:jc w:val="both"/>
              <w:rPr>
                <w:rFonts w:eastAsiaTheme="minorEastAsia"/>
                <w:noProof/>
                <w:lang w:eastAsia="zh-CN"/>
              </w:rPr>
            </w:pPr>
          </w:p>
        </w:tc>
        <w:tc>
          <w:tcPr>
            <w:tcW w:w="1500" w:type="dxa"/>
          </w:tcPr>
          <w:p w14:paraId="2790AB40" w14:textId="77777777" w:rsidR="005B2801" w:rsidRPr="000F0F0B" w:rsidRDefault="005B2801" w:rsidP="006C01F0">
            <w:pPr>
              <w:spacing w:after="0"/>
              <w:jc w:val="both"/>
              <w:rPr>
                <w:rFonts w:eastAsiaTheme="minorEastAsia"/>
                <w:noProof/>
                <w:lang w:eastAsia="zh-CN"/>
              </w:rPr>
            </w:pPr>
          </w:p>
        </w:tc>
        <w:tc>
          <w:tcPr>
            <w:tcW w:w="6378" w:type="dxa"/>
          </w:tcPr>
          <w:p w14:paraId="740690FC" w14:textId="77777777" w:rsidR="005B2801" w:rsidRPr="000005B0" w:rsidRDefault="005B2801" w:rsidP="006C01F0">
            <w:pPr>
              <w:spacing w:after="0"/>
              <w:jc w:val="both"/>
              <w:rPr>
                <w:noProof/>
              </w:rPr>
            </w:pP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7556BC" w:rsidP="008730ED">
      <w:pPr>
        <w:pStyle w:val="Doc-title"/>
      </w:pPr>
      <w:hyperlink r:id="rId57"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lastRenderedPageBreak/>
              <w:t xml:space="preserve">NR </w:t>
            </w:r>
            <w:r>
              <w:rPr>
                <w:i/>
                <w:iCs/>
              </w:rPr>
              <w:t>RRCReconfigurationComplete</w:t>
            </w:r>
            <w:bookmarkStart w:id="1"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1"/>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5B2801" w:rsidRPr="000005B0" w14:paraId="67D0A4D3" w14:textId="77777777" w:rsidTr="006C01F0">
        <w:tc>
          <w:tcPr>
            <w:tcW w:w="1756" w:type="dxa"/>
          </w:tcPr>
          <w:p w14:paraId="286CA6E6" w14:textId="427CC70D" w:rsidR="005B2801" w:rsidRPr="000F0F0B" w:rsidRDefault="005B2801" w:rsidP="006C01F0">
            <w:pPr>
              <w:spacing w:after="0"/>
              <w:jc w:val="both"/>
              <w:rPr>
                <w:rFonts w:eastAsiaTheme="minorEastAsia"/>
                <w:noProof/>
                <w:lang w:eastAsia="zh-CN"/>
              </w:rPr>
            </w:pPr>
          </w:p>
        </w:tc>
        <w:tc>
          <w:tcPr>
            <w:tcW w:w="1500" w:type="dxa"/>
          </w:tcPr>
          <w:p w14:paraId="6B4BA05E" w14:textId="77777777" w:rsidR="005B2801" w:rsidRPr="000F0F0B" w:rsidRDefault="005B2801" w:rsidP="006C01F0">
            <w:pPr>
              <w:spacing w:after="0"/>
              <w:jc w:val="both"/>
              <w:rPr>
                <w:rFonts w:eastAsiaTheme="minorEastAsia"/>
                <w:noProof/>
                <w:lang w:eastAsia="zh-CN"/>
              </w:rPr>
            </w:pPr>
          </w:p>
        </w:tc>
        <w:tc>
          <w:tcPr>
            <w:tcW w:w="6378" w:type="dxa"/>
          </w:tcPr>
          <w:p w14:paraId="4F5415AE" w14:textId="77777777" w:rsidR="005B2801" w:rsidRPr="000005B0" w:rsidRDefault="005B2801" w:rsidP="006C01F0">
            <w:pPr>
              <w:spacing w:after="0"/>
              <w:jc w:val="both"/>
              <w:rPr>
                <w:noProof/>
              </w:rPr>
            </w:pPr>
          </w:p>
        </w:tc>
      </w:tr>
      <w:tr w:rsidR="005B2801" w:rsidRPr="000005B0" w14:paraId="29DF427D" w14:textId="77777777" w:rsidTr="006C01F0">
        <w:tc>
          <w:tcPr>
            <w:tcW w:w="1756" w:type="dxa"/>
          </w:tcPr>
          <w:p w14:paraId="4A503314" w14:textId="77777777" w:rsidR="005B2801" w:rsidRPr="000F0F0B" w:rsidRDefault="005B2801" w:rsidP="006C01F0">
            <w:pPr>
              <w:spacing w:after="0"/>
              <w:jc w:val="both"/>
              <w:rPr>
                <w:rFonts w:eastAsiaTheme="minorEastAsia"/>
                <w:noProof/>
                <w:lang w:eastAsia="zh-CN"/>
              </w:rPr>
            </w:pPr>
          </w:p>
        </w:tc>
        <w:tc>
          <w:tcPr>
            <w:tcW w:w="1500" w:type="dxa"/>
          </w:tcPr>
          <w:p w14:paraId="01C46CD9" w14:textId="77777777" w:rsidR="005B2801" w:rsidRPr="000F0F0B" w:rsidRDefault="005B2801" w:rsidP="006C01F0">
            <w:pPr>
              <w:spacing w:after="0"/>
              <w:jc w:val="both"/>
              <w:rPr>
                <w:rFonts w:eastAsiaTheme="minorEastAsia"/>
                <w:noProof/>
                <w:lang w:eastAsia="zh-CN"/>
              </w:rPr>
            </w:pPr>
          </w:p>
        </w:tc>
        <w:tc>
          <w:tcPr>
            <w:tcW w:w="6378" w:type="dxa"/>
          </w:tcPr>
          <w:p w14:paraId="6790677E" w14:textId="77777777" w:rsidR="005B2801" w:rsidRPr="000005B0" w:rsidRDefault="005B2801" w:rsidP="006C01F0">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7556BC" w:rsidP="008730ED">
      <w:pPr>
        <w:pStyle w:val="Doc-title"/>
      </w:pPr>
      <w:hyperlink r:id="rId58"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7556BC" w:rsidP="008730ED">
      <w:pPr>
        <w:pStyle w:val="Doc-title"/>
      </w:pPr>
      <w:hyperlink r:id="rId59"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7556BC" w:rsidP="008730ED">
      <w:pPr>
        <w:pStyle w:val="Doc-title"/>
      </w:pPr>
      <w:hyperlink r:id="rId60"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7556BC" w:rsidP="008730ED">
      <w:pPr>
        <w:pStyle w:val="Doc-title"/>
      </w:pPr>
      <w:hyperlink r:id="rId61"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2" w:name="_Toc20487222"/>
      <w:bookmarkStart w:id="3" w:name="_Toc29342517"/>
      <w:bookmarkStart w:id="4" w:name="_Toc29343656"/>
      <w:bookmarkStart w:id="5" w:name="_Toc36566917"/>
      <w:bookmarkStart w:id="6" w:name="_Toc36810353"/>
      <w:bookmarkStart w:id="7" w:name="_Toc36846717"/>
      <w:bookmarkStart w:id="8" w:name="_Toc36939370"/>
      <w:bookmarkStart w:id="9" w:name="_Toc37082350"/>
      <w:bookmarkStart w:id="10" w:name="_Toc46480981"/>
      <w:bookmarkStart w:id="11" w:name="_Toc46482215"/>
      <w:bookmarkStart w:id="12"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2"/>
      <w:bookmarkEnd w:id="3"/>
      <w:bookmarkEnd w:id="4"/>
      <w:bookmarkEnd w:id="5"/>
      <w:bookmarkEnd w:id="6"/>
      <w:bookmarkEnd w:id="7"/>
      <w:bookmarkEnd w:id="8"/>
      <w:bookmarkEnd w:id="9"/>
      <w:bookmarkEnd w:id="10"/>
      <w:bookmarkEnd w:id="11"/>
      <w:bookmarkEnd w:id="12"/>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w:t>
      </w:r>
      <w:proofErr w:type="gramStart"/>
      <w:r>
        <w:rPr>
          <w:lang w:val="en-GB" w:eastAsia="en-GB"/>
        </w:rPr>
        <w:t>), and</w:t>
      </w:r>
      <w:proofErr w:type="gramEnd"/>
      <w:r>
        <w:rPr>
          <w:lang w:val="en-GB" w:eastAsia="en-GB"/>
        </w:rPr>
        <w:t xml:space="preserve">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2"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xml:space="preserve">, </w:t>
      </w:r>
      <w:proofErr w:type="gramStart"/>
      <w:r w:rsidRPr="00403DAF">
        <w:rPr>
          <w:rFonts w:ascii="Arial" w:hAnsi="Arial" w:cs="Arial"/>
        </w:rPr>
        <w:t>e.g.</w:t>
      </w:r>
      <w:proofErr w:type="gramEnd"/>
      <w:r w:rsidRPr="00403DAF">
        <w:rPr>
          <w:rFonts w:ascii="Arial" w:hAnsi="Arial" w:cs="Arial"/>
        </w:rPr>
        <w:t xml:space="preserve">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w:t>
      </w:r>
      <w:proofErr w:type="gramStart"/>
      <w:r w:rsidRPr="00403DAF">
        <w:rPr>
          <w:rFonts w:ascii="Arial" w:hAnsi="Arial" w:cs="Arial"/>
        </w:rPr>
        <w:t>e.g.</w:t>
      </w:r>
      <w:proofErr w:type="gramEnd"/>
      <w:r w:rsidRPr="00403DAF">
        <w:rPr>
          <w:rFonts w:ascii="Arial" w:hAnsi="Arial" w:cs="Arial"/>
        </w:rPr>
        <w:t xml:space="preserve">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CG-ConfigInfo</w:t>
      </w:r>
      <w:r w:rsidRPr="00403DAF">
        <w:rPr>
          <w:rFonts w:cs="Arial"/>
        </w:rPr>
        <w:t xml:space="preserve"> </w:t>
      </w:r>
      <w:r w:rsidRPr="00403DAF">
        <w:rPr>
          <w:rFonts w:cs="Arial"/>
          <w:lang w:val="sv-SE"/>
        </w:rPr>
        <w:t xml:space="preserve">is not updated, an hence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3"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 xml:space="preserve">prevent Rel-16 UEs from encountering T312 expires, LBT failures and BH RLFs when connecting to a Rel-15 </w:t>
      </w:r>
      <w:proofErr w:type="spellStart"/>
      <w:r w:rsidR="00403DAF" w:rsidRPr="00403DAF">
        <w:rPr>
          <w:rFonts w:ascii="Arial" w:hAnsi="Arial" w:cs="Arial"/>
        </w:rPr>
        <w:t>MeNB</w:t>
      </w:r>
      <w:proofErr w:type="spellEnd"/>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4" w:history="1">
        <w:r w:rsidRPr="00403DAF">
          <w:rPr>
            <w:rStyle w:val="Hyperlink"/>
            <w:rFonts w:ascii="Arial" w:hAnsi="Arial" w:cs="Arial"/>
            <w:highlight w:val="yellow"/>
          </w:rPr>
          <w:t>R2-2108189</w:t>
        </w:r>
      </w:hyperlink>
      <w:r w:rsidRPr="00403DAF">
        <w:rPr>
          <w:rFonts w:ascii="Arial" w:hAnsi="Arial" w:cs="Arial"/>
          <w:highlight w:val="yellow"/>
          <w:lang w:val="sv-SE"/>
        </w:rPr>
        <w:t>/</w:t>
      </w:r>
      <w:r w:rsidR="007556BC">
        <w:fldChar w:fldCharType="begin"/>
      </w:r>
      <w:r w:rsidR="007556BC">
        <w:instrText xml:space="preserve"> HYPERLINK "http://www.3gpp.org/ftp/tsg_ran/WG2_RL2//TSGR2_115-e/Docs//R2-2108190.zip" </w:instrText>
      </w:r>
      <w:r w:rsidR="007556BC">
        <w:fldChar w:fldCharType="separate"/>
      </w:r>
      <w:r w:rsidRPr="00403DAF">
        <w:rPr>
          <w:rStyle w:val="Hyperlink"/>
          <w:rFonts w:ascii="Arial" w:hAnsi="Arial" w:cs="Arial"/>
          <w:highlight w:val="yellow"/>
        </w:rPr>
        <w:t>R2-2108190</w:t>
      </w:r>
      <w:r w:rsidR="007556BC">
        <w:rPr>
          <w:rStyle w:val="Hyperlink"/>
          <w:rFonts w:ascii="Arial" w:hAnsi="Arial" w:cs="Arial"/>
          <w:highlight w:val="yellow"/>
        </w:rPr>
        <w:fldChar w:fldCharType="end"/>
      </w:r>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576AED">
            <w:pPr>
              <w:pStyle w:val="ListParagraph"/>
              <w:numPr>
                <w:ilvl w:val="0"/>
                <w:numId w:val="4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576AED">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w:t>
            </w:r>
            <w:proofErr w:type="spellStart"/>
            <w:r>
              <w:rPr>
                <w:rFonts w:asciiTheme="minorHAnsi" w:hAnsiTheme="minorHAnsi" w:cstheme="minorHAnsi"/>
                <w:lang w:val="en-US"/>
              </w:rPr>
              <w:t>eNB</w:t>
            </w:r>
            <w:proofErr w:type="spellEnd"/>
            <w:r>
              <w:rPr>
                <w:rFonts w:asciiTheme="minorHAnsi" w:hAnsiTheme="minorHAnsi" w:cstheme="minorHAnsi"/>
                <w:lang w:val="en-US"/>
              </w:rPr>
              <w:t>.</w:t>
            </w:r>
          </w:p>
          <w:p w14:paraId="44138BCD" w14:textId="06A0B6E0" w:rsidR="00576AED" w:rsidRPr="00576AED" w:rsidRDefault="00576AED" w:rsidP="005C2343">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w:t>
            </w:r>
            <w:proofErr w:type="gramStart"/>
            <w:r w:rsidR="005C2343">
              <w:rPr>
                <w:lang w:val="en-US"/>
              </w:rPr>
              <w:t>e.g.</w:t>
            </w:r>
            <w:proofErr w:type="gramEnd"/>
            <w:r w:rsidR="005C2343">
              <w:rPr>
                <w:lang w:val="en-US"/>
              </w:rPr>
              <w:t xml:space="preserve">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77777777" w:rsidR="00606B50" w:rsidRPr="000F0F0B" w:rsidRDefault="00606B50" w:rsidP="006C01F0">
            <w:pPr>
              <w:spacing w:after="0"/>
              <w:jc w:val="both"/>
              <w:rPr>
                <w:rFonts w:eastAsiaTheme="minorEastAsia"/>
                <w:noProof/>
                <w:lang w:eastAsia="zh-CN"/>
              </w:rPr>
            </w:pPr>
          </w:p>
        </w:tc>
        <w:tc>
          <w:tcPr>
            <w:tcW w:w="1500" w:type="dxa"/>
          </w:tcPr>
          <w:p w14:paraId="06274BFE" w14:textId="77777777" w:rsidR="00606B50" w:rsidRPr="000F0F0B" w:rsidRDefault="00606B50" w:rsidP="006C01F0">
            <w:pPr>
              <w:spacing w:after="0"/>
              <w:jc w:val="both"/>
              <w:rPr>
                <w:rFonts w:eastAsiaTheme="minorEastAsia"/>
                <w:noProof/>
                <w:lang w:eastAsia="zh-CN"/>
              </w:rPr>
            </w:pPr>
          </w:p>
        </w:tc>
        <w:tc>
          <w:tcPr>
            <w:tcW w:w="6378" w:type="dxa"/>
          </w:tcPr>
          <w:p w14:paraId="2C9B00A7" w14:textId="77777777" w:rsidR="00606B50" w:rsidRPr="000005B0" w:rsidRDefault="00606B50" w:rsidP="006C01F0">
            <w:pPr>
              <w:spacing w:after="0"/>
              <w:jc w:val="both"/>
              <w:rPr>
                <w:noProof/>
              </w:rPr>
            </w:pPr>
          </w:p>
        </w:tc>
      </w:tr>
    </w:tbl>
    <w:p w14:paraId="08D0B3E0" w14:textId="77777777" w:rsidR="00606B50" w:rsidRPr="00403DAF"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788A0" w14:textId="77777777" w:rsidR="007556BC" w:rsidRDefault="007556BC">
      <w:r>
        <w:separator/>
      </w:r>
    </w:p>
  </w:endnote>
  <w:endnote w:type="continuationSeparator" w:id="0">
    <w:p w14:paraId="1E71F6A6" w14:textId="77777777" w:rsidR="007556BC" w:rsidRDefault="007556BC">
      <w:r>
        <w:continuationSeparator/>
      </w:r>
    </w:p>
  </w:endnote>
  <w:endnote w:type="continuationNotice" w:id="1">
    <w:p w14:paraId="207BEEAA" w14:textId="77777777" w:rsidR="007556BC" w:rsidRDefault="00755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F1444" w14:textId="77777777" w:rsidR="007556BC" w:rsidRDefault="007556BC">
      <w:r>
        <w:separator/>
      </w:r>
    </w:p>
  </w:footnote>
  <w:footnote w:type="continuationSeparator" w:id="0">
    <w:p w14:paraId="0218926B" w14:textId="77777777" w:rsidR="007556BC" w:rsidRDefault="007556BC">
      <w:r>
        <w:continuationSeparator/>
      </w:r>
    </w:p>
  </w:footnote>
  <w:footnote w:type="continuationNotice" w:id="1">
    <w:p w14:paraId="6C79392E" w14:textId="77777777" w:rsidR="007556BC" w:rsidRDefault="007556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3"/>
  </w:num>
  <w:num w:numId="5">
    <w:abstractNumId w:val="34"/>
  </w:num>
  <w:num w:numId="6">
    <w:abstractNumId w:val="36"/>
  </w:num>
  <w:num w:numId="7">
    <w:abstractNumId w:val="14"/>
  </w:num>
  <w:num w:numId="8">
    <w:abstractNumId w:val="19"/>
  </w:num>
  <w:num w:numId="9">
    <w:abstractNumId w:val="7"/>
  </w:num>
  <w:num w:numId="10">
    <w:abstractNumId w:val="43"/>
  </w:num>
  <w:num w:numId="11">
    <w:abstractNumId w:val="22"/>
  </w:num>
  <w:num w:numId="12">
    <w:abstractNumId w:val="40"/>
  </w:num>
  <w:num w:numId="13">
    <w:abstractNumId w:val="41"/>
  </w:num>
  <w:num w:numId="14">
    <w:abstractNumId w:val="17"/>
  </w:num>
  <w:num w:numId="15">
    <w:abstractNumId w:val="34"/>
  </w:num>
  <w:num w:numId="16">
    <w:abstractNumId w:val="5"/>
  </w:num>
  <w:num w:numId="17">
    <w:abstractNumId w:val="8"/>
  </w:num>
  <w:num w:numId="18">
    <w:abstractNumId w:val="27"/>
  </w:num>
  <w:num w:numId="19">
    <w:abstractNumId w:val="32"/>
  </w:num>
  <w:num w:numId="20">
    <w:abstractNumId w:val="45"/>
  </w:num>
  <w:num w:numId="21">
    <w:abstractNumId w:val="29"/>
  </w:num>
  <w:num w:numId="22">
    <w:abstractNumId w:val="20"/>
  </w:num>
  <w:num w:numId="23">
    <w:abstractNumId w:val="26"/>
  </w:num>
  <w:num w:numId="24">
    <w:abstractNumId w:val="9"/>
  </w:num>
  <w:num w:numId="25">
    <w:abstractNumId w:val="0"/>
  </w:num>
  <w:num w:numId="26">
    <w:abstractNumId w:val="11"/>
  </w:num>
  <w:num w:numId="27">
    <w:abstractNumId w:val="21"/>
  </w:num>
  <w:num w:numId="28">
    <w:abstractNumId w:val="34"/>
  </w:num>
  <w:num w:numId="29">
    <w:abstractNumId w:val="6"/>
  </w:num>
  <w:num w:numId="30">
    <w:abstractNumId w:val="39"/>
  </w:num>
  <w:num w:numId="31">
    <w:abstractNumId w:val="23"/>
  </w:num>
  <w:num w:numId="32">
    <w:abstractNumId w:val="13"/>
  </w:num>
  <w:num w:numId="33">
    <w:abstractNumId w:val="16"/>
  </w:num>
  <w:num w:numId="34">
    <w:abstractNumId w:val="35"/>
  </w:num>
  <w:num w:numId="35">
    <w:abstractNumId w:val="37"/>
  </w:num>
  <w:num w:numId="36">
    <w:abstractNumId w:val="34"/>
  </w:num>
  <w:num w:numId="37">
    <w:abstractNumId w:val="38"/>
  </w:num>
  <w:num w:numId="38">
    <w:abstractNumId w:val="44"/>
  </w:num>
  <w:num w:numId="39">
    <w:abstractNumId w:val="12"/>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42"/>
  </w:num>
  <w:num w:numId="47">
    <w:abstractNumId w:val="31"/>
  </w:num>
  <w:num w:numId="48">
    <w:abstractNumId w:val="18"/>
  </w:num>
  <w:num w:numId="49">
    <w:abstractNumId w:val="15"/>
  </w:num>
  <w:num w:numId="5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8.zip" TargetMode="External"/><Relationship Id="rId21" Type="http://schemas.openxmlformats.org/officeDocument/2006/relationships/hyperlink" Target="http://www.3gpp.org/ftp/tsg_ran/WG2_RL2//TSGR2_115-e/Docs//R2-2108569.zip" TargetMode="External"/><Relationship Id="rId34" Type="http://schemas.openxmlformats.org/officeDocument/2006/relationships/hyperlink" Target="http://www.3gpp.org/ftp/tsg_ran/WG2_RL2//TSGR2_115-e/Docs//R2-2107485.zip" TargetMode="External"/><Relationship Id="rId42" Type="http://schemas.openxmlformats.org/officeDocument/2006/relationships/hyperlink" Target="http://www.3gpp.org/ftp/tsg_ran/WG2_RL2//TSGR2_115-e/Docs//R2-2107285.zip" TargetMode="External"/><Relationship Id="rId47" Type="http://schemas.openxmlformats.org/officeDocument/2006/relationships/hyperlink" Target="http://www.3gpp.org/ftp/tsg_ran/WG2_RL2//TSGR2_115-e/Docs//R2-2108291.zip" TargetMode="External"/><Relationship Id="rId50" Type="http://schemas.openxmlformats.org/officeDocument/2006/relationships/hyperlink" Target="http://www.3gpp.org/ftp/tsg_ran/WG2_RL2//TSGR2_115-e/Docs//R2-2107482.zip" TargetMode="External"/><Relationship Id="rId55" Type="http://schemas.openxmlformats.org/officeDocument/2006/relationships/hyperlink" Target="http://www.3gpp.org/ftp/tsg_ran/WG2_RL2//TSGR2_115-e/Docs//R2-2106996.zip" TargetMode="External"/><Relationship Id="rId63" Type="http://schemas.openxmlformats.org/officeDocument/2006/relationships/hyperlink" Target="http://www.3gpp.org/ftp/tsg_ran/WG2_RL2//TSGR2_115-e/Docs//R2-21085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5-e/Docs//R2-2106996.zip" TargetMode="External"/><Relationship Id="rId29" Type="http://schemas.openxmlformats.org/officeDocument/2006/relationships/hyperlink" Target="http://www.3gpp.org/ftp/tsg_ran/WG2_RL2//TSGR2_115-e/Docs//R2-2107129.zip" TargetMode="External"/><Relationship Id="rId11" Type="http://schemas.openxmlformats.org/officeDocument/2006/relationships/hyperlink" Target="http://www.3gpp.org/ftp/tsg_ran/WG2_RL2//TSGR2_115-e/Docs//R2-2107129.zip" TargetMode="External"/><Relationship Id="rId24" Type="http://schemas.openxmlformats.org/officeDocument/2006/relationships/hyperlink" Target="file:///D:/Documents/3GPP/tsg_ran/WG2/RAN2/2108_R2_115-e/Docs/R2-2107286.zip" TargetMode="External"/><Relationship Id="rId32" Type="http://schemas.openxmlformats.org/officeDocument/2006/relationships/hyperlink" Target="http://www.3gpp.org/ftp/tsg_ran/WG1_RL1//TSGR1_105-e/Docs//R1-2106168.zip" TargetMode="External"/><Relationship Id="rId37" Type="http://schemas.openxmlformats.org/officeDocument/2006/relationships/hyperlink" Target="http://www.3gpp.org/ftp/tsg_ran/WG2_RL2//TSGR2_115-e/Docs//R2-2108375.zip" TargetMode="External"/><Relationship Id="rId40" Type="http://schemas.openxmlformats.org/officeDocument/2006/relationships/hyperlink" Target="http://www.3gpp.org/ftp/tsg_ran/WG2_RL2//TSGR2_115-e/Docs//R2-2108569.zip" TargetMode="External"/><Relationship Id="rId45" Type="http://schemas.openxmlformats.org/officeDocument/2006/relationships/hyperlink" Target="http://www.3gpp.org/ftp/tsg_ran/WG2_RL2//TSGR2_115-e/Docs//R2-2107288.zip" TargetMode="External"/><Relationship Id="rId53" Type="http://schemas.openxmlformats.org/officeDocument/2006/relationships/hyperlink" Target="http://www.3gpp.org/ftp/tsg_ran/WG2_RL2//TSGR2_115-e/Docs//R2-2107485.zip" TargetMode="External"/><Relationship Id="rId58" Type="http://schemas.openxmlformats.org/officeDocument/2006/relationships/hyperlink" Target="http://www.3gpp.org/ftp/tsg_ran/WG2_RL2//TSGR2_115-e/Docs//R2-2108189.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3gpp.org/ftp/tsg_ran/WG2_RL2//TSGR2_115-e/Docs//R2-2108679.zip" TargetMode="External"/><Relationship Id="rId19" Type="http://schemas.openxmlformats.org/officeDocument/2006/relationships/hyperlink" Target="http://www.3gpp.org/ftp/tsg_ran/WG2_RL2//TSGR2_115-e/Docs//R2-2108189.zip" TargetMode="External"/><Relationship Id="rId14" Type="http://schemas.openxmlformats.org/officeDocument/2006/relationships/hyperlink" Target="http://www.3gpp.org/ftp/tsg_ran/WG2_RL2//TSGR2_115-e/Docs//R2-2108268.zip" TargetMode="External"/><Relationship Id="rId22" Type="http://schemas.openxmlformats.org/officeDocument/2006/relationships/hyperlink" Target="http://www.3gpp.org/ftp/tsg_ran/WG2_RL2//TSGR2_115-e/Docs//R2-2108679.zip" TargetMode="External"/><Relationship Id="rId27" Type="http://schemas.openxmlformats.org/officeDocument/2006/relationships/hyperlink" Target="http://www.3gpp.org/ftp/tsg_ran/WG2_RL2//TSGR2_115-e/Docs//R2-2108291.zip" TargetMode="External"/><Relationship Id="rId30" Type="http://schemas.openxmlformats.org/officeDocument/2006/relationships/hyperlink" Target="http://www.3gpp.org/ftp/tsg_ran/WG2_RL2//TSGR2_115-e/Docs//R2-2107482.zip" TargetMode="External"/><Relationship Id="rId35" Type="http://schemas.openxmlformats.org/officeDocument/2006/relationships/hyperlink" Target="http://www.3gpp.org/ftp/tsg_ran/WG2_RL2//TSGR2_115-e/Docs//R2-2106996.zip" TargetMode="External"/><Relationship Id="rId43" Type="http://schemas.openxmlformats.org/officeDocument/2006/relationships/hyperlink" Target="http://www.3gpp.org/ftp/tsg_ran/WG2_RL2//TSGR2_115-e/Docs//R2-2107286.zip" TargetMode="External"/><Relationship Id="rId48" Type="http://schemas.openxmlformats.org/officeDocument/2006/relationships/hyperlink" Target="http://www.3gpp.org/ftp/tsg_ran/WG2_RL2//TSGR2_115-e/Docs//R2-2108587.zip" TargetMode="External"/><Relationship Id="rId56" Type="http://schemas.openxmlformats.org/officeDocument/2006/relationships/hyperlink" Target="http://www.3gpp.org/ftp/tsg_ran/WG2_RL2//TSGR2_115-e/Docs//R2-2108434.zip" TargetMode="External"/><Relationship Id="rId64" Type="http://schemas.openxmlformats.org/officeDocument/2006/relationships/hyperlink" Target="http://www.3gpp.org/ftp/tsg_ran/WG2_RL2//TSGR2_115-e/Docs//R2-2108189.zip" TargetMode="External"/><Relationship Id="rId8" Type="http://schemas.openxmlformats.org/officeDocument/2006/relationships/webSettings" Target="webSettings.xml"/><Relationship Id="rId51" Type="http://schemas.openxmlformats.org/officeDocument/2006/relationships/hyperlink" Target="http://www.3gpp.org/ftp/tsg_ran/WG2_RL2//TSGR2_115-e/Docs//R2-2106911.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7482.zip" TargetMode="External"/><Relationship Id="rId17" Type="http://schemas.openxmlformats.org/officeDocument/2006/relationships/hyperlink" Target="http://www.3gpp.org/ftp/tsg_ran/WG2_RL2//TSGR2_115-e/Docs//R2-2108434.zip" TargetMode="External"/><Relationship Id="rId25" Type="http://schemas.openxmlformats.org/officeDocument/2006/relationships/hyperlink" Target="file:///D:/Documents/3GPP/tsg_ran/WG2/RAN2/2108_R2_115-e/Docs/R2-2107287.zip" TargetMode="External"/><Relationship Id="rId33" Type="http://schemas.openxmlformats.org/officeDocument/2006/relationships/hyperlink" Target="http://www.3gpp.org/ftp/tsg_ran/WG2_RL2//TSGR2_115-e/Docs//R2-2108268.zip" TargetMode="External"/><Relationship Id="rId38" Type="http://schemas.openxmlformats.org/officeDocument/2006/relationships/hyperlink" Target="http://www.3gpp.org/ftp/tsg_ran/WG2_RL2//TSGR2_115-e/Docs//R2-2108189.zip" TargetMode="External"/><Relationship Id="rId46" Type="http://schemas.openxmlformats.org/officeDocument/2006/relationships/hyperlink" Target="http://www.3gpp.org/ftp/tsg_ran/WG2_RL2//TSGR2_115-e/Docs//R2-2107285.zip" TargetMode="External"/><Relationship Id="rId59"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190.zip" TargetMode="External"/><Relationship Id="rId41" Type="http://schemas.openxmlformats.org/officeDocument/2006/relationships/hyperlink" Target="http://www.3gpp.org/ftp/tsg_ran/WG2_RL2//TSGR2_115-e/Docs//R2-2108679.zip" TargetMode="External"/><Relationship Id="rId54" Type="http://schemas.openxmlformats.org/officeDocument/2006/relationships/hyperlink" Target="http://www.3gpp.org/ftp/tsg_ran/WG2_RL2//TSGR2_115-e/Docs//R2-2108268.zip" TargetMode="External"/><Relationship Id="rId62" Type="http://schemas.openxmlformats.org/officeDocument/2006/relationships/hyperlink" Target="http://www.3gpp.org/ftp/tsg_ran/WG2_RL2//TSGR2_115-e/Docs//R2-210867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7485.zip" TargetMode="External"/><Relationship Id="rId23" Type="http://schemas.openxmlformats.org/officeDocument/2006/relationships/hyperlink" Target="file:///D:\Documents\3GPP\tsg_ran\WG2\TSGR2_115-e\Docs\R2-2107285.zip" TargetMode="External"/><Relationship Id="rId28" Type="http://schemas.openxmlformats.org/officeDocument/2006/relationships/hyperlink" Target="http://www.3gpp.org/ftp/tsg_ran/WG2_RL2//TSGR2_115-e/Docs//R2-2108587.zip" TargetMode="External"/><Relationship Id="rId36" Type="http://schemas.openxmlformats.org/officeDocument/2006/relationships/hyperlink" Target="http://www.3gpp.org/ftp/tsg_ran/WG2_RL2//TSGR2_115-e/Docs//R2-2108434.zip" TargetMode="External"/><Relationship Id="rId49" Type="http://schemas.openxmlformats.org/officeDocument/2006/relationships/hyperlink" Target="http://www.3gpp.org/ftp/tsg_ran/WG2_RL2//TSGR2_115-e/Docs//R2-2107129.zip" TargetMode="External"/><Relationship Id="rId57" Type="http://schemas.openxmlformats.org/officeDocument/2006/relationships/hyperlink" Target="http://www.3gpp.org/ftp/tsg_ran/WG2_RL2//TSGR2_115-e/Docs//R2-2108375.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6911.zip" TargetMode="External"/><Relationship Id="rId44" Type="http://schemas.openxmlformats.org/officeDocument/2006/relationships/hyperlink" Target="http://www.3gpp.org/ftp/tsg_ran/WG2_RL2//TSGR2_115-e/Docs//R2-2107287.zip" TargetMode="External"/><Relationship Id="rId52" Type="http://schemas.openxmlformats.org/officeDocument/2006/relationships/hyperlink" Target="http://www.3gpp.org/ftp/tsg_ran/WG1_RL1//TSGR1_105-e/Docs//R1-2106168.zip" TargetMode="External"/><Relationship Id="rId60" Type="http://schemas.openxmlformats.org/officeDocument/2006/relationships/hyperlink" Target="http://www.3gpp.org/ftp/tsg_ran/WG2_RL2//TSGR2_115-e/Docs//R2-2108569.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6911.zip" TargetMode="External"/><Relationship Id="rId18" Type="http://schemas.openxmlformats.org/officeDocument/2006/relationships/hyperlink" Target="http://www.3gpp.org/ftp/tsg_ran/WG2_RL2//TSGR2_115-e/Docs//R2-2108275.zip" TargetMode="External"/><Relationship Id="rId39" Type="http://schemas.openxmlformats.org/officeDocument/2006/relationships/hyperlink" Target="http://www.3gpp.org/ftp/tsg_ran/WG2_RL2//TSGR2_115-e/Docs//R2-21081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FF4A1-C2A4-4C72-B077-F51B0454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20461</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23661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5</cp:revision>
  <cp:lastPrinted>2008-02-01T05:09:00Z</cp:lastPrinted>
  <dcterms:created xsi:type="dcterms:W3CDTF">2021-08-17T18:31:00Z</dcterms:created>
  <dcterms:modified xsi:type="dcterms:W3CDTF">2021-08-17T18:35:00Z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