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While wearables are also RedCap devices, we are concerned that wearables are at the mercy of gNB DRX config, but every other RedCap UE can negotiate with CN on the eDRX cycle and just use</w:t>
            </w:r>
            <w:r>
              <w:rPr>
                <w:rFonts w:eastAsia="SimSun"/>
              </w:rPr>
              <w:t xml:space="preserve"> </w:t>
            </w:r>
            <w:r w:rsidRPr="00053540">
              <w:rPr>
                <w:rFonts w:eastAsia="SimSun"/>
                <w:b/>
                <w:bCs/>
              </w:rPr>
              <w:t xml:space="preserve">that DRX cycle without being dependant on the gNB config. We think power-saving is important for wearable type RedCap as </w:t>
            </w:r>
            <w:r w:rsidRPr="00053540">
              <w:rPr>
                <w:rFonts w:eastAsia="SimSun"/>
                <w:b/>
                <w:bCs/>
              </w:rPr>
              <w:lastRenderedPageBreak/>
              <w:t>well, and request response on how to remove the gNB DRX config dependency for wearables, even when the wearables are configured with NAS 2.56DRX cycle.</w:t>
            </w:r>
          </w:p>
          <w:p w14:paraId="55EF12D5" w14:textId="37C16A79" w:rsidR="00892E52" w:rsidRPr="00364C37" w:rsidRDefault="00C35E10" w:rsidP="00C35E10">
            <w:pPr>
              <w:pStyle w:val="BodyText"/>
              <w:rPr>
                <w:rFonts w:eastAsia="SimSun"/>
              </w:rPr>
            </w:pPr>
            <w:r w:rsidRPr="00053540">
              <w:rPr>
                <w:rFonts w:eastAsia="SimSun"/>
                <w:b/>
                <w:bCs/>
              </w:rPr>
              <w:t>Is it ok for Lenovo if we agree that eDRX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BodyText"/>
              <w:rPr>
                <w:rFonts w:eastAsia="SimSun"/>
                <w:b/>
                <w:bCs/>
              </w:rPr>
            </w:pPr>
            <w:r w:rsidRPr="00053540">
              <w:rPr>
                <w:rFonts w:eastAsia="SimSun"/>
                <w:b/>
                <w:bCs/>
                <w:lang w:val="en-US"/>
              </w:rPr>
              <w:t xml:space="preserve">[Apple] eDRX operation is mostly in RAN (gNB and eNB). Is it ok for Xiaomi if </w:t>
            </w:r>
            <w:r w:rsidRPr="00053540">
              <w:rPr>
                <w:rFonts w:eastAsia="SimSun"/>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 xml:space="preserve">Agree with Apple and Qualcomm. 2.56s eDRX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BodyText"/>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BodyText"/>
              <w:rPr>
                <w:rFonts w:eastAsia="SimSun"/>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BodyText"/>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BodyText"/>
              <w:rPr>
                <w:rFonts w:eastAsia="SimSun"/>
                <w:lang w:val="en-US"/>
              </w:rPr>
            </w:pPr>
            <w:r>
              <w:rPr>
                <w:rFonts w:eastAsia="SimSun"/>
                <w:lang w:val="en-US"/>
              </w:rPr>
              <w:t>2.56s</w:t>
            </w:r>
          </w:p>
        </w:tc>
        <w:tc>
          <w:tcPr>
            <w:tcW w:w="6378" w:type="dxa"/>
          </w:tcPr>
          <w:p w14:paraId="758047FE" w14:textId="77777777" w:rsidR="00C87D5C" w:rsidRDefault="00C87D5C" w:rsidP="00C87D5C">
            <w:pPr>
              <w:pStyle w:val="BodyText"/>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BodyText"/>
              <w:rPr>
                <w:rFonts w:eastAsia="SimSun"/>
                <w:lang w:val="en-US"/>
              </w:rPr>
            </w:pPr>
            <w:r>
              <w:rPr>
                <w:rFonts w:eastAsia="SimSun"/>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BodyText"/>
              <w:rPr>
                <w:rFonts w:eastAsia="Malgun Gothic"/>
                <w:bCs/>
                <w:lang w:val="en-US" w:eastAsia="ko-KR"/>
              </w:rPr>
            </w:pPr>
            <w:r>
              <w:rPr>
                <w:rFonts w:eastAsia="DengXian"/>
                <w:bCs/>
                <w:lang w:val="en-US"/>
              </w:rPr>
              <w:t>Sequans</w:t>
            </w:r>
          </w:p>
        </w:tc>
        <w:tc>
          <w:tcPr>
            <w:tcW w:w="1560" w:type="dxa"/>
          </w:tcPr>
          <w:p w14:paraId="719DE7E1" w14:textId="341E146A" w:rsidR="00EC2FF5" w:rsidRDefault="00EC2FF5" w:rsidP="00EC2FF5">
            <w:pPr>
              <w:pStyle w:val="BodyText"/>
              <w:rPr>
                <w:rFonts w:eastAsia="SimSun"/>
                <w:lang w:val="en-US"/>
              </w:rPr>
            </w:pPr>
            <w:r>
              <w:rPr>
                <w:rFonts w:eastAsia="DengXian"/>
                <w:bCs/>
                <w:lang w:val="en-US"/>
              </w:rPr>
              <w:t>2.56s</w:t>
            </w:r>
          </w:p>
        </w:tc>
        <w:tc>
          <w:tcPr>
            <w:tcW w:w="6378" w:type="dxa"/>
          </w:tcPr>
          <w:p w14:paraId="51D5953A" w14:textId="2CCE0482" w:rsidR="00EC2FF5" w:rsidRDefault="00EC2FF5" w:rsidP="00EC2FF5">
            <w:pPr>
              <w:pStyle w:val="BodyText"/>
              <w:rPr>
                <w:rFonts w:eastAsia="SimSun"/>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BodyText"/>
              <w:rPr>
                <w:rFonts w:eastAsia="DengXian"/>
                <w:bCs/>
                <w:lang w:val="en-US"/>
              </w:rPr>
            </w:pPr>
            <w:r>
              <w:rPr>
                <w:rFonts w:eastAsia="DengXian"/>
                <w:bCs/>
                <w:lang w:val="en-US"/>
              </w:rPr>
              <w:t>Convida</w:t>
            </w:r>
          </w:p>
        </w:tc>
        <w:tc>
          <w:tcPr>
            <w:tcW w:w="1560" w:type="dxa"/>
          </w:tcPr>
          <w:p w14:paraId="234A69F3" w14:textId="02CC79C4" w:rsidR="00A968AC" w:rsidRDefault="00A968AC" w:rsidP="00A968AC">
            <w:pPr>
              <w:pStyle w:val="BodyText"/>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BodyText"/>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BodyText"/>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r w:rsidRPr="00080904">
              <w:rPr>
                <w:rFonts w:eastAsia="SimSun"/>
                <w:lang w:val="en-US"/>
              </w:rPr>
              <w:t xml:space="preserve">RedCap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eDRX</w:t>
            </w:r>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or alternatively, a UE could request or the NW could configure a dynamic eDRX cycle depending on the delay tolerance for mobile terminated data</w:t>
            </w:r>
            <w:r w:rsidRPr="00080904">
              <w:rPr>
                <w:rFonts w:eastAsia="SimSun"/>
                <w:lang w:val="en-US"/>
              </w:rPr>
              <w:t>.</w:t>
            </w: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 xml:space="preserve">reached e.g. on whether the PTW for RRC_INACTIVE can be </w:t>
      </w:r>
      <w:r w:rsidRPr="00F85A5B">
        <w:lastRenderedPageBreak/>
        <w:t>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7F67A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4pt;height:164.35pt;mso-width-percent:0;mso-height-percent:0;mso-width-percent:0;mso-height-percent:0" o:ole="">
            <v:imagedata r:id="rId11" o:title=""/>
          </v:shape>
          <o:OLEObject Type="Embed" ProgID="Visio.Drawing.15" ShapeID="_x0000_i1025" DrawAspect="Content" ObjectID="_1683378714"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w:t>
            </w:r>
            <w:r w:rsidRPr="00F85A5B">
              <w:rPr>
                <w:rFonts w:eastAsia="Yu Mincho"/>
                <w:i/>
                <w:iCs/>
                <w:lang w:val="en-US"/>
              </w:rPr>
              <w:lastRenderedPageBreak/>
              <w:t xml:space="preserve">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gNB, it seems feasible that </w:t>
            </w:r>
            <w:r w:rsidRPr="00FA0F10">
              <w:lastRenderedPageBreak/>
              <w:t>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37E09140"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eDRX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for defining UE behaviour</w:t>
            </w:r>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SimSun"/>
                <w:lang w:val="en-US"/>
              </w:rPr>
            </w:pPr>
            <w:r>
              <w:rPr>
                <w:rFonts w:eastAsia="SimSun"/>
                <w:lang w:val="en-US"/>
              </w:rPr>
              <w:t>Yes</w:t>
            </w:r>
          </w:p>
        </w:tc>
        <w:tc>
          <w:tcPr>
            <w:tcW w:w="5811" w:type="dxa"/>
          </w:tcPr>
          <w:p w14:paraId="6730BEB9" w14:textId="701B4056" w:rsidR="008C1203" w:rsidRDefault="008C1203" w:rsidP="002E34E9">
            <w:pPr>
              <w:pStyle w:val="BodyText"/>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BodyText"/>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BodyText"/>
              <w:rPr>
                <w:rFonts w:eastAsia="SimSun"/>
                <w:lang w:val="en-US"/>
              </w:rPr>
            </w:pPr>
            <w:r>
              <w:rPr>
                <w:rFonts w:eastAsia="SimSun"/>
                <w:lang w:val="en-US"/>
              </w:rPr>
              <w:t>Yes</w:t>
            </w:r>
          </w:p>
        </w:tc>
        <w:tc>
          <w:tcPr>
            <w:tcW w:w="5811" w:type="dxa"/>
          </w:tcPr>
          <w:p w14:paraId="7F17F857" w14:textId="77777777" w:rsidR="00F51C11" w:rsidRDefault="00F51C11" w:rsidP="00F51C11">
            <w:pPr>
              <w:pStyle w:val="BodyText"/>
              <w:rPr>
                <w:rFonts w:eastAsia="SimSun"/>
                <w:lang w:val="en-US"/>
              </w:rPr>
            </w:pPr>
            <w:r>
              <w:rPr>
                <w:rFonts w:eastAsia="SimSun"/>
                <w:lang w:val="en-US"/>
              </w:rPr>
              <w:t>We understand that i</w:t>
            </w:r>
            <w:r w:rsidRPr="00472413">
              <w:rPr>
                <w:rFonts w:eastAsia="SimSun"/>
                <w:lang w:val="en-US"/>
              </w:rPr>
              <w:t>f common LTE-based PTW config. (as proposed by some companies) but different TeDRX values are used for IDLE and INACTIVE, this may break the way that LTE eDRX mechanism spread the UE’s PTW which is calculated based on T eDRX,H (i.e. eDRX cycle of the UE in Hyper-frames) for the PH and PTW_start. Note that UE-specific PTW depends on PH, PTW_start and PTW_end</w:t>
            </w:r>
            <w:r>
              <w:rPr>
                <w:rFonts w:eastAsia="SimSun"/>
                <w:lang w:val="en-US"/>
              </w:rPr>
              <w:t>.</w:t>
            </w:r>
          </w:p>
          <w:p w14:paraId="559F1CB6" w14:textId="77777777" w:rsidR="00F51C11" w:rsidRDefault="00F51C11" w:rsidP="00F51C11">
            <w:pPr>
              <w:pStyle w:val="BodyText"/>
              <w:rPr>
                <w:rFonts w:eastAsia="SimSun"/>
                <w:lang w:val="en-US"/>
              </w:rPr>
            </w:pPr>
            <w:r>
              <w:rPr>
                <w:rFonts w:eastAsia="SimSun"/>
                <w:lang w:val="en-US"/>
              </w:rPr>
              <w:t>Therefore, it can be left u</w:t>
            </w:r>
            <w:r w:rsidRPr="00CE79D1">
              <w:rPr>
                <w:rFonts w:eastAsia="SimSun"/>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BodyText"/>
              <w:rPr>
                <w:rFonts w:eastAsia="SimSun"/>
                <w:lang w:val="en-US"/>
              </w:rPr>
            </w:pPr>
            <w:r w:rsidRPr="006F7B08">
              <w:rPr>
                <w:rFonts w:eastAsia="SimSun"/>
                <w:lang w:val="en-US"/>
              </w:rPr>
              <w:t xml:space="preserve">If RAN2 TS provide some guidance, this can indicate that PTW for eDRX in IDLE should partially overlaps with PTW for eDRX </w:t>
            </w:r>
            <w:r w:rsidRPr="006F7B08">
              <w:rPr>
                <w:rFonts w:eastAsia="SimSun"/>
                <w:lang w:val="en-US"/>
              </w:rPr>
              <w:lastRenderedPageBreak/>
              <w:t>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BodyText"/>
              <w:rPr>
                <w:rFonts w:eastAsia="Malgun Gothic"/>
                <w:bCs/>
                <w:lang w:val="en-US" w:eastAsia="ko-KR"/>
              </w:rPr>
            </w:pPr>
            <w:r>
              <w:rPr>
                <w:rFonts w:eastAsia="Malgun Gothic"/>
                <w:bCs/>
                <w:lang w:val="en-US" w:eastAsia="ko-KR"/>
              </w:rPr>
              <w:lastRenderedPageBreak/>
              <w:t>Sequans</w:t>
            </w:r>
          </w:p>
        </w:tc>
        <w:tc>
          <w:tcPr>
            <w:tcW w:w="2127" w:type="dxa"/>
          </w:tcPr>
          <w:p w14:paraId="1AE65C7D" w14:textId="37CAB917" w:rsidR="00EC2FF5" w:rsidRDefault="00EC2FF5" w:rsidP="00EC2FF5">
            <w:pPr>
              <w:pStyle w:val="BodyText"/>
              <w:rPr>
                <w:rFonts w:eastAsia="SimSun"/>
                <w:lang w:val="en-US"/>
              </w:rPr>
            </w:pPr>
            <w:r>
              <w:rPr>
                <w:rFonts w:eastAsia="SimSun"/>
                <w:lang w:val="en-US"/>
              </w:rPr>
              <w:t>Yes</w:t>
            </w:r>
          </w:p>
        </w:tc>
        <w:tc>
          <w:tcPr>
            <w:tcW w:w="5811" w:type="dxa"/>
          </w:tcPr>
          <w:p w14:paraId="1276F4E4" w14:textId="772B7D85" w:rsidR="00EC2FF5" w:rsidRDefault="00EC2FF5" w:rsidP="00EC2FF5">
            <w:pPr>
              <w:pStyle w:val="BodyText"/>
              <w:rPr>
                <w:rFonts w:eastAsia="SimSun"/>
                <w:lang w:val="en-US"/>
              </w:rPr>
            </w:pPr>
            <w:r>
              <w:rPr>
                <w:rFonts w:eastAsia="SimSun"/>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5643420B" w14:textId="574676B8" w:rsidR="006A389F" w:rsidRDefault="006A389F" w:rsidP="006A389F">
            <w:pPr>
              <w:pStyle w:val="BodyText"/>
              <w:rPr>
                <w:rFonts w:eastAsia="SimSun"/>
                <w:lang w:val="en-US"/>
              </w:rPr>
            </w:pPr>
            <w:r>
              <w:rPr>
                <w:rFonts w:eastAsia="SimSun"/>
                <w:lang w:val="en-US"/>
              </w:rPr>
              <w:t>Yes</w:t>
            </w:r>
          </w:p>
        </w:tc>
        <w:tc>
          <w:tcPr>
            <w:tcW w:w="5811" w:type="dxa"/>
          </w:tcPr>
          <w:p w14:paraId="6D49744A" w14:textId="45455C71" w:rsidR="006A389F" w:rsidRDefault="006A389F" w:rsidP="006A389F">
            <w:pPr>
              <w:pStyle w:val="BodyText"/>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overlapping PTW, we do not see a compelling reason to allow for different eDRX cycles</w:t>
            </w:r>
            <w:r>
              <w:rPr>
                <w:rFonts w:eastAsia="SimSun"/>
                <w:lang w:val="en-US"/>
              </w:rPr>
              <w:t>,</w:t>
            </w:r>
            <w:r w:rsidRPr="0099536C">
              <w:rPr>
                <w:rFonts w:eastAsia="SimSun"/>
                <w:lang w:val="en-US"/>
              </w:rPr>
              <w:t xml:space="preserve"> but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lastRenderedPageBreak/>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LTE-M eDRX as copied below</w:t>
            </w:r>
            <w:r>
              <w:rPr>
                <w:rFonts w:eastAsia="SimSun"/>
                <w:lang w:val="en-US"/>
              </w:rPr>
              <w:t>)</w:t>
            </w:r>
            <w:r>
              <w:rPr>
                <w:rFonts w:eastAsia="SimSun" w:hint="eastAsia"/>
                <w:lang w:val="en-US"/>
              </w:rPr>
              <w:t>, different eDRX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SimSun"/>
                <w:lang w:val="en-US"/>
              </w:rPr>
            </w:pPr>
            <w:r>
              <w:rPr>
                <w:rFonts w:eastAsia="SimSun"/>
                <w:lang w:val="en-US"/>
              </w:rPr>
              <w:t>Yes</w:t>
            </w:r>
          </w:p>
        </w:tc>
        <w:tc>
          <w:tcPr>
            <w:tcW w:w="5811" w:type="dxa"/>
          </w:tcPr>
          <w:p w14:paraId="16590F47" w14:textId="6AA3934E" w:rsidR="008C1203" w:rsidRDefault="008C1203" w:rsidP="00497303">
            <w:pPr>
              <w:pStyle w:val="BodyText"/>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BodyText"/>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BodyText"/>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BodyText"/>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BodyText"/>
              <w:jc w:val="left"/>
              <w:rPr>
                <w:rFonts w:eastAsia="SimSun"/>
                <w:lang w:val="en-US"/>
              </w:rPr>
            </w:pPr>
            <w:r>
              <w:rPr>
                <w:rFonts w:eastAsia="SimSun"/>
                <w:lang w:val="en-US"/>
              </w:rPr>
              <w:t>Maybe</w:t>
            </w:r>
          </w:p>
        </w:tc>
        <w:tc>
          <w:tcPr>
            <w:tcW w:w="5811" w:type="dxa"/>
          </w:tcPr>
          <w:p w14:paraId="16AD55EF" w14:textId="46AAC930" w:rsidR="00EC2FF5" w:rsidRDefault="00EC2FF5" w:rsidP="00EC2FF5">
            <w:pPr>
              <w:pStyle w:val="BodyText"/>
              <w:rPr>
                <w:rFonts w:eastAsia="SimSun"/>
                <w:lang w:val="en-US"/>
              </w:rPr>
            </w:pPr>
            <w:r>
              <w:rPr>
                <w:rFonts w:eastAsia="SimSun"/>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BodyText"/>
              <w:rPr>
                <w:rFonts w:eastAsia="Malgun Gothic" w:hint="cs"/>
                <w:bCs/>
                <w:lang w:val="en-US" w:eastAsia="ko-KR"/>
              </w:rPr>
            </w:pPr>
            <w:r>
              <w:rPr>
                <w:rFonts w:eastAsia="Malgun Gothic"/>
                <w:bCs/>
                <w:lang w:val="en-US" w:eastAsia="ko-KR"/>
              </w:rPr>
              <w:t>Convida</w:t>
            </w:r>
          </w:p>
        </w:tc>
        <w:tc>
          <w:tcPr>
            <w:tcW w:w="2127" w:type="dxa"/>
          </w:tcPr>
          <w:p w14:paraId="19F88DD8" w14:textId="1D9814F0" w:rsidR="006A389F" w:rsidRDefault="006A389F" w:rsidP="006A389F">
            <w:pPr>
              <w:pStyle w:val="BodyText"/>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BodyText"/>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lastRenderedPageBreak/>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BodyText"/>
              <w:rPr>
                <w:rFonts w:eastAsia="SimSun"/>
                <w:lang w:val="en-US"/>
              </w:rPr>
            </w:pPr>
            <w:r>
              <w:rPr>
                <w:rFonts w:eastAsia="SimSun"/>
                <w:lang w:val="en-US"/>
              </w:rPr>
              <w:lastRenderedPageBreak/>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lastRenderedPageBreak/>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val="en-US"/>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SimSun"/>
                <w:lang w:val="en-US"/>
              </w:rPr>
            </w:pPr>
            <w:r>
              <w:rPr>
                <w:rFonts w:eastAsia="SimSun"/>
                <w:lang w:val="en-US"/>
              </w:rPr>
              <w:t>No</w:t>
            </w:r>
          </w:p>
        </w:tc>
        <w:tc>
          <w:tcPr>
            <w:tcW w:w="5811" w:type="dxa"/>
          </w:tcPr>
          <w:p w14:paraId="4E6E788D" w14:textId="00612976" w:rsidR="008C1203" w:rsidRDefault="008C1203" w:rsidP="00AC0E2C">
            <w:pPr>
              <w:pStyle w:val="BodyText"/>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BodyText"/>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BodyText"/>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BodyText"/>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BodyText"/>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BodyText"/>
              <w:rPr>
                <w:rFonts w:eastAsia="SimSun"/>
                <w:lang w:val="en-US"/>
              </w:rPr>
            </w:pPr>
            <w:r>
              <w:rPr>
                <w:rFonts w:eastAsia="SimSun"/>
                <w:lang w:val="en-US"/>
              </w:rPr>
              <w:t>No</w:t>
            </w:r>
          </w:p>
        </w:tc>
        <w:tc>
          <w:tcPr>
            <w:tcW w:w="5811" w:type="dxa"/>
          </w:tcPr>
          <w:p w14:paraId="2C0EE5C6" w14:textId="665CE4D8" w:rsidR="00EC2FF5" w:rsidRDefault="00EC2FF5" w:rsidP="00EC2FF5">
            <w:pPr>
              <w:pStyle w:val="BodyText"/>
              <w:rPr>
                <w:rFonts w:eastAsia="SimSun"/>
                <w:lang w:val="en-US"/>
              </w:rPr>
            </w:pPr>
            <w:r>
              <w:rPr>
                <w:rFonts w:eastAsia="SimSun"/>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1EB7857B" w14:textId="6B3B68AC" w:rsidR="006A389F" w:rsidRDefault="006A389F" w:rsidP="006A389F">
            <w:pPr>
              <w:pStyle w:val="BodyText"/>
              <w:rPr>
                <w:rFonts w:eastAsia="SimSun"/>
                <w:lang w:val="en-US"/>
              </w:rPr>
            </w:pPr>
            <w:r>
              <w:rPr>
                <w:rFonts w:eastAsia="SimSun"/>
                <w:lang w:val="en-US"/>
              </w:rPr>
              <w:t>Maybe</w:t>
            </w:r>
          </w:p>
        </w:tc>
        <w:tc>
          <w:tcPr>
            <w:tcW w:w="5811" w:type="dxa"/>
          </w:tcPr>
          <w:p w14:paraId="01887AE2" w14:textId="612B7DFA" w:rsidR="006A389F" w:rsidRDefault="006A389F" w:rsidP="006A389F">
            <w:pPr>
              <w:pStyle w:val="BodyText"/>
              <w:rPr>
                <w:rFonts w:eastAsia="SimSun"/>
                <w:lang w:val="en-US"/>
              </w:rPr>
            </w:pPr>
            <w:r>
              <w:rPr>
                <w:rFonts w:eastAsia="SimSun"/>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RAN decides and configures eDRX via RRC for RRC_INACTIVE</w:t>
            </w:r>
            <w:r>
              <w:rPr>
                <w:rFonts w:eastAsia="SimSun"/>
                <w:lang w:val="en-US"/>
              </w:rPr>
              <w:t xml:space="preserve"> and the CN decides and configures eDRX for RRC_IDLE.</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lastRenderedPageBreak/>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5"/>
    </w:p>
    <w:p w14:paraId="713E7610" w14:textId="0A4BF2F5" w:rsidR="00062C65" w:rsidRPr="00F85A5B" w:rsidRDefault="009C64AF" w:rsidP="00062C65">
      <w:pPr>
        <w:pStyle w:val="Reference"/>
      </w:pPr>
      <w:hyperlink r:id="rId15">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r>
              <w:rPr>
                <w:rStyle w:val="Hyperlink"/>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Hyperlink"/>
                <w:color w:val="000000" w:themeColor="text1"/>
                <w:u w:val="none"/>
                <w:lang w:val="es-ES"/>
              </w:rPr>
            </w:pPr>
            <w:r w:rsidRPr="007A24B1">
              <w:rPr>
                <w:rStyle w:val="Hyperlink"/>
                <w:color w:val="000000" w:themeColor="text1"/>
                <w:u w:val="none"/>
                <w:lang w:val="es-ES"/>
              </w:rPr>
              <w:t>Marta Martinez Tarradell (m</w:t>
            </w:r>
            <w:r w:rsidR="00EB5D9E" w:rsidRPr="007A24B1">
              <w:rPr>
                <w:rStyle w:val="Hyperlink"/>
                <w:color w:val="000000" w:themeColor="text1"/>
                <w:u w:val="none"/>
                <w:lang w:val="es-ES"/>
              </w:rPr>
              <w:t>arta.m.tarradell@intel.com</w:t>
            </w:r>
            <w:r w:rsidRPr="007A24B1">
              <w:rPr>
                <w:rStyle w:val="Hyperlink"/>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7A24B1" w:rsidRDefault="00BA382A" w:rsidP="00BA382A">
            <w:pPr>
              <w:jc w:val="center"/>
              <w:rPr>
                <w:rStyle w:val="Hyperlink"/>
                <w:color w:val="000000" w:themeColor="text1"/>
                <w:u w:val="none"/>
                <w:lang w:val="es-ES"/>
              </w:rPr>
            </w:pP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7A24B1" w:rsidRDefault="00BA382A" w:rsidP="00BA382A">
            <w:pPr>
              <w:jc w:val="center"/>
              <w:rPr>
                <w:rStyle w:val="Hyperlink"/>
                <w:color w:val="000000" w:themeColor="text1"/>
                <w:u w:val="none"/>
                <w:lang w:val="es-ES"/>
              </w:rPr>
            </w:pP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C498" w14:textId="77777777" w:rsidR="009C64AF" w:rsidRDefault="009C64AF" w:rsidP="00796430">
      <w:r>
        <w:separator/>
      </w:r>
    </w:p>
  </w:endnote>
  <w:endnote w:type="continuationSeparator" w:id="0">
    <w:p w14:paraId="30020992" w14:textId="77777777" w:rsidR="009C64AF" w:rsidRDefault="009C64AF" w:rsidP="00796430">
      <w:r>
        <w:continuationSeparator/>
      </w:r>
    </w:p>
  </w:endnote>
  <w:endnote w:type="continuationNotice" w:id="1">
    <w:p w14:paraId="0610DEA6" w14:textId="77777777" w:rsidR="009C64AF" w:rsidRDefault="009C64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4E89" w14:textId="77777777" w:rsidR="002E34E9" w:rsidRDefault="002E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769BD106" w:rsidR="00497303" w:rsidRDefault="004973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34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34E9">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5B13" w14:textId="77777777" w:rsidR="002E34E9" w:rsidRDefault="002E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F343" w14:textId="77777777" w:rsidR="009C64AF" w:rsidRDefault="009C64AF" w:rsidP="00796430">
      <w:r>
        <w:separator/>
      </w:r>
    </w:p>
  </w:footnote>
  <w:footnote w:type="continuationSeparator" w:id="0">
    <w:p w14:paraId="4A21DB21" w14:textId="77777777" w:rsidR="009C64AF" w:rsidRDefault="009C64AF" w:rsidP="00796430">
      <w:r>
        <w:continuationSeparator/>
      </w:r>
    </w:p>
  </w:footnote>
  <w:footnote w:type="continuationNotice" w:id="1">
    <w:p w14:paraId="2E149CA9" w14:textId="77777777" w:rsidR="009C64AF" w:rsidRDefault="009C64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7E7E" w14:textId="77777777" w:rsidR="002E34E9" w:rsidRDefault="002E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4D0" w14:textId="77777777" w:rsidR="002E34E9" w:rsidRDefault="002E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AF7FD8EF-85EB-4888-AB69-2E3D8ACC031A}">
  <ds:schemaRefs>
    <ds:schemaRef ds:uri="http://schemas.openxmlformats.org/officeDocument/2006/bibliography"/>
  </ds:schemaRefs>
</ds:datastoreItem>
</file>

<file path=customXml/itemProps4.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4915</Words>
  <Characters>28018</Characters>
  <Application>Microsoft Office Word</Application>
  <DocSecurity>0</DocSecurity>
  <Lines>233</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32868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Jerome Vogedes (Consultant)</cp:lastModifiedBy>
  <cp:revision>4</cp:revision>
  <cp:lastPrinted>2016-09-19T16:11:00Z</cp:lastPrinted>
  <dcterms:created xsi:type="dcterms:W3CDTF">2021-05-24T21:01:00Z</dcterms:created>
  <dcterms:modified xsi:type="dcterms:W3CDTF">2021-05-24T21:25:00Z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