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E30E" w14:textId="77777777" w:rsidR="00611E39" w:rsidRDefault="00137044">
      <w:pPr>
        <w:pStyle w:val="aa"/>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a"/>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a"/>
        <w:rPr>
          <w:bCs/>
          <w:sz w:val="24"/>
        </w:rPr>
      </w:pPr>
    </w:p>
    <w:p w14:paraId="73FC2554" w14:textId="77777777" w:rsidR="00611E39" w:rsidRDefault="00611E39">
      <w:pPr>
        <w:pStyle w:val="aa"/>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CCE8CF" w:themeColor="background1"/>
              </w:rPr>
            </w:pPr>
            <w:r>
              <w:rPr>
                <w:color w:val="CCE8C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CCE8CF" w:themeColor="background1"/>
              </w:rPr>
            </w:pPr>
            <w:r>
              <w:rPr>
                <w:color w:val="CCE8C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CCE8CF" w:themeColor="background1"/>
              </w:rPr>
            </w:pPr>
            <w:r>
              <w:rPr>
                <w:color w:val="CCE8C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9C5739">
            <w:pPr>
              <w:pStyle w:val="TAC"/>
              <w:spacing w:before="20" w:after="20"/>
              <w:ind w:left="57" w:right="57"/>
              <w:jc w:val="left"/>
              <w:rPr>
                <w:lang w:eastAsia="zh-CN"/>
              </w:rPr>
            </w:pPr>
            <w:hyperlink r:id="rId11" w:history="1">
              <w:r w:rsidR="00137044">
                <w:rPr>
                  <w:rStyle w:val="ae"/>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9C5739">
            <w:pPr>
              <w:pStyle w:val="TAC"/>
              <w:spacing w:before="20" w:after="20"/>
              <w:ind w:left="57" w:right="57"/>
              <w:jc w:val="left"/>
              <w:rPr>
                <w:lang w:eastAsia="ko-KR"/>
              </w:rPr>
            </w:pPr>
            <w:hyperlink r:id="rId12" w:history="1">
              <w:r w:rsidR="007F3CF9">
                <w:rPr>
                  <w:rStyle w:val="ae"/>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Malgun Gothic"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8738CC"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2991F328"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5F2A1F39" w:rsidR="008738CC" w:rsidRDefault="008738CC" w:rsidP="008738C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6DFCA871" w:rsidR="008738CC" w:rsidRDefault="008738CC" w:rsidP="008738CC">
            <w:pPr>
              <w:pStyle w:val="TAC"/>
              <w:spacing w:before="20" w:after="20"/>
              <w:ind w:left="57" w:right="57"/>
              <w:jc w:val="left"/>
              <w:rPr>
                <w:lang w:eastAsia="zh-CN"/>
              </w:rPr>
            </w:pPr>
            <w:r>
              <w:rPr>
                <w:lang w:eastAsia="zh-CN"/>
              </w:rPr>
              <w:t>Chenli5g@vivo.com</w:t>
            </w:r>
          </w:p>
        </w:tc>
      </w:tr>
      <w:tr w:rsidR="008738CC"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77777777" w:rsidR="008738CC" w:rsidRDefault="008738CC" w:rsidP="008738CC">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77777777" w:rsidR="008738CC" w:rsidRDefault="008738CC" w:rsidP="008738CC">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77777777" w:rsidR="008738CC" w:rsidRDefault="008738CC" w:rsidP="008738CC">
            <w:pPr>
              <w:pStyle w:val="TAC"/>
              <w:spacing w:before="20" w:after="20"/>
              <w:ind w:left="57" w:right="57"/>
              <w:jc w:val="left"/>
              <w:rPr>
                <w:lang w:eastAsia="zh-CN"/>
              </w:rPr>
            </w:pPr>
          </w:p>
        </w:tc>
      </w:tr>
      <w:tr w:rsidR="008738CC"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8738CC" w:rsidRDefault="008738CC" w:rsidP="008738CC">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8738CC" w:rsidRDefault="008738CC" w:rsidP="008738CC">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8738CC" w:rsidRDefault="008738CC" w:rsidP="008738CC">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9C5739">
      <w:pPr>
        <w:pStyle w:val="Doc-title"/>
      </w:pPr>
      <w:hyperlink r:id="rId13" w:tooltip="D:Documents3GPPtsg_ranWG2TSGR2_114-eDocsR2-2106188.zip" w:history="1">
        <w:r w:rsidR="00137044">
          <w:rPr>
            <w:rStyle w:val="ae"/>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9C5739">
      <w:pPr>
        <w:pStyle w:val="Doc-title"/>
      </w:pPr>
      <w:hyperlink r:id="rId14" w:tooltip="D:Documents3GPPtsg_ranWG2TSGR2_114-eDocsR2-2106189.zip" w:history="1">
        <w:r w:rsidR="00137044">
          <w:rPr>
            <w:rStyle w:val="ae"/>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CCE8CF" w:themeColor="background1"/>
              </w:rPr>
            </w:pPr>
            <w:r>
              <w:rPr>
                <w:color w:val="CCE8C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if the network releases the active BWP using RRC reconfiguration message, it includes the firstActiveDownlinkBWP-Id/ firstActiveUplinkBWP-Id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9E4934">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Default="006D4F83" w:rsidP="006D4F83">
            <w:pPr>
              <w:pStyle w:val="TAC"/>
              <w:spacing w:before="20" w:after="20"/>
              <w:ind w:left="57" w:right="57"/>
              <w:jc w:val="left"/>
              <w:rPr>
                <w:lang w:eastAsia="zh-CN"/>
              </w:rPr>
            </w:pPr>
            <w:r>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Default="009E4934"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Default="009E4934"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Default="009E4934" w:rsidP="006D4F83">
            <w:pPr>
              <w:pStyle w:val="TAC"/>
              <w:spacing w:before="20" w:after="20"/>
              <w:ind w:left="57" w:right="57"/>
              <w:jc w:val="left"/>
              <w:rPr>
                <w:lang w:eastAsia="zh-CN"/>
              </w:rPr>
            </w:pPr>
            <w:r>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Default="00C560C3" w:rsidP="00C560C3">
            <w:pPr>
              <w:pStyle w:val="TAC"/>
              <w:spacing w:before="20" w:after="20"/>
              <w:ind w:left="57" w:right="57"/>
              <w:jc w:val="left"/>
              <w:rPr>
                <w:lang w:eastAsia="zh-CN"/>
              </w:rPr>
            </w:pPr>
            <w:r>
              <w:rPr>
                <w:rFonts w:eastAsia="Malgun Gothic" w:hint="eastAsia"/>
                <w:lang w:eastAsia="ko-KR"/>
              </w:rPr>
              <w:t>No</w:t>
            </w:r>
            <w:r>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Default="00C560C3" w:rsidP="00C560C3">
            <w:pPr>
              <w:pStyle w:val="TAC"/>
              <w:spacing w:before="20" w:after="20"/>
              <w:ind w:left="57" w:right="57"/>
              <w:jc w:val="left"/>
              <w:rPr>
                <w:lang w:eastAsia="zh-CN"/>
              </w:rPr>
            </w:pPr>
            <w:r>
              <w:rPr>
                <w:lang w:eastAsia="zh-CN"/>
              </w:rPr>
              <w:t>If needed, we suggest to reword as below:</w:t>
            </w:r>
          </w:p>
          <w:p w14:paraId="53C65672" w14:textId="1BCF3795" w:rsidR="00C560C3" w:rsidRDefault="00C560C3" w:rsidP="00C560C3">
            <w:pPr>
              <w:pStyle w:val="TAC"/>
              <w:spacing w:before="20" w:after="20"/>
              <w:ind w:left="57" w:right="57"/>
              <w:jc w:val="left"/>
              <w:rPr>
                <w:lang w:eastAsia="zh-CN"/>
              </w:rPr>
            </w:pPr>
            <w:r>
              <w:rPr>
                <w:lang w:eastAsia="zh-CN"/>
              </w:rPr>
              <w:t>N</w:t>
            </w:r>
            <w:r w:rsidRPr="00F05468">
              <w:rPr>
                <w:lang w:eastAsia="zh-CN"/>
              </w:rPr>
              <w:t>etwork ensures that UE is configured with active BWP after applying the RRC reconfiguration message. E.g. network includes firstActiveDownlinkBWP-Id/firstActiveUplinkBWP-Id in the same RRC message as used to release active BWP.</w:t>
            </w:r>
          </w:p>
        </w:tc>
      </w:tr>
      <w:tr w:rsidR="008738CC"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628FDEE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3D408C0" w14:textId="44681758"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68545E5D" w:rsidR="008738CC" w:rsidRDefault="008738CC" w:rsidP="008738CC">
            <w:pPr>
              <w:pStyle w:val="TAC"/>
              <w:spacing w:before="20" w:after="20"/>
              <w:ind w:left="57" w:right="57"/>
              <w:jc w:val="left"/>
              <w:rPr>
                <w:lang w:eastAsia="zh-CN"/>
              </w:rPr>
            </w:pPr>
            <w:r>
              <w:rPr>
                <w:lang w:eastAsia="zh-CN"/>
              </w:rPr>
              <w:t xml:space="preserve">We are not whether we need to capture anything the specification. If it is needed, the same agreements should be captured. </w:t>
            </w:r>
          </w:p>
        </w:tc>
      </w:tr>
      <w:tr w:rsidR="008738CC"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F2F430"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77777777" w:rsidR="008738CC" w:rsidRDefault="008738CC" w:rsidP="008738CC">
            <w:pPr>
              <w:pStyle w:val="TAC"/>
              <w:spacing w:before="20" w:after="20"/>
              <w:ind w:left="57" w:right="57"/>
              <w:jc w:val="left"/>
              <w:rPr>
                <w:lang w:eastAsia="zh-CN"/>
              </w:rPr>
            </w:pPr>
          </w:p>
        </w:tc>
      </w:tr>
      <w:tr w:rsidR="008738CC"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8738CC" w:rsidRDefault="008738CC" w:rsidP="008738CC">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lastRenderedPageBreak/>
        <w:t>3.2</w:t>
      </w:r>
      <w:r>
        <w:tab/>
        <w:t>L1 Parameters</w:t>
      </w:r>
    </w:p>
    <w:p w14:paraId="3FAC04D1" w14:textId="77777777" w:rsidR="00611E39" w:rsidRDefault="00137044">
      <w:r>
        <w:t>The CRs related to this topic are:</w:t>
      </w:r>
    </w:p>
    <w:p w14:paraId="45419294" w14:textId="77777777" w:rsidR="00611E39" w:rsidRDefault="009C5739">
      <w:pPr>
        <w:pStyle w:val="Doc-title"/>
      </w:pPr>
      <w:hyperlink r:id="rId15" w:tooltip="D:Documents3GPPtsg_ranWG2TSGR2_114-eDocsR2-2106267.zip" w:history="1">
        <w:r w:rsidR="00137044">
          <w:rPr>
            <w:rStyle w:val="ae"/>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9C5739">
      <w:pPr>
        <w:pStyle w:val="Doc-title"/>
      </w:pPr>
      <w:hyperlink r:id="rId16" w:tooltip="D:Documents3GPPtsg_ranWG2TSGR2_114-eDocsR2-2106270.zip" w:history="1">
        <w:r w:rsidR="00137044">
          <w:rPr>
            <w:rStyle w:val="ae"/>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9C5739">
      <w:pPr>
        <w:pStyle w:val="Doc-title"/>
      </w:pPr>
      <w:hyperlink r:id="rId17" w:tooltip="D:Documents3GPPtsg_ranWG2TSGR2_114-eDocsR2-2105323.zip" w:history="1">
        <w:r w:rsidR="00137044">
          <w:rPr>
            <w:rStyle w:val="ae"/>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9C5739">
      <w:pPr>
        <w:pStyle w:val="Doc-title"/>
      </w:pPr>
      <w:hyperlink r:id="rId18" w:tooltip="D:Documents3GPPtsg_ranWG2TSGR2_114-eDocsR2-2105324.zip" w:history="1">
        <w:r w:rsidR="00137044">
          <w:rPr>
            <w:rStyle w:val="ae"/>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CCE8CF" w:themeColor="background1"/>
              </w:rPr>
            </w:pPr>
            <w:r>
              <w:rPr>
                <w:color w:val="CCE8C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8738CC"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3AA0547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3454343" w14:textId="33D6040C"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34660286" w:rsidR="008738CC" w:rsidRDefault="008738CC" w:rsidP="008738CC">
            <w:pPr>
              <w:pStyle w:val="TAC"/>
              <w:spacing w:before="20" w:after="20"/>
              <w:ind w:left="57" w:right="57"/>
              <w:jc w:val="left"/>
              <w:rPr>
                <w:lang w:eastAsia="zh-CN"/>
              </w:rPr>
            </w:pPr>
            <w:r>
              <w:rPr>
                <w:lang w:eastAsia="zh-CN"/>
              </w:rPr>
              <w:t>To align with RAN1 specification. We are also fine to merge into rapporteur CR.</w:t>
            </w:r>
          </w:p>
        </w:tc>
      </w:tr>
      <w:tr w:rsidR="008738CC"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E3D531"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8738CC" w:rsidRDefault="008738CC" w:rsidP="008738CC">
            <w:pPr>
              <w:pStyle w:val="TAC"/>
              <w:spacing w:before="20" w:after="20"/>
              <w:ind w:left="57" w:right="57"/>
              <w:jc w:val="left"/>
              <w:rPr>
                <w:lang w:eastAsia="zh-CN"/>
              </w:rPr>
            </w:pPr>
          </w:p>
        </w:tc>
      </w:tr>
      <w:tr w:rsidR="008738CC"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8738CC" w:rsidRDefault="008738CC" w:rsidP="008738CC">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8738CC"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28A438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8B91A1B" w14:textId="3D4E5B4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021091BB" w:rsidR="008738CC" w:rsidRDefault="008738CC" w:rsidP="008738C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8738CC"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78078"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8738CC" w:rsidRDefault="008738CC" w:rsidP="008738CC">
            <w:pPr>
              <w:pStyle w:val="TAC"/>
              <w:spacing w:before="20" w:after="20"/>
              <w:ind w:left="57" w:right="57"/>
              <w:jc w:val="left"/>
              <w:rPr>
                <w:lang w:eastAsia="zh-CN"/>
              </w:rPr>
            </w:pPr>
          </w:p>
        </w:tc>
      </w:tr>
      <w:tr w:rsidR="008738CC"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8738CC" w:rsidRDefault="008738CC" w:rsidP="008738CC">
            <w:pPr>
              <w:pStyle w:val="TAC"/>
              <w:spacing w:before="20" w:after="20"/>
              <w:ind w:left="57" w:right="57"/>
              <w:jc w:val="left"/>
              <w:rPr>
                <w:lang w:eastAsia="zh-CN"/>
              </w:rPr>
            </w:pPr>
          </w:p>
        </w:tc>
      </w:tr>
      <w:tr w:rsidR="008738CC"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8738CC" w:rsidRDefault="008738CC" w:rsidP="008738CC">
            <w:pPr>
              <w:pStyle w:val="TAC"/>
              <w:spacing w:before="20" w:after="20"/>
              <w:ind w:left="57" w:right="57"/>
              <w:jc w:val="left"/>
              <w:rPr>
                <w:lang w:eastAsia="zh-CN"/>
              </w:rPr>
            </w:pPr>
          </w:p>
        </w:tc>
      </w:tr>
      <w:tr w:rsidR="008738CC"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8738CC" w:rsidRDefault="008738CC" w:rsidP="008738CC">
            <w:pPr>
              <w:pStyle w:val="TAC"/>
              <w:spacing w:before="20" w:after="20"/>
              <w:ind w:left="57" w:right="57"/>
              <w:jc w:val="left"/>
              <w:rPr>
                <w:lang w:eastAsia="zh-CN"/>
              </w:rPr>
            </w:pPr>
          </w:p>
        </w:tc>
      </w:tr>
      <w:tr w:rsidR="008738CC"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8738CC" w:rsidRDefault="008738CC" w:rsidP="008738CC">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9C5739">
      <w:pPr>
        <w:pStyle w:val="Doc-title"/>
      </w:pPr>
      <w:hyperlink r:id="rId19" w:tooltip="D:Documents3GPPtsg_ranWG2TSGR2_114-eDocsR2-2105767.zip" w:history="1">
        <w:r w:rsidR="00137044">
          <w:rPr>
            <w:rStyle w:val="ae"/>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9C5739">
      <w:pPr>
        <w:pStyle w:val="Doc-title"/>
      </w:pPr>
      <w:hyperlink r:id="rId20" w:tooltip="D:Documents3GPPtsg_ranWG2TSGR2_114-eDocsR2-2105950.zip" w:history="1">
        <w:r w:rsidR="00137044">
          <w:rPr>
            <w:rStyle w:val="ae"/>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9C5739">
      <w:pPr>
        <w:pStyle w:val="Doc-title"/>
      </w:pPr>
      <w:hyperlink r:id="rId21" w:tooltip="D:Documents3GPPtsg_ranWG2TSGR2_114-eDocsR2-2105951.zip" w:history="1">
        <w:r w:rsidR="00137044">
          <w:rPr>
            <w:rStyle w:val="ae"/>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5"/>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5"/>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c"/>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e"/>
            <w:rFonts w:ascii="Times New Roman" w:hAnsi="Times New Roman"/>
          </w:rPr>
          <w:t>Observation 1</w:t>
        </w:r>
        <w:r>
          <w:rPr>
            <w:rFonts w:ascii="Times New Roman" w:eastAsiaTheme="minorEastAsia" w:hAnsi="Times New Roman"/>
            <w:b w:val="0"/>
            <w:sz w:val="24"/>
            <w:szCs w:val="24"/>
            <w:lang w:eastAsia="en-GB"/>
          </w:rPr>
          <w:tab/>
        </w:r>
        <w:r>
          <w:rPr>
            <w:rStyle w:val="ae"/>
            <w:rFonts w:ascii="Times New Roman" w:hAnsi="Times New Roman"/>
          </w:rPr>
          <w:t xml:space="preserve">As in LTE, the processing delay requirement for the SCell modification is considered as the same of a simple </w:t>
        </w:r>
        <w:r>
          <w:rPr>
            <w:rStyle w:val="ae"/>
            <w:rFonts w:ascii="Times New Roman" w:hAnsi="Times New Roman"/>
            <w:i/>
            <w:iCs/>
          </w:rPr>
          <w:t>RRCReconfiguration</w:t>
        </w:r>
        <w:r>
          <w:rPr>
            <w:rStyle w:val="ae"/>
            <w:rFonts w:ascii="Times New Roman" w:hAnsi="Times New Roman"/>
          </w:rPr>
          <w:t xml:space="preserve"> message (i.e., 10ms).</w:t>
        </w:r>
      </w:hyperlink>
    </w:p>
    <w:p w14:paraId="05F8B673" w14:textId="77777777" w:rsidR="00611E39" w:rsidRDefault="009C5739">
      <w:pPr>
        <w:pStyle w:val="ac"/>
        <w:tabs>
          <w:tab w:val="right" w:leader="dot" w:pos="9629"/>
        </w:tabs>
        <w:rPr>
          <w:rFonts w:ascii="Times New Roman" w:eastAsiaTheme="minorEastAsia" w:hAnsi="Times New Roman"/>
          <w:b w:val="0"/>
          <w:sz w:val="24"/>
          <w:szCs w:val="24"/>
          <w:lang w:eastAsia="en-GB"/>
        </w:rPr>
      </w:pPr>
      <w:hyperlink w:anchor="_Toc71294078" w:history="1">
        <w:r w:rsidR="00137044">
          <w:rPr>
            <w:rStyle w:val="ae"/>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e"/>
            <w:rFonts w:ascii="Times New Roman" w:hAnsi="Times New Roman"/>
          </w:rPr>
          <w:t>Changing the RRC processing delay for the SCell modification from 10ms to 16ms is a NBC change.</w:t>
        </w:r>
      </w:hyperlink>
    </w:p>
    <w:p w14:paraId="317C010A" w14:textId="77777777" w:rsidR="00611E39" w:rsidRDefault="009C5739">
      <w:pPr>
        <w:pStyle w:val="ac"/>
        <w:tabs>
          <w:tab w:val="right" w:leader="dot" w:pos="9629"/>
        </w:tabs>
        <w:rPr>
          <w:rFonts w:ascii="Times New Roman" w:eastAsiaTheme="minorEastAsia" w:hAnsi="Times New Roman"/>
          <w:b w:val="0"/>
          <w:sz w:val="24"/>
          <w:szCs w:val="24"/>
          <w:lang w:eastAsia="en-GB"/>
        </w:rPr>
      </w:pPr>
      <w:hyperlink w:anchor="_Toc71294079" w:history="1">
        <w:r w:rsidR="00137044">
          <w:rPr>
            <w:rStyle w:val="ae"/>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e"/>
            <w:rFonts w:ascii="Times New Roman" w:hAnsi="Times New Roman"/>
          </w:rPr>
          <w:t>RAN4 does not define any specific UE requirement for the SCell modification procedure.</w:t>
        </w:r>
      </w:hyperlink>
    </w:p>
    <w:p w14:paraId="7D40BD5D" w14:textId="77777777" w:rsidR="00611E39" w:rsidRDefault="009C5739">
      <w:pPr>
        <w:pStyle w:val="ac"/>
        <w:tabs>
          <w:tab w:val="right" w:leader="dot" w:pos="9629"/>
        </w:tabs>
        <w:rPr>
          <w:rFonts w:ascii="Times New Roman" w:eastAsiaTheme="minorEastAsia" w:hAnsi="Times New Roman"/>
          <w:b w:val="0"/>
          <w:sz w:val="24"/>
          <w:szCs w:val="24"/>
          <w:lang w:eastAsia="en-GB"/>
        </w:rPr>
      </w:pPr>
      <w:hyperlink w:anchor="_Toc71294080" w:history="1">
        <w:r w:rsidR="00137044">
          <w:rPr>
            <w:rStyle w:val="ae"/>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e"/>
            <w:rFonts w:ascii="Times New Roman" w:hAnsi="Times New Roman"/>
          </w:rPr>
          <w:t>The RRC segmentation was introduced in Rel-16 to address the case (among the others) of a large RRC reconfiguration message.</w:t>
        </w:r>
      </w:hyperlink>
    </w:p>
    <w:p w14:paraId="37AD85BB" w14:textId="77777777" w:rsidR="00611E39" w:rsidRDefault="009C5739">
      <w:pPr>
        <w:pStyle w:val="ac"/>
        <w:tabs>
          <w:tab w:val="right" w:leader="dot" w:pos="9629"/>
        </w:tabs>
        <w:rPr>
          <w:rFonts w:ascii="Times New Roman" w:eastAsiaTheme="minorEastAsia" w:hAnsi="Times New Roman"/>
          <w:b w:val="0"/>
          <w:sz w:val="24"/>
          <w:szCs w:val="24"/>
          <w:lang w:eastAsia="en-GB"/>
        </w:rPr>
      </w:pPr>
      <w:hyperlink w:anchor="_Toc71294081" w:history="1">
        <w:r w:rsidR="00137044">
          <w:rPr>
            <w:rStyle w:val="ae"/>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e"/>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5"/>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c"/>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e"/>
            <w:rFonts w:ascii="Times New Roman" w:hAnsi="Times New Roman"/>
          </w:rPr>
          <w:t>P 1</w:t>
        </w:r>
        <w:r>
          <w:rPr>
            <w:rFonts w:ascii="Times New Roman" w:eastAsiaTheme="minorEastAsia" w:hAnsi="Times New Roman"/>
            <w:b w:val="0"/>
            <w:sz w:val="24"/>
            <w:szCs w:val="24"/>
            <w:lang w:eastAsia="en-GB"/>
          </w:rPr>
          <w:tab/>
        </w:r>
        <w:r>
          <w:rPr>
            <w:rStyle w:val="ae"/>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CCE8CF" w:themeColor="background1"/>
              </w:rPr>
            </w:pPr>
            <w:r>
              <w:rPr>
                <w:color w:val="CCE8C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8738CC"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268AC32B"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E2BB943" w14:textId="346E1A25" w:rsidR="008738CC" w:rsidRDefault="008738CC" w:rsidP="008738C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EEDC8E4" w:rsidR="008738CC" w:rsidRDefault="008738CC" w:rsidP="008738CC">
            <w:pPr>
              <w:pStyle w:val="TAC"/>
              <w:spacing w:before="20" w:after="20"/>
              <w:ind w:left="57" w:right="57"/>
              <w:jc w:val="left"/>
              <w:rPr>
                <w:lang w:eastAsia="zh-CN"/>
              </w:rPr>
            </w:pPr>
            <w:r>
              <w:rPr>
                <w:lang w:eastAsia="zh-CN"/>
              </w:rPr>
              <w:t xml:space="preserve">We donot see any issue to have change. </w:t>
            </w:r>
          </w:p>
        </w:tc>
      </w:tr>
      <w:tr w:rsidR="008738CC"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3B8EF0"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E774BE" w14:textId="77777777" w:rsidR="008738CC" w:rsidRDefault="008738CC" w:rsidP="008738CC">
            <w:pPr>
              <w:pStyle w:val="TAC"/>
              <w:spacing w:before="20" w:after="20"/>
              <w:ind w:left="57" w:right="57"/>
              <w:jc w:val="left"/>
              <w:rPr>
                <w:lang w:eastAsia="zh-CN"/>
              </w:rPr>
            </w:pPr>
          </w:p>
        </w:tc>
      </w:tr>
      <w:tr w:rsidR="008738CC"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2174F"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77777777" w:rsidR="008738CC" w:rsidRDefault="008738CC" w:rsidP="008738CC">
            <w:pPr>
              <w:pStyle w:val="TAC"/>
              <w:spacing w:before="20" w:after="20"/>
              <w:ind w:left="57" w:right="57"/>
              <w:jc w:val="left"/>
              <w:rPr>
                <w:lang w:eastAsia="zh-CN"/>
              </w:rPr>
            </w:pPr>
          </w:p>
        </w:tc>
      </w:tr>
      <w:tr w:rsidR="008738CC"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8738CC" w:rsidRDefault="008738CC" w:rsidP="008738CC">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9E4934">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6D4F8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10715A73" w:rsidR="006D4F83" w:rsidRPr="0077597A"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85E26DD" w14:textId="67A7B841"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28548495" w:rsidR="006D4F83" w:rsidRDefault="006D4F83" w:rsidP="006D4F83">
            <w:pPr>
              <w:pStyle w:val="TAC"/>
              <w:spacing w:before="20" w:after="20"/>
              <w:ind w:left="57" w:right="57"/>
              <w:jc w:val="left"/>
              <w:rPr>
                <w:lang w:eastAsia="zh-CN"/>
              </w:rPr>
            </w:pPr>
            <w:r>
              <w:rPr>
                <w:lang w:eastAsia="zh-CN"/>
              </w:rPr>
              <w:t>We would have supported Apple change. Since there is no proposal at this meeting we don't think we need to agree on P1.</w:t>
            </w:r>
          </w:p>
        </w:tc>
      </w:tr>
      <w:tr w:rsidR="00C560C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69B55AA7"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9728523" w14:textId="6D639C05"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C560C3" w:rsidRDefault="00C560C3" w:rsidP="00C560C3">
            <w:pPr>
              <w:pStyle w:val="TAC"/>
              <w:spacing w:before="20" w:after="20"/>
              <w:ind w:left="57" w:right="57"/>
              <w:jc w:val="left"/>
              <w:rPr>
                <w:lang w:eastAsia="zh-CN"/>
              </w:rPr>
            </w:pPr>
          </w:p>
        </w:tc>
      </w:tr>
      <w:tr w:rsidR="008738CC"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5E636933"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F34CDC5" w14:textId="26C7C430" w:rsidR="008738CC" w:rsidRDefault="008738CC" w:rsidP="008738C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58BE262D" w:rsidR="008738CC" w:rsidRDefault="008738CC" w:rsidP="008738CC">
            <w:pPr>
              <w:pStyle w:val="TAC"/>
              <w:spacing w:before="20" w:after="20"/>
              <w:ind w:left="57" w:right="57"/>
              <w:jc w:val="left"/>
              <w:rPr>
                <w:lang w:eastAsia="zh-CN"/>
              </w:rPr>
            </w:pPr>
            <w:r>
              <w:rPr>
                <w:rFonts w:hint="eastAsia"/>
                <w:lang w:eastAsia="zh-CN"/>
              </w:rPr>
              <w:t>N</w:t>
            </w:r>
            <w:r>
              <w:rPr>
                <w:lang w:eastAsia="zh-CN"/>
              </w:rPr>
              <w:t>o strong view.</w:t>
            </w:r>
          </w:p>
        </w:tc>
      </w:tr>
      <w:tr w:rsidR="008738CC"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AC52CB"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10C71" w14:textId="77777777" w:rsidR="008738CC" w:rsidRDefault="008738CC" w:rsidP="008738CC">
            <w:pPr>
              <w:pStyle w:val="TAC"/>
              <w:spacing w:before="20" w:after="20"/>
              <w:ind w:left="57" w:right="57"/>
              <w:jc w:val="left"/>
              <w:rPr>
                <w:lang w:eastAsia="zh-CN"/>
              </w:rPr>
            </w:pPr>
          </w:p>
        </w:tc>
      </w:tr>
      <w:tr w:rsidR="008738CC"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C9116"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77777777" w:rsidR="008738CC" w:rsidRDefault="008738CC" w:rsidP="008738CC">
            <w:pPr>
              <w:pStyle w:val="TAC"/>
              <w:spacing w:before="20" w:after="20"/>
              <w:ind w:left="57" w:right="57"/>
              <w:jc w:val="left"/>
              <w:rPr>
                <w:lang w:eastAsia="zh-CN"/>
              </w:rPr>
            </w:pPr>
          </w:p>
        </w:tc>
      </w:tr>
      <w:tr w:rsidR="008738CC"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8738CC" w:rsidRDefault="008738CC" w:rsidP="008738CC">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8738CC"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5FB22AF9"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0623D977" w14:textId="51278433"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8738CC" w:rsidRDefault="008738CC" w:rsidP="008738CC">
            <w:pPr>
              <w:pStyle w:val="TAC"/>
              <w:spacing w:before="20" w:after="20"/>
              <w:ind w:left="57" w:right="57"/>
              <w:jc w:val="left"/>
              <w:rPr>
                <w:lang w:eastAsia="zh-CN"/>
              </w:rPr>
            </w:pPr>
          </w:p>
        </w:tc>
      </w:tr>
      <w:tr w:rsidR="008738CC"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75FA97"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8738CC" w:rsidRDefault="008738CC" w:rsidP="008738CC">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9C5739">
      <w:pPr>
        <w:pStyle w:val="Doc-title"/>
      </w:pPr>
      <w:hyperlink r:id="rId22" w:tooltip="D:Documents3GPPtsg_ranWG2TSGR2_114-eDocsR2-2106182.zip" w:history="1">
        <w:r w:rsidR="00137044">
          <w:rPr>
            <w:rStyle w:val="ae"/>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9C5739">
      <w:pPr>
        <w:pStyle w:val="Doc-title"/>
      </w:pPr>
      <w:hyperlink r:id="rId23" w:tooltip="D:Documents3GPPtsg_ranWG2TSGR2_114-eDocsR2-2106183.zip" w:history="1">
        <w:r w:rsidR="00137044">
          <w:rPr>
            <w:rStyle w:val="ae"/>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8738CC"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0BB6C30C" w:rsidR="008738CC" w:rsidRDefault="008738CC" w:rsidP="008738C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D655269"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3317890C"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8738CC"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C707D3"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8738CC" w:rsidRDefault="008738CC" w:rsidP="008738CC">
            <w:pPr>
              <w:pStyle w:val="TAC"/>
              <w:spacing w:before="20" w:after="20"/>
              <w:ind w:left="57" w:right="57"/>
              <w:jc w:val="left"/>
              <w:rPr>
                <w:lang w:eastAsia="zh-CN"/>
              </w:rPr>
            </w:pPr>
          </w:p>
        </w:tc>
      </w:tr>
      <w:tr w:rsidR="008738CC"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8738CC" w:rsidRDefault="008738CC" w:rsidP="008738CC">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8738CC"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239E7752"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5A08B73" w14:textId="11544DEC" w:rsidR="008738CC" w:rsidRDefault="008738CC" w:rsidP="008738C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6A3E14FF" w:rsidR="008738CC" w:rsidRDefault="008738CC" w:rsidP="008738CC">
            <w:pPr>
              <w:pStyle w:val="TAC"/>
              <w:spacing w:before="20" w:after="20"/>
              <w:ind w:left="57" w:right="57"/>
              <w:jc w:val="left"/>
              <w:rPr>
                <w:lang w:eastAsia="zh-CN"/>
              </w:rPr>
            </w:pPr>
            <w:r>
              <w:rPr>
                <w:rFonts w:hint="eastAsia"/>
                <w:lang w:eastAsia="zh-CN"/>
              </w:rPr>
              <w:t>Fi</w:t>
            </w:r>
            <w:r>
              <w:rPr>
                <w:lang w:eastAsia="zh-CN"/>
              </w:rPr>
              <w:t>ne with either way.</w:t>
            </w:r>
          </w:p>
        </w:tc>
      </w:tr>
      <w:tr w:rsidR="008738CC"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7777777" w:rsidR="008738CC" w:rsidRDefault="008738CC" w:rsidP="008738CC">
            <w:pPr>
              <w:pStyle w:val="TAC"/>
              <w:spacing w:before="20" w:after="20"/>
              <w:ind w:left="57" w:right="57"/>
              <w:jc w:val="left"/>
              <w:rPr>
                <w:lang w:eastAsia="zh-CN"/>
              </w:rPr>
            </w:pPr>
          </w:p>
        </w:tc>
      </w:tr>
      <w:tr w:rsidR="008738CC"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8738CC" w:rsidRDefault="008738CC" w:rsidP="008738CC">
            <w:pPr>
              <w:pStyle w:val="TAC"/>
              <w:spacing w:before="20" w:after="20"/>
              <w:ind w:left="57" w:right="57"/>
              <w:jc w:val="left"/>
              <w:rPr>
                <w:lang w:eastAsia="zh-CN"/>
              </w:rPr>
            </w:pPr>
          </w:p>
        </w:tc>
      </w:tr>
      <w:tr w:rsidR="008738CC"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8738CC" w:rsidRDefault="008738CC" w:rsidP="008738CC">
            <w:pPr>
              <w:pStyle w:val="TAC"/>
              <w:spacing w:before="20" w:after="20"/>
              <w:ind w:left="57" w:right="57"/>
              <w:jc w:val="left"/>
              <w:rPr>
                <w:lang w:eastAsia="zh-CN"/>
              </w:rPr>
            </w:pPr>
          </w:p>
        </w:tc>
      </w:tr>
      <w:tr w:rsidR="008738CC"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8738CC" w:rsidRDefault="008738CC" w:rsidP="008738CC">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2"/>
      </w:pPr>
      <w:r>
        <w:t>3.5</w:t>
      </w:r>
      <w:r>
        <w:tab/>
        <w:t>Other</w:t>
      </w:r>
    </w:p>
    <w:p w14:paraId="1B107AB0" w14:textId="77777777" w:rsidR="00611E39" w:rsidRDefault="00137044">
      <w:r>
        <w:t>The CRs related to this topic are:</w:t>
      </w:r>
    </w:p>
    <w:p w14:paraId="623F7B4A" w14:textId="77777777" w:rsidR="00611E39" w:rsidRDefault="009C5739">
      <w:pPr>
        <w:pStyle w:val="Doc-title"/>
      </w:pPr>
      <w:hyperlink r:id="rId24" w:tooltip="D:Documents3GPPtsg_ranWG2TSGR2_114-eDocsR2-2106178.zip" w:history="1">
        <w:r w:rsidR="00137044">
          <w:rPr>
            <w:rStyle w:val="ae"/>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9C5739">
      <w:pPr>
        <w:pStyle w:val="Doc-title"/>
      </w:pPr>
      <w:hyperlink r:id="rId25" w:tooltip="D:Documents3GPPtsg_ranWG2TSGR2_114-eDocsR2-2106179.zip" w:history="1">
        <w:r w:rsidR="00137044">
          <w:rPr>
            <w:rStyle w:val="ae"/>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8738CC"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17FA7C9C"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F8B32A7"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1A232389"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8738CC"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94340C2"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77777777" w:rsidR="008738CC" w:rsidRDefault="008738CC" w:rsidP="008738CC">
            <w:pPr>
              <w:pStyle w:val="TAC"/>
              <w:spacing w:before="20" w:after="20"/>
              <w:ind w:left="57" w:right="57"/>
              <w:jc w:val="left"/>
              <w:rPr>
                <w:lang w:eastAsia="zh-CN"/>
              </w:rPr>
            </w:pPr>
          </w:p>
        </w:tc>
      </w:tr>
      <w:tr w:rsidR="008738CC"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8738CC" w:rsidRDefault="008738CC" w:rsidP="008738CC">
            <w:pPr>
              <w:pStyle w:val="TAC"/>
              <w:spacing w:before="20" w:after="20"/>
              <w:ind w:left="57" w:right="57"/>
              <w:jc w:val="left"/>
              <w:rPr>
                <w:lang w:eastAsia="zh-CN"/>
              </w:rPr>
            </w:pPr>
          </w:p>
        </w:tc>
      </w:tr>
      <w:tr w:rsidR="008738CC"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8738CC" w:rsidRDefault="008738CC" w:rsidP="008738CC">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9C5739">
      <w:pPr>
        <w:pStyle w:val="Doc-title"/>
      </w:pPr>
      <w:hyperlink r:id="rId26" w:tooltip="D:Documents3GPPtsg_ranWG2TSGR2_114-eDocsR2-2106077.zip" w:history="1">
        <w:r w:rsidR="00137044">
          <w:rPr>
            <w:rStyle w:val="ae"/>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9C5739">
      <w:pPr>
        <w:pStyle w:val="Doc-title"/>
      </w:pPr>
      <w:hyperlink r:id="rId27" w:tooltip="D:Documents3GPPtsg_ranWG2TSGR2_114-eDocsR2-2106079.zip" w:history="1">
        <w:r w:rsidR="00137044">
          <w:rPr>
            <w:rStyle w:val="ae"/>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CCE8CF" w:themeColor="background1"/>
              </w:rPr>
            </w:pPr>
            <w:r>
              <w:rPr>
                <w:color w:val="CCE8C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Default="000D7F9E" w:rsidP="00350CE4">
            <w:pPr>
              <w:pStyle w:val="TAC"/>
              <w:spacing w:before="20" w:after="20"/>
              <w:ind w:left="57" w:right="57"/>
              <w:jc w:val="left"/>
              <w:rPr>
                <w:lang w:eastAsia="zh-CN"/>
              </w:rPr>
            </w:pPr>
            <w:r>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Default="00C560C3" w:rsidP="00C560C3">
            <w:pPr>
              <w:pStyle w:val="TAC"/>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rsidR="008738CC"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57A8ABC7"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CD2D93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3FE410B6" w:rsidR="008738CC" w:rsidRDefault="008738CC" w:rsidP="008738C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8738CC"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77777777" w:rsidR="008738CC" w:rsidRDefault="008738CC" w:rsidP="008738CC">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E1EDBBF" w14:textId="77777777" w:rsidR="008738CC" w:rsidRDefault="008738CC" w:rsidP="008738CC">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77777777" w:rsidR="008738CC" w:rsidRDefault="008738CC" w:rsidP="008738CC">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lastRenderedPageBreak/>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1CAF" w14:textId="77777777" w:rsidR="009C5739" w:rsidRDefault="009C5739" w:rsidP="00116862">
      <w:pPr>
        <w:spacing w:after="0"/>
      </w:pPr>
      <w:r>
        <w:separator/>
      </w:r>
    </w:p>
  </w:endnote>
  <w:endnote w:type="continuationSeparator" w:id="0">
    <w:p w14:paraId="1538CD27" w14:textId="77777777" w:rsidR="009C5739" w:rsidRDefault="009C5739"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A961" w14:textId="77777777" w:rsidR="00901B00" w:rsidRDefault="00901B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F974" w14:textId="77777777" w:rsidR="00901B00" w:rsidRDefault="00901B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BE10" w14:textId="77777777" w:rsidR="00901B00" w:rsidRDefault="00901B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5771B" w14:textId="77777777" w:rsidR="009C5739" w:rsidRDefault="009C5739" w:rsidP="00116862">
      <w:pPr>
        <w:spacing w:after="0"/>
      </w:pPr>
      <w:r>
        <w:separator/>
      </w:r>
    </w:p>
  </w:footnote>
  <w:footnote w:type="continuationSeparator" w:id="0">
    <w:p w14:paraId="0A890A89" w14:textId="77777777" w:rsidR="009C5739" w:rsidRDefault="009C5739" w:rsidP="00116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1583" w14:textId="77777777" w:rsidR="00901B00" w:rsidRDefault="00901B0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D5B6" w14:textId="77777777" w:rsidR="00901B00" w:rsidRDefault="00901B0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4300" w14:textId="77777777" w:rsidR="00901B00" w:rsidRDefault="00901B0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2D77418"/>
    <w:multiLevelType w:val="hybridMultilevel"/>
    <w:tmpl w:val="FFA2A6B0"/>
    <w:lvl w:ilvl="0" w:tplc="A216D8F6">
      <w:start w:val="5"/>
      <w:numFmt w:val="bullet"/>
      <w:lvlText w:val="-"/>
      <w:lvlJc w:val="left"/>
      <w:pPr>
        <w:ind w:left="417" w:hanging="360"/>
      </w:pPr>
      <w:rPr>
        <w:rFonts w:ascii="Arial" w:eastAsia="宋体"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1B4"/>
    <w:rsid w:val="002855BF"/>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0CE4"/>
    <w:rsid w:val="0035462D"/>
    <w:rsid w:val="00355764"/>
    <w:rsid w:val="0036459E"/>
    <w:rsid w:val="00364B41"/>
    <w:rsid w:val="003775A5"/>
    <w:rsid w:val="00383096"/>
    <w:rsid w:val="0039346C"/>
    <w:rsid w:val="003A055E"/>
    <w:rsid w:val="003A41EF"/>
    <w:rsid w:val="003A632C"/>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D180C"/>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38CC"/>
    <w:rsid w:val="008759F4"/>
    <w:rsid w:val="008768CA"/>
    <w:rsid w:val="00877EF9"/>
    <w:rsid w:val="00880559"/>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C5739"/>
    <w:rsid w:val="009D74A6"/>
    <w:rsid w:val="009E0E87"/>
    <w:rsid w:val="009E4934"/>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AF5526"/>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60C3"/>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2094B"/>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38AF"/>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Body Text"/>
    <w:basedOn w:val="a"/>
    <w:link w:val="a6"/>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ac">
    <w:name w:val="table of figures"/>
    <w:basedOn w:val="a5"/>
    <w:next w:val="a"/>
    <w:uiPriority w:val="99"/>
    <w:pPr>
      <w:ind w:left="1701" w:hanging="1701"/>
      <w:jc w:val="left"/>
    </w:pPr>
    <w:rPr>
      <w:b/>
    </w:rPr>
  </w:style>
  <w:style w:type="paragraph" w:styleId="TOC9">
    <w:name w:val="toc 9"/>
    <w:basedOn w:val="TOC8"/>
    <w:next w:val="a"/>
    <w:semiHidden/>
    <w:qFormat/>
    <w:pPr>
      <w:ind w:left="1418" w:hanging="1418"/>
    </w:pPr>
  </w:style>
  <w:style w:type="character" w:styleId="ad">
    <w:name w:val="page number"/>
    <w:basedOn w:val="a0"/>
  </w:style>
  <w:style w:type="character" w:styleId="ae">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6">
    <w:name w:val="正文文本 字符"/>
    <w:basedOn w:val="a0"/>
    <w:link w:val="a5"/>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3976</Words>
  <Characters>22667</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9</cp:revision>
  <dcterms:created xsi:type="dcterms:W3CDTF">2021-05-21T02:37:00Z</dcterms:created>
  <dcterms:modified xsi:type="dcterms:W3CDTF">2021-05-21T06:15:00Z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