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[AT113bis-e][027][IoT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[AT113bis-e][027][IoT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prioritised</w:t>
      </w:r>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r>
              <w:t>Tdoc</w:t>
            </w:r>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Observation 1: Delaying the start of ra-ResponseWindow and mac-ContentionResolutionTimer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Proposal 3: Enhancement of MAC/RLC/PDCP timers (e.g. RAR window, contention resolution timer, DRX HARQ RTT timer, SR prohibit timer, t-Reordering, discardTimer)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Proposal 1: Random access procedure: The same enhancements to ra-ResponseWindow and ra-ContentionResolutionTimer as NR NTN are reused. Need for enhancements to ra-ResponseWindowSize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r w:rsidR="00B02865" w:rsidRPr="00EA4ABC">
        <w:t xml:space="preserve">ra-ResponseWindow and mac-ContentionResolutionTimer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r w:rsidRPr="00EA4ABC">
              <w:t>ra-ResponseWindow and mac-ContentionResolutionTimer</w:t>
            </w:r>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ra-ResponseWindow and </w:t>
            </w:r>
            <w:r>
              <w:rPr>
                <w:rFonts w:eastAsia="SimSun" w:hint="eastAsia"/>
                <w:lang w:eastAsia="zh-CN"/>
              </w:rPr>
              <w:t>ra</w:t>
            </w:r>
            <w:r w:rsidRPr="00781401">
              <w:rPr>
                <w:rFonts w:eastAsia="SimSun"/>
                <w:lang w:eastAsia="zh-CN"/>
              </w:rPr>
              <w:t>-ContentionResolutionTimer</w:t>
            </w:r>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r w:rsidRPr="00EA4ABC">
              <w:t>ra-ResponseWindow and mac-ContentionResolutionTimer</w:t>
            </w:r>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7E1567" w14:paraId="52DD901A"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40CDD9D" w14:textId="02AE84DA"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EA169" w14:textId="7C2B6254"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CA2F6A9" w14:textId="27682722" w:rsidR="007E1567" w:rsidRDefault="007E1567" w:rsidP="007E1567">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enhancements are necessary due to large RTT.</w:t>
            </w: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r>
              <w:t>Tdoc</w:t>
            </w:r>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p w14:paraId="2F039D68" w14:textId="772849BE" w:rsidR="00816932" w:rsidRDefault="00816932" w:rsidP="008E67B7">
            <w:r>
              <w:lastRenderedPageBreak/>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RAN2 has agreed to reuse NR-NTN agreements as baseline for the starting of HARQ-RTT-Timer and UL-HARQ-RTT-Timer in eMTC/NB-IoT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drx-HARQ-RTT-TimerDL </w:t>
            </w:r>
            <w:r>
              <w:t>is offset by UE-specific RTT</w:t>
            </w:r>
            <w:r w:rsidRPr="00D1251B">
              <w:t xml:space="preserve"> (UE-gNB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7E1567" w14:paraId="30F18BA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E161DC3" w14:textId="5C3745F9"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80B634" w14:textId="4F843873"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DAC62D" w14:textId="1E766933" w:rsidR="007E1567" w:rsidRDefault="007E1567" w:rsidP="007E1567">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the HARQ timers need enhancement due to the large RTT for NTN scenarios.</w:t>
            </w: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7E1567" w14:paraId="6457FFF0"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AABB17F" w14:textId="4FDB5FC4"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C541A2" w14:textId="2DF5C350"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73BE4B" w14:textId="48529720" w:rsidR="007E1567" w:rsidRPr="00FE380F" w:rsidRDefault="007E1567" w:rsidP="007E156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Given the typical IoT use case, we think that disabling HARQ need not be prioritized. However, if a solution is defined as part of the NR NTN work item, this could be leveraged for certain IoT deployments. </w:t>
            </w: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r>
              <w:t>Tdoc</w:t>
            </w:r>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Observation 2: Extension of the sr-ProhibitTimer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timers (e.g. RAR window, contention resolution timer, DRX HARQ RTT timer, SR prohibit timer, t-Reordering, discardTimer)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Proposal 3: Scheduling request: sr-ProhibitTimer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sr-ProhibitTimer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HiSilicon</w:t>
            </w:r>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r>
              <w:t>sr-ProhibitTimer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r w:rsidRPr="00781401">
              <w:rPr>
                <w:rFonts w:eastAsia="SimSun"/>
                <w:lang w:eastAsia="zh-CN"/>
              </w:rPr>
              <w:t xml:space="preserve">sr-ProhibitTimer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r w:rsidRPr="008E6DA2">
              <w:rPr>
                <w:i/>
                <w:iCs/>
              </w:rPr>
              <w:t>sr-ProhibitTimer</w:t>
            </w:r>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7E1567" w14:paraId="2772566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5E895F1" w14:textId="13FC599F"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CD31B7" w14:textId="4C803A16"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F91A4A" w14:textId="79C60602" w:rsidR="007E1567" w:rsidRDefault="007E1567" w:rsidP="007E1567">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this is essential, but will also be defined/leveraged from NR NTN.</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r>
              <w:t>Tdoc</w:t>
            </w:r>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[Post113-e][055][IoT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NB-IoT devices, UL scheduling enhancement for delay reduction is not necessary for NB-IoT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IoT</w:t>
            </w:r>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UL scheduling enhancement for delay reduction is not necessary for IoT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[Post113-e][055][IoT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UL data traffic of IoT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7E1567" w14:paraId="15035D7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0F08B9E" w14:textId="0C7C0243"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290D49" w14:textId="0C6F69A8"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EF57AD" w14:textId="2935170B" w:rsidR="007E1567" w:rsidRDefault="007E1567" w:rsidP="007E1567">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given the delay requirements for the IoT use case, this is not essential</w:t>
            </w: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HiSilicon</w:t>
            </w:r>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 xml:space="preserve">-ResponseWindow and mac-ContentionResolutionTimer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 xml:space="preserve">mac-ContentionResolutionTimer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DT/PUR in IoT NTN is not just for reducing latency, but also for reducing signalling and thus power consumption. And for PUR as a Rel-16 feature, the</w:t>
            </w:r>
            <w:r>
              <w:t xml:space="preserve"> </w:t>
            </w:r>
            <w:r w:rsidRPr="00E264F3">
              <w:rPr>
                <w:rFonts w:eastAsia="SimSun"/>
                <w:i/>
                <w:iCs/>
                <w:lang w:eastAsia="zh-CN"/>
              </w:rPr>
              <w:t>pur-ResponseTimer</w:t>
            </w:r>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7E1567" w14:paraId="078AB4A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5ADC8D" w14:textId="635C2685"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CBFB84" w14:textId="613EB4A6"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E7CDF2E" w14:textId="3DA53991"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noProof/>
                <w:lang w:eastAsia="zh-CN"/>
              </w:rPr>
              <w:t>We think that EDT/PUR enhancements can be deprioritized and no additional stage 3 work is necessary.</w:t>
            </w:r>
          </w:p>
        </w:tc>
      </w:tr>
    </w:tbl>
    <w:p w14:paraId="2C36C0C1" w14:textId="77777777" w:rsidR="00214CA8" w:rsidRPr="00882194"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r>
              <w:t>Tdoc</w:t>
            </w:r>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Proposal 3: Enhancement of MAC/RLC/PDCP timers (e.g. RAR window, contention resolution timer, DRX HARQ RTT timer, SR prohibit timer, t-Reordering, discardTimer)</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There is no need to extend RLC and PDCP SN length for eMTC/NB-IoT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There is no need to extend RLC and PDCP SN length for eMTC/NB-IoT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There is no need to extend RLC and PDCP SN length for eMTC/NB-IoT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7E1567" w14:paraId="454C4AD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1E80F9" w14:textId="05973067"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468D4D" w14:textId="14289A77"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A78954" w14:textId="74BA7FCC" w:rsidR="007E1567" w:rsidRDefault="007E1567" w:rsidP="007E1567">
            <w:pPr>
              <w:overflowPunct w:val="0"/>
              <w:autoSpaceDE w:val="0"/>
              <w:autoSpaceDN w:val="0"/>
              <w:adjustRightInd w:val="0"/>
              <w:spacing w:after="120"/>
              <w:jc w:val="both"/>
              <w:textAlignment w:val="baseline"/>
              <w:rPr>
                <w:rFonts w:eastAsia="SimSun"/>
                <w:lang w:eastAsia="zh-CN"/>
              </w:rPr>
            </w:pPr>
            <w:r>
              <w:rPr>
                <w:rFonts w:eastAsia="SimSun"/>
                <w:noProof/>
                <w:lang w:eastAsia="zh-CN"/>
              </w:rPr>
              <w:t>Per previous observations, there was already an agreement that no enhancements are needed.</w:t>
            </w: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IoT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7E1567" w14:paraId="4C0E3A5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B56CB1F" w14:textId="4ECC7380" w:rsidR="007E1567" w:rsidRPr="00FE380F" w:rsidRDefault="007E1567" w:rsidP="007E1567">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BB2E4B" w14:textId="31C410CB" w:rsidR="007E1567" w:rsidRPr="00FE380F" w:rsidRDefault="007E1567" w:rsidP="007E15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EBB867" w14:textId="56090F5E" w:rsidR="007E1567" w:rsidRPr="00FE380F" w:rsidRDefault="007E1567" w:rsidP="007E156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Per previous agreements and NR NTN progress, the value range of the </w:t>
            </w:r>
            <w:r>
              <w:t xml:space="preserve">RLC </w:t>
            </w:r>
            <w:r w:rsidRPr="0078490B">
              <w:rPr>
                <w:i/>
                <w:iCs/>
              </w:rPr>
              <w:t>t-Reordering</w:t>
            </w:r>
            <w:r>
              <w:t xml:space="preserve"> timer is extended. Those enhancements can be re-used for IoT NTN without additional work.</w:t>
            </w: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t-Reassembly is {ms210, ms220, ms340, ms350, ms550, ms1100, ms1650, ms2200}, and that the network can configure the values of PDCP discardTimer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S</w:t>
            </w:r>
            <w:r>
              <w:rPr>
                <w:rFonts w:eastAsia="DengXian"/>
                <w:lang w:eastAsia="zh-CN"/>
              </w:rPr>
              <w:t>imilarly for IOT NTN, PDCP discard timer should be greater than t reordering timer. The current maximum PDCP discardTimer is 1500ms. Therefore, PDCP discard timer needs to be extended. Otherwise, PDCP SDU will be discard without sufficient RLC retransmission. Although infinity value can be configured for PDCP discardTimer,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 HiSilicon</w:t>
            </w:r>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QoS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This is a bit different to NR NTN as for IoT NTN the QoS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QoS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E218A9" w14:paraId="083EDF1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F51B1D8" w14:textId="4D3239E7" w:rsidR="00E218A9" w:rsidRPr="00FE380F"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2092CC" w14:textId="1AE423EB" w:rsidR="00E218A9" w:rsidRPr="00FE380F"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AC622A" w14:textId="3D42AF69" w:rsidR="00E218A9" w:rsidRPr="00FE380F"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Similar to Xiaomi, we think that for IoT NTN, the network can configure greater value ranges for the </w:t>
            </w:r>
            <w:r>
              <w:t xml:space="preserve">PDCP </w:t>
            </w:r>
            <w:r w:rsidRPr="0078490B">
              <w:rPr>
                <w:i/>
                <w:iCs/>
              </w:rPr>
              <w:t>discardTimer</w:t>
            </w:r>
            <w:r>
              <w:rPr>
                <w:rFonts w:eastAsia="SimSun"/>
                <w:noProof/>
                <w:lang w:eastAsia="zh-CN"/>
              </w:rPr>
              <w:t xml:space="preserve"> and re-use the NR NTN value range</w:t>
            </w:r>
            <w:r>
              <w:rPr>
                <w:i/>
                <w:iCs/>
              </w:rPr>
              <w:t xml:space="preserve">. </w:t>
            </w:r>
            <w:r>
              <w:t>That being said, any enhancements for this study are not essential.</w:t>
            </w:r>
          </w:p>
        </w:tc>
      </w:tr>
    </w:tbl>
    <w:p w14:paraId="0D5068F9" w14:textId="77777777" w:rsidR="00214CA8" w:rsidRPr="00882194"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r>
              <w:t>Tdoc</w:t>
            </w:r>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Observation 13: IoT-NTN work related to eMTC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xiaomi</w:t>
            </w:r>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lastRenderedPageBreak/>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E218A9" w:rsidRPr="00781401" w14:paraId="762C7B1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A3AC5AF" w14:textId="288EAEDE" w:rsidR="00E218A9"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BE9607" w14:textId="04D741E9" w:rsidR="00E218A9"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98E6103" w14:textId="51083127" w:rsidR="00E218A9" w:rsidRDefault="00E218A9" w:rsidP="00E218A9">
            <w:pPr>
              <w:overflowPunct w:val="0"/>
              <w:autoSpaceDE w:val="0"/>
              <w:autoSpaceDN w:val="0"/>
              <w:adjustRightInd w:val="0"/>
              <w:spacing w:after="120"/>
              <w:jc w:val="both"/>
              <w:textAlignment w:val="baseline"/>
              <w:rPr>
                <w:rFonts w:eastAsia="DengXian"/>
                <w:lang w:eastAsia="zh-CN"/>
              </w:rPr>
            </w:pPr>
            <w:r>
              <w:rPr>
                <w:rFonts w:eastAsia="SimSun"/>
                <w:noProof/>
                <w:lang w:eastAsia="zh-CN"/>
              </w:rPr>
              <w:t>CE modes and coverage enhancements can be considered after RAN1 conclusions.</w:t>
            </w: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r>
              <w:t>Tdoc</w:t>
            </w:r>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eMTC/NB-IoT,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I</w:t>
            </w:r>
            <w:r w:rsidRPr="006E173E">
              <w:rPr>
                <w:rFonts w:hint="eastAsia"/>
              </w:rPr>
              <w:t>o</w:t>
            </w:r>
            <w:r w:rsidRPr="006E173E">
              <w:t>T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lastRenderedPageBreak/>
              <w:t xml:space="preserve">For earth fixed cell scenario, how to manage the tracking area is under dicussion in NR NTN. </w:t>
            </w:r>
            <w:r w:rsidRPr="00882194">
              <w:rPr>
                <w:rFonts w:eastAsia="SimSun"/>
                <w:lang w:eastAsia="zh-CN"/>
              </w:rPr>
              <w:t>W</w:t>
            </w:r>
            <w:r w:rsidRPr="00882194">
              <w:rPr>
                <w:rFonts w:eastAsia="SimSun" w:hint="eastAsia"/>
                <w:lang w:eastAsia="zh-CN"/>
              </w:rPr>
              <w:t>e believe the same enhancement as agreed in NR NTN could be reused in IoT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RAN2 should wait until agreements regarding TAU are made in the NR-NTN WI, and use those for IoT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E218A9" w14:paraId="54799F06"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A1CEBC2" w14:textId="529EAAFC" w:rsidR="00E218A9" w:rsidRPr="00FE380F"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8D68EA" w14:textId="2C12665B" w:rsidR="00E218A9" w:rsidRPr="00FE380F"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5FEA12A" w14:textId="58ED7E9C" w:rsidR="00E218A9" w:rsidRPr="00FE380F"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TAU and tracking area management from the NR NTN conclusions.</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r>
              <w:t>Tdoc</w:t>
            </w:r>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NB-IoT and eMTC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235864D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ins w:id="5" w:author="Jerome Vogedes (Consultant)" w:date="2021-04-14T13:00:00Z">
        <w:r w:rsidR="00E218A9">
          <w:t>enhanc</w:t>
        </w:r>
      </w:ins>
      <w:ins w:id="6" w:author="Jerome Vogedes (Consultant)" w:date="2021-04-14T13:01:00Z">
        <w:r w:rsidR="00E218A9">
          <w:t>ements to the</w:t>
        </w:r>
      </w:ins>
      <w:ins w:id="7" w:author="Jerome Vogedes (Consultant)" w:date="2021-04-14T13:00:00Z">
        <w:r w:rsidR="00E218A9">
          <w:t xml:space="preserve"> </w:t>
        </w:r>
      </w:ins>
      <w:r w:rsidR="003B024F">
        <w:t>existing idle mode mobility mechanisms</w:t>
      </w:r>
      <w:r w:rsidR="000831B3">
        <w:t xml:space="preserve"> are essential</w:t>
      </w:r>
      <w:del w:id="8" w:author="Jerome Vogedes (Consultant)" w:date="2021-04-15T10:25:00Z">
        <w:r w:rsidR="00EE0EED" w:rsidDel="00E218A9">
          <w:delText xml:space="preserve"> and that no further enhancements </w:delText>
        </w:r>
        <w:r w:rsidR="00CE1E6C" w:rsidDel="00E218A9">
          <w:delText xml:space="preserve">(other than power consumption related) </w:delText>
        </w:r>
        <w:r w:rsidR="00EE0EED" w:rsidDel="00E218A9">
          <w:delText xml:space="preserve">are </w:delText>
        </w:r>
        <w:commentRangeStart w:id="9"/>
        <w:r w:rsidR="00EE0EED" w:rsidDel="00E218A9">
          <w:delText>needed</w:delText>
        </w:r>
      </w:del>
      <w:commentRangeEnd w:id="9"/>
      <w:r w:rsidR="00E218A9">
        <w:rPr>
          <w:rStyle w:val="CommentReference"/>
          <w:rFonts w:eastAsia="MS Mincho"/>
        </w:rPr>
        <w:commentReference w:id="9"/>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We should not preclude all further enhancements so early for a Study Item. In addition to the existing measurement based procedures, at least enhancements (or similar principles) discussed in NR NTN (e.g. ephemeris assisted cell reselection) could be used in IoT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NB-IoT and eMTC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IoT NTN are quite different with the scenarios of legacy NB-IoT/eMTC,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r w:rsidRPr="00C10937">
              <w:rPr>
                <w:bCs/>
                <w:lang w:val="en-US"/>
              </w:rPr>
              <w:t>IoT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ell selection/re-selection mechanism in IoT-NTN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E218A9" w14:paraId="2213DD76"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C554F7F" w14:textId="5479B7CA" w:rsidR="00E218A9" w:rsidRPr="00FE380F"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7A3CF" w14:textId="4D46554D" w:rsidR="00E218A9" w:rsidRPr="00FE380F"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B432F6" w14:textId="5CA9A8C6" w:rsidR="00E218A9" w:rsidRPr="00FE380F" w:rsidRDefault="00E218A9" w:rsidP="00E218A9">
            <w:pPr>
              <w:rPr>
                <w:rFonts w:eastAsia="SimSun"/>
                <w:noProof/>
                <w:lang w:eastAsia="zh-CN"/>
              </w:rPr>
            </w:pPr>
            <w:r>
              <w:rPr>
                <w:rFonts w:eastAsia="SimSun"/>
                <w:noProof/>
                <w:lang w:eastAsia="zh-CN"/>
              </w:rPr>
              <w:t>We think that there are essential enhancements necessary to the existing idle mode mobility mechanisms in order to compensate for long RTT and moving cell scenarios. RAN2 should focus on enhancements for reducing power consumption.</w:t>
            </w:r>
            <w:r>
              <w:rPr>
                <w:rFonts w:eastAsia="SimSun"/>
                <w:noProof/>
                <w:lang w:eastAsia="zh-CN"/>
              </w:rPr>
              <w:t xml:space="preserve"> Per comment, I think there may be confusion as to how the question is worded.</w:t>
            </w:r>
            <w:r>
              <w:rPr>
                <w:rFonts w:eastAsia="SimSun"/>
                <w:noProof/>
                <w:lang w:eastAsia="zh-CN"/>
              </w:rPr>
              <w:t xml:space="preserve"> </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r>
              <w:t>Tdoc</w:t>
            </w:r>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lastRenderedPageBreak/>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NB-IoT and eMTC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 xml:space="preserve">are </w:t>
      </w:r>
      <w:commentRangeStart w:id="10"/>
      <w:r w:rsidR="00EE0EED">
        <w:t>needed</w:t>
      </w:r>
      <w:commentRangeEnd w:id="10"/>
      <w:r w:rsidR="00E218A9">
        <w:rPr>
          <w:rStyle w:val="CommentReference"/>
          <w:rFonts w:eastAsia="MS Mincho"/>
        </w:rPr>
        <w:commentReference w:id="10"/>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eMTC, no for NB-IOT</w:t>
            </w:r>
          </w:p>
        </w:tc>
        <w:tc>
          <w:tcPr>
            <w:tcW w:w="6945" w:type="dxa"/>
            <w:shd w:val="clear" w:color="auto" w:fill="auto"/>
          </w:tcPr>
          <w:p w14:paraId="1B9D33D1" w14:textId="166EE35D" w:rsidR="00CD16C4" w:rsidRDefault="0018077B" w:rsidP="00CD16C4">
            <w:r>
              <w:t xml:space="preserve">Due to movement of satellite, HO may happen frequently for eMTC.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r>
              <w:t xml:space="preserve">eMTC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Yes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No for eMTC. As per agreement, at least CHO can be considered for eMTC.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eMTC. </w:t>
            </w:r>
            <w:r>
              <w:rPr>
                <w:rFonts w:eastAsia="SimSun"/>
                <w:lang w:eastAsia="zh-CN"/>
              </w:rPr>
              <w:t xml:space="preserve">For NB-IoT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HO may happen frequently for eMTC</w:t>
            </w:r>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he connected mode mobility mechanisms introduced for NR NTN could be considered for IoT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NB-IoT, due to the movement of the satellite, the possibility of RLF for the connected UEs is bigger than legacy NB-IoT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IoT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NB-IoT.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E218A9" w14:paraId="13025E8D"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2BA93887" w14:textId="314DD1D1" w:rsidR="00E218A9" w:rsidRPr="008219BE"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A5F06" w14:textId="05DBE279" w:rsidR="00E218A9" w:rsidRPr="008219BE"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4C23B3" w14:textId="21DE1ECA" w:rsidR="00E218A9" w:rsidRPr="008219BE"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We think that connected mode mobility need not be essential for the IoT use case perspective. However, some of the CHO enhancements could be leveraged from the NR NTN conclusions. </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r>
              <w:t>Tdoc</w:t>
            </w:r>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lastRenderedPageBreak/>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w:t>
      </w:r>
      <w:commentRangeStart w:id="11"/>
      <w:r w:rsidR="00EE0EED">
        <w:t>needed</w:t>
      </w:r>
      <w:commentRangeEnd w:id="11"/>
      <w:r w:rsidR="00E218A9">
        <w:rPr>
          <w:rStyle w:val="CommentReference"/>
          <w:rFonts w:eastAsia="MS Mincho"/>
        </w:rPr>
        <w:commentReference w:id="11"/>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aging enhancement is not necessary. For capacity, in early deployment, it is not an issue. For paging occasion, network can handle it by implementation. For outage, normal i-drx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12"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E218A9" w14:paraId="5DD1A25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FE291D3" w14:textId="5AF77113" w:rsidR="00E218A9" w:rsidRPr="009F08E4"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01038C" w14:textId="2021DA55" w:rsidR="00E218A9" w:rsidRPr="009F08E4"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Pr>
                <w:rFonts w:eastAsia="SimSun"/>
                <w:b/>
                <w:bCs/>
                <w:lang w:eastAsia="zh-CN"/>
              </w:rPr>
              <w:t>no</w:t>
            </w:r>
            <w:r>
              <w:rPr>
                <w:rFonts w:eastAsia="SimSun"/>
                <w:b/>
                <w:bCs/>
                <w:lang w:eastAsia="zh-CN"/>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BF1FF09" w14:textId="3219BE5D" w:rsidR="00E218A9" w:rsidRPr="009F08E4"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we can re-use existing paging mechanisms</w:t>
            </w: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r>
              <w:t>Tdoc</w:t>
            </w:r>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lastRenderedPageBreak/>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IoT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E218A9" w14:paraId="5E2E17E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90D8A03" w14:textId="38B25D89" w:rsidR="00E218A9" w:rsidRPr="009F08E4"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7485EF" w14:textId="2DBB255D" w:rsidR="00E218A9" w:rsidRPr="009F08E4"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42EA94" w14:textId="72901246" w:rsidR="00E218A9" w:rsidRPr="009F08E4"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provisioning UE with sat ephemeris data is essential given the scope of the various scenarios (e.g., HAPS, GEO, LEO/MEO) to be considered and the large delta in propagation delays.</w:t>
            </w:r>
            <w:r>
              <w:rPr>
                <w:rFonts w:eastAsia="SimSun"/>
                <w:noProof/>
                <w:lang w:eastAsia="zh-CN"/>
              </w:rPr>
              <w:t xml:space="preserve"> For the IoT use case, optimizations from the NR NTN solutions may also be necessary.</w:t>
            </w: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r>
              <w:t>Tdoc</w:t>
            </w:r>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lastRenderedPageBreak/>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lastRenderedPageBreak/>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(SIBx).</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Proposal #5: 3GPP to further study how to adapt iDRX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Proposal 7: Key features for power consumption reduction for IoT-NTN are eDRX/PSM and serving cell relaxed measurements. Adaptation of these features for NTN should be considered as essential.</w:t>
            </w:r>
          </w:p>
          <w:p w14:paraId="04418581" w14:textId="7EDA75B1" w:rsidR="00A83631" w:rsidRDefault="00A83631" w:rsidP="00197497">
            <w:r>
              <w:t>Proposal 8: Battery lifetime requirements should to be revisited if the eDRX operations is considered without any modification for NTN aspects such as GNSS operation and cell-change during eDRX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lastRenderedPageBreak/>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adopt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2. eDRX,</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Power consumption is a very important feature for IoT devices. We think this requirement still applies in IoT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ower saving is important for IoT devices. Particularly in IoT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s necessary to consider how to resolve the cell-change during eDRX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E218A9" w14:paraId="6AA6FBC2"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20F565B8" w14:textId="4D7F60AC" w:rsidR="00E218A9" w:rsidRPr="009F08E4"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4BFE84" w14:textId="2AAC74A3" w:rsidR="00E218A9" w:rsidRPr="009F08E4"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6FCA0B" w14:textId="35035600" w:rsidR="00E218A9" w:rsidRPr="009F08E4"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that power saving for the IoT use case is essential, e.g., mobility management, RRM measurement relaxation, etc.</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Huawei, HiSilicon</w:t>
            </w:r>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Same view as Xiaomi, Huawei and MediaTek.</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IoT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E218A9" w14:paraId="220C782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3A64F071" w14:textId="0EB75384" w:rsidR="00E218A9" w:rsidRPr="009F08E4" w:rsidRDefault="00E218A9" w:rsidP="00E218A9">
            <w:pPr>
              <w:overflowPunct w:val="0"/>
              <w:autoSpaceDE w:val="0"/>
              <w:autoSpaceDN w:val="0"/>
              <w:adjustRightInd w:val="0"/>
              <w:spacing w:after="120"/>
              <w:jc w:val="both"/>
              <w:textAlignment w:val="baseline"/>
              <w:rPr>
                <w:rFonts w:eastAsia="SimSun"/>
                <w:lang w:eastAsia="zh-CN"/>
              </w:rPr>
            </w:pPr>
            <w:r>
              <w:rPr>
                <w:rFonts w:eastAsia="SimSun"/>
                <w:lang w:eastAsia="zh-CN"/>
              </w:rPr>
              <w:t>Convida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68E841" w14:textId="2A0BA1FB" w:rsidR="00E218A9" w:rsidRPr="009F08E4" w:rsidRDefault="00E218A9" w:rsidP="00E218A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A2F136" w14:textId="1B51E869" w:rsidR="00E218A9" w:rsidRPr="009F08E4" w:rsidRDefault="00E218A9" w:rsidP="00E218A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agree with the comments above given consideration for the IOT use cases.</w:t>
            </w: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iscontinuous coverage case is essential to be included and considered in this release. This case is realistic for satellite service providers, and contributions have revealed that it has negative 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IoT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RAN2 assumes that PRACH capacity in eMTC/NB-IoT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lastRenderedPageBreak/>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12"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12"/>
      <w:r>
        <w:tab/>
      </w:r>
    </w:p>
    <w:bookmarkStart w:id="13"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13"/>
      <w:r>
        <w:tab/>
      </w:r>
    </w:p>
    <w:bookmarkStart w:id="14"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14"/>
      <w:r>
        <w:tab/>
      </w:r>
    </w:p>
    <w:bookmarkStart w:id="15"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15"/>
      <w:r>
        <w:tab/>
      </w:r>
    </w:p>
    <w:bookmarkStart w:id="16"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6"/>
      <w:r>
        <w:tab/>
      </w:r>
      <w:r w:rsidR="0007541C" w:rsidRPr="0007541C">
        <w:t>Xiaomi</w:t>
      </w:r>
    </w:p>
    <w:bookmarkStart w:id="17"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7"/>
      <w:r>
        <w:tab/>
      </w:r>
      <w:r w:rsidR="0007541C" w:rsidRPr="0007541C">
        <w:t>Nokia, Nokia Shanghai Bell</w:t>
      </w:r>
    </w:p>
    <w:bookmarkStart w:id="18"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8"/>
      <w:r>
        <w:tab/>
      </w:r>
    </w:p>
    <w:bookmarkStart w:id="19"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9"/>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r>
              <w:rPr>
                <w:rFonts w:hint="eastAsia"/>
                <w:lang w:eastAsia="zh-CN"/>
              </w:rPr>
              <w:t>H</w:t>
            </w:r>
            <w:r>
              <w:rPr>
                <w:lang w:eastAsia="zh-CN"/>
              </w:rPr>
              <w:t>aitao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r>
              <w:rPr>
                <w:rFonts w:hint="eastAsia"/>
                <w:lang w:eastAsia="zh-CN"/>
              </w:rPr>
              <w:t>Sidong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r>
              <w:rPr>
                <w:lang w:eastAsia="ja-JP"/>
              </w:rPr>
              <w:t>Emre A. Yavuz</w:t>
            </w:r>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r>
              <w:rPr>
                <w:lang w:val="en-GB" w:eastAsia="ja-JP"/>
              </w:rPr>
              <w:t>e</w:t>
            </w:r>
            <w:r w:rsidRPr="00616A6A">
              <w:rPr>
                <w:lang w:val="en-GB" w:eastAsia="ja-JP"/>
              </w:rPr>
              <w:t xml:space="preserve">mre dot yavuz at </w:t>
            </w:r>
            <w:r>
              <w:rPr>
                <w:lang w:val="en-GB" w:eastAsia="ja-JP"/>
              </w:rPr>
              <w:t>ericsson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Oanyong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882194" w:rsidRPr="00616A6A" w14:paraId="2FE82B96" w14:textId="77777777" w:rsidTr="00197497">
        <w:tc>
          <w:tcPr>
            <w:tcW w:w="1760" w:type="dxa"/>
          </w:tcPr>
          <w:p w14:paraId="6E07BDAC" w14:textId="41D2D20F" w:rsidR="00882194" w:rsidRPr="00616A6A" w:rsidRDefault="00A327ED" w:rsidP="00D22BCA">
            <w:pPr>
              <w:overflowPunct w:val="0"/>
              <w:autoSpaceDE w:val="0"/>
              <w:autoSpaceDN w:val="0"/>
              <w:adjustRightInd w:val="0"/>
              <w:spacing w:after="0"/>
              <w:rPr>
                <w:lang w:val="en-GB" w:eastAsia="ja-JP"/>
              </w:rPr>
            </w:pPr>
            <w:r>
              <w:rPr>
                <w:lang w:val="en-GB" w:eastAsia="ja-JP"/>
              </w:rPr>
              <w:t>Convida</w:t>
            </w:r>
          </w:p>
        </w:tc>
        <w:tc>
          <w:tcPr>
            <w:tcW w:w="2687" w:type="dxa"/>
          </w:tcPr>
          <w:p w14:paraId="3A044EF2" w14:textId="42F80434" w:rsidR="00882194" w:rsidRPr="00616A6A" w:rsidRDefault="00A327ED" w:rsidP="00D22BCA">
            <w:pPr>
              <w:overflowPunct w:val="0"/>
              <w:autoSpaceDE w:val="0"/>
              <w:autoSpaceDN w:val="0"/>
              <w:adjustRightInd w:val="0"/>
              <w:spacing w:after="0"/>
              <w:rPr>
                <w:lang w:val="en-GB" w:eastAsia="ja-JP"/>
              </w:rPr>
            </w:pPr>
            <w:r>
              <w:rPr>
                <w:lang w:val="en-GB" w:eastAsia="ja-JP"/>
              </w:rPr>
              <w:t>Jerome Vogedes</w:t>
            </w:r>
          </w:p>
        </w:tc>
        <w:tc>
          <w:tcPr>
            <w:tcW w:w="4903" w:type="dxa"/>
          </w:tcPr>
          <w:p w14:paraId="52555D46" w14:textId="45D135C3" w:rsidR="00882194" w:rsidRPr="00616A6A" w:rsidRDefault="00A327ED" w:rsidP="00D22BCA">
            <w:pPr>
              <w:overflowPunct w:val="0"/>
              <w:autoSpaceDE w:val="0"/>
              <w:autoSpaceDN w:val="0"/>
              <w:adjustRightInd w:val="0"/>
              <w:spacing w:after="0"/>
              <w:rPr>
                <w:lang w:val="en-GB" w:eastAsia="ja-JP"/>
              </w:rPr>
            </w:pPr>
            <w:r>
              <w:rPr>
                <w:lang w:val="en-GB" w:eastAsia="ja-JP"/>
              </w:rPr>
              <w:t>Vogedes.jerome@convidawireless.com</w:t>
            </w:r>
          </w:p>
        </w:tc>
      </w:tr>
      <w:tr w:rsidR="00882194" w:rsidRPr="00616A6A" w14:paraId="2DD172C0" w14:textId="77777777" w:rsidTr="00197497">
        <w:tc>
          <w:tcPr>
            <w:tcW w:w="1760" w:type="dxa"/>
          </w:tcPr>
          <w:p w14:paraId="78DCD535"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AEC498A"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65CE1390" w14:textId="77777777" w:rsidR="00882194" w:rsidRPr="00616A6A" w:rsidRDefault="00882194" w:rsidP="00D22BCA">
            <w:pPr>
              <w:overflowPunct w:val="0"/>
              <w:autoSpaceDE w:val="0"/>
              <w:autoSpaceDN w:val="0"/>
              <w:adjustRightInd w:val="0"/>
              <w:spacing w:after="0"/>
              <w:rPr>
                <w:lang w:val="en-GB" w:eastAsia="ja-JP"/>
              </w:rPr>
            </w:pPr>
          </w:p>
        </w:tc>
      </w:tr>
      <w:tr w:rsidR="00882194" w:rsidRPr="00616A6A" w14:paraId="5C09D34A" w14:textId="77777777" w:rsidTr="00197497">
        <w:tc>
          <w:tcPr>
            <w:tcW w:w="1760" w:type="dxa"/>
          </w:tcPr>
          <w:p w14:paraId="572BF7C1" w14:textId="77777777" w:rsidR="00882194" w:rsidRPr="00616A6A" w:rsidRDefault="00882194" w:rsidP="00D22BCA">
            <w:pPr>
              <w:overflowPunct w:val="0"/>
              <w:autoSpaceDE w:val="0"/>
              <w:autoSpaceDN w:val="0"/>
              <w:adjustRightInd w:val="0"/>
              <w:spacing w:after="0"/>
              <w:rPr>
                <w:lang w:val="en-GB" w:eastAsia="ja-JP"/>
              </w:rPr>
            </w:pPr>
          </w:p>
        </w:tc>
        <w:tc>
          <w:tcPr>
            <w:tcW w:w="2687" w:type="dxa"/>
          </w:tcPr>
          <w:p w14:paraId="4CCC964E" w14:textId="77777777" w:rsidR="00882194" w:rsidRPr="00616A6A" w:rsidRDefault="00882194" w:rsidP="00D22BCA">
            <w:pPr>
              <w:overflowPunct w:val="0"/>
              <w:autoSpaceDE w:val="0"/>
              <w:autoSpaceDN w:val="0"/>
              <w:adjustRightInd w:val="0"/>
              <w:spacing w:after="0"/>
              <w:rPr>
                <w:lang w:val="en-GB" w:eastAsia="ja-JP"/>
              </w:rPr>
            </w:pPr>
          </w:p>
        </w:tc>
        <w:tc>
          <w:tcPr>
            <w:tcW w:w="4903" w:type="dxa"/>
          </w:tcPr>
          <w:p w14:paraId="5FAF1D74" w14:textId="77777777" w:rsidR="00882194" w:rsidRPr="00616A6A" w:rsidRDefault="00882194" w:rsidP="00D22BCA">
            <w:pPr>
              <w:overflowPunct w:val="0"/>
              <w:autoSpaceDE w:val="0"/>
              <w:autoSpaceDN w:val="0"/>
              <w:adjustRightInd w:val="0"/>
              <w:spacing w:after="0"/>
              <w:rPr>
                <w:lang w:val="en-GB" w:eastAsia="ja-JP"/>
              </w:rPr>
            </w:pP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Jerome Vogedes (Consultant)" w:date="2021-04-15T10:25:00Z" w:initials="JV(">
    <w:p w14:paraId="59BE2962" w14:textId="48F4F818" w:rsidR="00E218A9" w:rsidRDefault="00E218A9">
      <w:pPr>
        <w:pStyle w:val="CommentText"/>
      </w:pPr>
      <w:r>
        <w:rPr>
          <w:rStyle w:val="CommentReference"/>
        </w:rPr>
        <w:annotationRef/>
      </w:r>
      <w:r>
        <w:t xml:space="preserve">This question seems to be misinterpreted but some. </w:t>
      </w:r>
      <w:r>
        <w:t xml:space="preserve">We should be clear what we are considering as “essential”. Per the email discussion description: </w:t>
      </w:r>
      <w:r w:rsidRPr="00EA4ABC">
        <w:rPr>
          <w:highlight w:val="yellow"/>
        </w:rPr>
        <w:t>Identify/confirm enhancements that are considered essential for IoT NTN</w:t>
      </w:r>
    </w:p>
  </w:comment>
  <w:comment w:id="10" w:author="Jerome Vogedes (Consultant)" w:date="2021-04-15T10:28:00Z" w:initials="JV(">
    <w:p w14:paraId="48ACF6BE" w14:textId="778EE4A4" w:rsidR="00E218A9" w:rsidRDefault="00E218A9">
      <w:pPr>
        <w:pStyle w:val="CommentText"/>
      </w:pPr>
      <w:r>
        <w:rPr>
          <w:rStyle w:val="CommentReference"/>
        </w:rPr>
        <w:annotationRef/>
      </w:r>
      <w:r>
        <w:t xml:space="preserve">Same issue as in Q12: </w:t>
      </w:r>
      <w:r>
        <w:t xml:space="preserve">This question seems to be misinterpreted but some. We should be clear what we are considering as “essential”. Per the email discussion description: </w:t>
      </w:r>
      <w:r w:rsidRPr="00EA4ABC">
        <w:rPr>
          <w:highlight w:val="yellow"/>
        </w:rPr>
        <w:t>Identify/confirm enhancements that are considered essential for IoT NTN</w:t>
      </w:r>
    </w:p>
  </w:comment>
  <w:comment w:id="11" w:author="Jerome Vogedes (Consultant)" w:date="2021-04-15T10:29:00Z" w:initials="JV(">
    <w:p w14:paraId="54706428" w14:textId="288B5269" w:rsidR="00E218A9" w:rsidRDefault="00E218A9" w:rsidP="00E218A9">
      <w:pPr>
        <w:pStyle w:val="CommentText"/>
      </w:pPr>
      <w:r>
        <w:rPr>
          <w:rStyle w:val="CommentReference"/>
        </w:rPr>
        <w:annotationRef/>
      </w:r>
      <w:r>
        <w:t>Same issue as in Q12</w:t>
      </w:r>
      <w:r>
        <w:t>/13</w:t>
      </w:r>
      <w:r>
        <w:t xml:space="preserve">: This question seems to be misinterpreted but some. We should be clear what we are considering as “essential”. Per the email discussion description: </w:t>
      </w:r>
      <w:r w:rsidRPr="00EA4ABC">
        <w:rPr>
          <w:highlight w:val="yellow"/>
        </w:rPr>
        <w:t>Identify/confirm enhancements that are considered essential for IoT NTN</w:t>
      </w:r>
    </w:p>
    <w:p w14:paraId="5E89B339" w14:textId="76BF319D" w:rsidR="00E218A9" w:rsidRDefault="00E218A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BE2962" w15:done="0"/>
  <w15:commentEx w15:paraId="48ACF6BE" w15:done="0"/>
  <w15:commentEx w15:paraId="5E89B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9308" w16cex:dateUtc="2021-04-15T15:25:00Z"/>
  <w16cex:commentExtensible w16cex:durableId="242293B6" w16cex:dateUtc="2021-04-15T15:28:00Z"/>
  <w16cex:commentExtensible w16cex:durableId="2422940F" w16cex:dateUtc="2021-04-15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BE2962" w16cid:durableId="24229308"/>
  <w16cid:commentId w16cid:paraId="48ACF6BE" w16cid:durableId="242293B6"/>
  <w16cid:commentId w16cid:paraId="5E89B339" w16cid:durableId="24229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0D905" w14:textId="77777777" w:rsidR="0091571E" w:rsidRDefault="0091571E">
      <w:pPr>
        <w:pStyle w:val="TAL"/>
      </w:pPr>
      <w:r>
        <w:separator/>
      </w:r>
    </w:p>
  </w:endnote>
  <w:endnote w:type="continuationSeparator" w:id="0">
    <w:p w14:paraId="618BEE8D" w14:textId="77777777" w:rsidR="0091571E" w:rsidRDefault="0091571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5290D" w14:textId="77777777" w:rsidR="007E1567" w:rsidRDefault="007E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11044BD" w:rsidR="007E1567" w:rsidRDefault="007E1567">
    <w:pPr>
      <w:pStyle w:val="Footer"/>
    </w:pPr>
    <w:r>
      <w:rPr>
        <w:lang w:val="en-US" w:eastAsia="ko-KR"/>
      </w:rPr>
      <mc:AlternateContent>
        <mc:Choice Requires="wps">
          <w:drawing>
            <wp:anchor distT="0" distB="0" distL="114300" distR="114300" simplePos="0" relativeHeight="251659264" behindDoc="0" locked="0" layoutInCell="0" allowOverlap="1" wp14:anchorId="1829F27C" wp14:editId="2E4FF296">
              <wp:simplePos x="0" y="0"/>
              <wp:positionH relativeFrom="page">
                <wp:posOffset>0</wp:posOffset>
              </wp:positionH>
              <wp:positionV relativeFrom="page">
                <wp:posOffset>10229215</wp:posOffset>
              </wp:positionV>
              <wp:extent cx="7560945" cy="273050"/>
              <wp:effectExtent l="0" t="0" r="0" b="12700"/>
              <wp:wrapNone/>
              <wp:docPr id="1" name="MSIPCM66af49a6866ffb9de3a2c0d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585709BD" w:rsidR="007E1567" w:rsidRPr="009B4375" w:rsidRDefault="007E1567" w:rsidP="009B4375">
                          <w:pPr>
                            <w:spacing w:after="0"/>
                            <w:rPr>
                              <w:rFonts w:ascii="Calibri" w:hAnsi="Calibri" w:cs="Calibri"/>
                              <w:color w:val="000000"/>
                              <w:sz w:val="14"/>
                            </w:rPr>
                          </w:pPr>
                          <w:r w:rsidRPr="009B437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66af49a6866ffb9de3a2c0d4"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TNIUW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DEE4FF6" w14:textId="585709BD" w:rsidR="00850D7A" w:rsidRPr="009B4375" w:rsidRDefault="00850D7A" w:rsidP="009B4375">
                    <w:pPr>
                      <w:spacing w:after="0"/>
                      <w:rPr>
                        <w:rFonts w:ascii="Calibri" w:hAnsi="Calibri" w:cs="Calibri"/>
                        <w:color w:val="000000"/>
                        <w:sz w:val="14"/>
                      </w:rPr>
                    </w:pPr>
                    <w:r w:rsidRPr="009B4375">
                      <w:rPr>
                        <w:rFonts w:ascii="Calibri" w:hAnsi="Calibri" w:cs="Calibri"/>
                        <w:color w:val="000000"/>
                        <w:sz w:val="14"/>
                      </w:rPr>
                      <w:t>C2 General</w:t>
                    </w: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E11B7" w14:textId="77777777" w:rsidR="007E1567" w:rsidRDefault="007E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66ED" w14:textId="77777777" w:rsidR="0091571E" w:rsidRDefault="0091571E">
      <w:pPr>
        <w:pStyle w:val="TAL"/>
      </w:pPr>
      <w:r>
        <w:separator/>
      </w:r>
    </w:p>
  </w:footnote>
  <w:footnote w:type="continuationSeparator" w:id="0">
    <w:p w14:paraId="6D48D264" w14:textId="77777777" w:rsidR="0091571E" w:rsidRDefault="0091571E">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6B5E" w14:textId="77777777" w:rsidR="007E1567" w:rsidRDefault="007E1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7E1567" w:rsidRDefault="007E1567">
    <w:pPr>
      <w:pStyle w:val="Header"/>
      <w:framePr w:wrap="auto" w:vAnchor="text" w:hAnchor="margin" w:xAlign="center" w:y="1"/>
      <w:widowControl/>
    </w:pPr>
    <w:r>
      <w:fldChar w:fldCharType="begin"/>
    </w:r>
    <w:r>
      <w:instrText xml:space="preserve"> PAGE </w:instrText>
    </w:r>
    <w:r>
      <w:fldChar w:fldCharType="separate"/>
    </w:r>
    <w:r>
      <w:t>14</w:t>
    </w:r>
    <w:r>
      <w:fldChar w:fldCharType="end"/>
    </w:r>
  </w:p>
  <w:p w14:paraId="7E7576F4" w14:textId="77777777" w:rsidR="007E1567" w:rsidRDefault="007E1567">
    <w:pPr>
      <w:pStyle w:val="Header"/>
    </w:pPr>
  </w:p>
  <w:p w14:paraId="7B616B78" w14:textId="77777777" w:rsidR="007E1567" w:rsidRDefault="007E15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697FA" w14:textId="77777777" w:rsidR="007E1567" w:rsidRDefault="007E1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ome Vogedes (Consultant)">
    <w15:presenceInfo w15:providerId="None" w15:userId="Jerome Vogedes (Consult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ko-KR"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255D"/>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4CE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09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56C4"/>
    <w:rsid w:val="00625F41"/>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1567"/>
    <w:rsid w:val="007E38D5"/>
    <w:rsid w:val="007E46DF"/>
    <w:rsid w:val="007E58CE"/>
    <w:rsid w:val="007E671C"/>
    <w:rsid w:val="007F1996"/>
    <w:rsid w:val="007F1AB2"/>
    <w:rsid w:val="007F21A9"/>
    <w:rsid w:val="007F2F03"/>
    <w:rsid w:val="007F426A"/>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4AAC"/>
    <w:rsid w:val="008455D7"/>
    <w:rsid w:val="008458E9"/>
    <w:rsid w:val="008461DA"/>
    <w:rsid w:val="00846333"/>
    <w:rsid w:val="008507E1"/>
    <w:rsid w:val="00850D7A"/>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71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27ED"/>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DC9"/>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19"/>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8A9"/>
    <w:rsid w:val="00E21D30"/>
    <w:rsid w:val="00E2234B"/>
    <w:rsid w:val="00E236F8"/>
    <w:rsid w:val="00E2602E"/>
    <w:rsid w:val="00E264F3"/>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B5C"/>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3bis-e/Docs/R2-2102961.zi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F6919-DB7F-4A5C-B549-889A6DE2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8404</Words>
  <Characters>47905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56197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Jerome Vogedes (Consultant)</cp:lastModifiedBy>
  <cp:revision>3</cp:revision>
  <cp:lastPrinted>2007-12-21T11:58:00Z</cp:lastPrinted>
  <dcterms:created xsi:type="dcterms:W3CDTF">2021-04-15T15:32:00Z</dcterms:created>
  <dcterms:modified xsi:type="dcterms:W3CDTF">2021-04-15T15:33:00Z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ies>
</file>