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AT113bis-e][021][NR16] Sys Info Inter Node and Misc</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[AT113bis-e][021][NR16] Sys Info Inter Node and Misc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2FB5A5" w:rsidR="00A404E5" w:rsidRPr="00702049" w:rsidRDefault="003749E5" w:rsidP="00404DFA">
            <w:pPr>
              <w:rPr>
                <w:rFonts w:ascii="Arial" w:hAnsi="Arial" w:cs="Arial"/>
              </w:rPr>
            </w:pPr>
            <w:r>
              <w:rPr>
                <w:rFonts w:ascii="Arial" w:hAnsi="Arial" w:cs="Arial"/>
              </w:rPr>
              <w:t>Apple</w:t>
            </w:r>
          </w:p>
        </w:tc>
        <w:tc>
          <w:tcPr>
            <w:tcW w:w="6259" w:type="dxa"/>
          </w:tcPr>
          <w:p w14:paraId="6F329335" w14:textId="548C5876" w:rsidR="00A404E5" w:rsidRPr="00702049" w:rsidRDefault="003749E5" w:rsidP="00404DFA">
            <w:pPr>
              <w:rPr>
                <w:rFonts w:ascii="Arial" w:hAnsi="Arial" w:cs="Arial"/>
              </w:rPr>
            </w:pPr>
            <w:r>
              <w:rPr>
                <w:rFonts w:ascii="Arial" w:hAnsi="Arial" w:cs="Arial"/>
              </w:rPr>
              <w:t>zhibin_wu@apple.com</w:t>
            </w:r>
          </w:p>
        </w:tc>
      </w:tr>
      <w:tr w:rsidR="00A404E5" w:rsidRPr="00D87CF0" w14:paraId="2E615926" w14:textId="77777777" w:rsidTr="00404DFA">
        <w:trPr>
          <w:trHeight w:val="417"/>
        </w:trPr>
        <w:tc>
          <w:tcPr>
            <w:tcW w:w="3397" w:type="dxa"/>
          </w:tcPr>
          <w:p w14:paraId="294F3328" w14:textId="4EB267A7" w:rsidR="00A404E5" w:rsidRPr="00702049" w:rsidRDefault="00806E84" w:rsidP="00404DFA">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404DFA">
            <w:pPr>
              <w:rPr>
                <w:rFonts w:ascii="Arial" w:hAnsi="Arial" w:cs="Arial"/>
              </w:rPr>
            </w:pPr>
            <w:r>
              <w:rPr>
                <w:rFonts w:ascii="Arial" w:hAnsi="Arial" w:cs="Arial" w:hint="eastAsia"/>
              </w:rPr>
              <w:t>anilag@samsung.com</w:t>
            </w:r>
          </w:p>
        </w:tc>
      </w:tr>
      <w:tr w:rsidR="00A404E5" w:rsidRPr="00D87CF0" w14:paraId="020298CD" w14:textId="77777777" w:rsidTr="00404DFA">
        <w:trPr>
          <w:trHeight w:val="417"/>
        </w:trPr>
        <w:tc>
          <w:tcPr>
            <w:tcW w:w="3397" w:type="dxa"/>
          </w:tcPr>
          <w:p w14:paraId="04C76F3E" w14:textId="41EF0AC2" w:rsidR="00A404E5" w:rsidRPr="00702049" w:rsidRDefault="0086382D" w:rsidP="00404DFA">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404DFA">
            <w:pPr>
              <w:rPr>
                <w:rFonts w:ascii="Arial" w:hAnsi="Arial" w:cs="Arial"/>
              </w:rPr>
            </w:pPr>
            <w:r>
              <w:rPr>
                <w:rFonts w:ascii="Arial" w:hAnsi="Arial" w:cs="Arial"/>
              </w:rPr>
              <w:t>antonino.orsino@ericsson.com</w:t>
            </w:r>
          </w:p>
        </w:tc>
      </w:tr>
      <w:tr w:rsidR="00A404E5" w:rsidRPr="00D87CF0" w14:paraId="0FE46F42" w14:textId="77777777" w:rsidTr="00404DFA">
        <w:trPr>
          <w:trHeight w:val="417"/>
        </w:trPr>
        <w:tc>
          <w:tcPr>
            <w:tcW w:w="3397" w:type="dxa"/>
          </w:tcPr>
          <w:p w14:paraId="3F541270" w14:textId="0FA84A73" w:rsidR="00A404E5" w:rsidRPr="00702049" w:rsidRDefault="00F51EC7" w:rsidP="00404DFA">
            <w:pPr>
              <w:rPr>
                <w:rFonts w:ascii="Arial" w:hAnsi="Arial" w:cs="Arial"/>
              </w:rPr>
            </w:pPr>
            <w:r>
              <w:rPr>
                <w:rFonts w:ascii="Arial" w:hAnsi="Arial" w:cs="Arial"/>
              </w:rPr>
              <w:t>MediaTek</w:t>
            </w:r>
          </w:p>
        </w:tc>
        <w:tc>
          <w:tcPr>
            <w:tcW w:w="6259" w:type="dxa"/>
          </w:tcPr>
          <w:p w14:paraId="17541633" w14:textId="39864973" w:rsidR="00A404E5" w:rsidRPr="00702049" w:rsidRDefault="00F51EC7" w:rsidP="00404DFA">
            <w:pPr>
              <w:rPr>
                <w:rFonts w:ascii="Arial" w:hAnsi="Arial" w:cs="Arial"/>
              </w:rPr>
            </w:pPr>
            <w:r>
              <w:rPr>
                <w:rFonts w:ascii="Arial" w:hAnsi="Arial" w:cs="Arial"/>
              </w:rPr>
              <w:t>Chun-fan.tsai@mediatek.com</w:t>
            </w:r>
          </w:p>
        </w:tc>
      </w:tr>
      <w:tr w:rsidR="00821CED" w:rsidRPr="00D87CF0" w14:paraId="4760EBD0" w14:textId="77777777" w:rsidTr="00404DFA">
        <w:trPr>
          <w:trHeight w:val="417"/>
        </w:trPr>
        <w:tc>
          <w:tcPr>
            <w:tcW w:w="3397" w:type="dxa"/>
          </w:tcPr>
          <w:p w14:paraId="48BD8FBA" w14:textId="0B08D123" w:rsidR="00821CED" w:rsidRPr="00821CED" w:rsidRDefault="00821CED" w:rsidP="00404DFA">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tc>
        <w:tc>
          <w:tcPr>
            <w:tcW w:w="6259" w:type="dxa"/>
          </w:tcPr>
          <w:p w14:paraId="2B3FBDCB" w14:textId="5911DAC9" w:rsidR="00821CED" w:rsidRPr="00821CED" w:rsidRDefault="00821CED" w:rsidP="00404DFA">
            <w:pPr>
              <w:rPr>
                <w:rFonts w:ascii="Arial" w:eastAsiaTheme="minorEastAsia" w:hAnsi="Arial" w:cs="Arial"/>
                <w:lang w:eastAsia="zh-CN"/>
              </w:rPr>
            </w:pPr>
            <w:r>
              <w:rPr>
                <w:rFonts w:ascii="Arial" w:eastAsiaTheme="minorEastAsia" w:hAnsi="Arial" w:cs="Arial"/>
                <w:lang w:eastAsia="zh-CN"/>
              </w:rPr>
              <w:t>lu.ting@zte.com.cn</w:t>
            </w:r>
          </w:p>
        </w:tc>
      </w:tr>
      <w:tr w:rsidR="005116F8" w14:paraId="58E880C6" w14:textId="77777777" w:rsidTr="005116F8">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627C81">
            <w:pPr>
              <w:rPr>
                <w:rFonts w:ascii="Arial" w:hAnsi="Arial" w:cs="Arial"/>
              </w:rPr>
            </w:pPr>
            <w:hyperlink r:id="rId15" w:history="1">
              <w:r w:rsidRPr="000C2920">
                <w:rPr>
                  <w:rStyle w:val="Hyperlink"/>
                  <w:rFonts w:ascii="Arial" w:hAnsi="Arial" w:cs="Arial"/>
                </w:rPr>
                <w:t>brian.alexander.martin@huawei.com</w:t>
              </w:r>
            </w:hyperlink>
          </w:p>
        </w:tc>
      </w:tr>
      <w:tr w:rsidR="00627C81" w14:paraId="32729680" w14:textId="77777777" w:rsidTr="005116F8">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B789B9A" w:rsidR="00627C81" w:rsidRDefault="00627C81">
            <w:pPr>
              <w:rPr>
                <w:rFonts w:ascii="Arial" w:hAnsi="Arial" w:cs="Arial"/>
              </w:rPr>
            </w:pPr>
            <w:r>
              <w:rPr>
                <w:rFonts w:ascii="Arial" w:hAnsi="Arial" w:cs="Arial"/>
              </w:rPr>
              <w:t>Sudeep.k.palat@intel.com</w:t>
            </w: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3C7609" w:rsidP="00AD0407">
      <w:pPr>
        <w:pStyle w:val="Doc-title"/>
      </w:pPr>
      <w:hyperlink r:id="rId16"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7"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14634F22" w:rsidR="00AD0407" w:rsidRPr="00702049" w:rsidRDefault="003749E5" w:rsidP="00B35DAB">
            <w:pPr>
              <w:rPr>
                <w:rFonts w:ascii="Arial" w:hAnsi="Arial" w:cs="Arial"/>
              </w:rPr>
            </w:pPr>
            <w:r>
              <w:rPr>
                <w:rFonts w:ascii="Arial" w:hAnsi="Arial" w:cs="Arial"/>
              </w:rPr>
              <w:t>Apple</w:t>
            </w:r>
          </w:p>
        </w:tc>
        <w:tc>
          <w:tcPr>
            <w:tcW w:w="843" w:type="pct"/>
          </w:tcPr>
          <w:p w14:paraId="274A9CC2" w14:textId="66AA791B" w:rsidR="00AD0407" w:rsidRPr="00702049" w:rsidRDefault="003749E5" w:rsidP="00B35DAB">
            <w:pPr>
              <w:rPr>
                <w:rFonts w:ascii="Arial" w:hAnsi="Arial" w:cs="Arial"/>
              </w:rPr>
            </w:pPr>
            <w:r>
              <w:rPr>
                <w:rFonts w:ascii="Arial" w:hAnsi="Arial" w:cs="Arial"/>
              </w:rPr>
              <w:t>Yes</w:t>
            </w:r>
          </w:p>
        </w:tc>
        <w:tc>
          <w:tcPr>
            <w:tcW w:w="3089" w:type="pct"/>
          </w:tcPr>
          <w:p w14:paraId="746C92B1" w14:textId="5B5FA119" w:rsidR="00AD0407" w:rsidRPr="00702049" w:rsidRDefault="003749E5" w:rsidP="00B35DAB">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B35DAB">
        <w:trPr>
          <w:trHeight w:val="417"/>
        </w:trPr>
        <w:tc>
          <w:tcPr>
            <w:tcW w:w="1068" w:type="pct"/>
          </w:tcPr>
          <w:p w14:paraId="5659EBBF" w14:textId="7BA127DF" w:rsidR="00AD0407" w:rsidRPr="00702049" w:rsidRDefault="00806E84" w:rsidP="00B35DAB">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B35DAB">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B35DAB">
            <w:pPr>
              <w:rPr>
                <w:rFonts w:ascii="Arial" w:hAnsi="Arial" w:cs="Arial"/>
              </w:rPr>
            </w:pPr>
            <w:r w:rsidRPr="00806E84">
              <w:rPr>
                <w:rFonts w:ascii="Arial" w:hAnsi="Arial" w:cs="Arial"/>
              </w:rPr>
              <w:t>For scenario (B), UE should re-acquire SIB1</w:t>
            </w:r>
          </w:p>
        </w:tc>
      </w:tr>
      <w:tr w:rsidR="0086382D" w:rsidRPr="00D87CF0" w14:paraId="08A7F367" w14:textId="77777777" w:rsidTr="00B35DAB">
        <w:trPr>
          <w:trHeight w:val="417"/>
        </w:trPr>
        <w:tc>
          <w:tcPr>
            <w:tcW w:w="1068" w:type="pct"/>
          </w:tcPr>
          <w:p w14:paraId="4F0A1A7F" w14:textId="647E0560" w:rsidR="0086382D" w:rsidRDefault="0086382D" w:rsidP="00B35DAB">
            <w:pPr>
              <w:rPr>
                <w:rFonts w:ascii="Arial" w:hAnsi="Arial" w:cs="Arial"/>
              </w:rPr>
            </w:pPr>
            <w:r>
              <w:rPr>
                <w:rFonts w:ascii="Arial" w:hAnsi="Arial" w:cs="Arial"/>
              </w:rPr>
              <w:t>Ericsson (Tony)</w:t>
            </w:r>
          </w:p>
        </w:tc>
        <w:tc>
          <w:tcPr>
            <w:tcW w:w="843" w:type="pct"/>
          </w:tcPr>
          <w:p w14:paraId="51A75480" w14:textId="15059E94" w:rsidR="0086382D" w:rsidRDefault="0086382D" w:rsidP="00B35DAB">
            <w:pPr>
              <w:rPr>
                <w:rFonts w:ascii="Arial" w:hAnsi="Arial" w:cs="Arial"/>
              </w:rPr>
            </w:pPr>
            <w:r>
              <w:rPr>
                <w:rFonts w:ascii="Arial" w:hAnsi="Arial" w:cs="Arial"/>
              </w:rPr>
              <w:t>Yes</w:t>
            </w:r>
          </w:p>
        </w:tc>
        <w:tc>
          <w:tcPr>
            <w:tcW w:w="3089" w:type="pct"/>
          </w:tcPr>
          <w:p w14:paraId="1B618E97" w14:textId="77777777" w:rsidR="0086382D" w:rsidRPr="00806E84" w:rsidRDefault="0086382D" w:rsidP="00B35DAB">
            <w:pPr>
              <w:rPr>
                <w:rFonts w:ascii="Arial" w:hAnsi="Arial" w:cs="Arial"/>
              </w:rPr>
            </w:pPr>
          </w:p>
        </w:tc>
      </w:tr>
      <w:tr w:rsidR="00F51EC7" w:rsidRPr="00D87CF0" w14:paraId="71C3C5C9" w14:textId="77777777" w:rsidTr="00B35DAB">
        <w:trPr>
          <w:trHeight w:val="417"/>
        </w:trPr>
        <w:tc>
          <w:tcPr>
            <w:tcW w:w="1068" w:type="pct"/>
          </w:tcPr>
          <w:p w14:paraId="7238DD70" w14:textId="173B0D14" w:rsidR="00F51EC7" w:rsidRDefault="00F51EC7" w:rsidP="00B35DAB">
            <w:pPr>
              <w:rPr>
                <w:rFonts w:ascii="Arial" w:hAnsi="Arial" w:cs="Arial"/>
              </w:rPr>
            </w:pPr>
            <w:r>
              <w:rPr>
                <w:rFonts w:ascii="Arial" w:hAnsi="Arial" w:cs="Arial"/>
              </w:rPr>
              <w:t>MediaTek</w:t>
            </w:r>
          </w:p>
        </w:tc>
        <w:tc>
          <w:tcPr>
            <w:tcW w:w="843" w:type="pct"/>
          </w:tcPr>
          <w:p w14:paraId="0A940E72" w14:textId="4F71690B" w:rsidR="00F51EC7" w:rsidRDefault="00F51EC7" w:rsidP="00B35DAB">
            <w:pPr>
              <w:rPr>
                <w:rFonts w:ascii="Arial" w:hAnsi="Arial" w:cs="Arial"/>
              </w:rPr>
            </w:pPr>
            <w:r>
              <w:rPr>
                <w:rFonts w:ascii="Arial" w:hAnsi="Arial" w:cs="Arial"/>
              </w:rPr>
              <w:t>No</w:t>
            </w:r>
          </w:p>
        </w:tc>
        <w:tc>
          <w:tcPr>
            <w:tcW w:w="3089" w:type="pct"/>
          </w:tcPr>
          <w:p w14:paraId="3C1BB1AB" w14:textId="030F1F19" w:rsidR="00F51EC7" w:rsidRDefault="00F51EC7" w:rsidP="00B35DAB">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B35DAB">
            <w:pPr>
              <w:rPr>
                <w:rFonts w:ascii="Arial" w:hAnsi="Arial" w:cs="Arial"/>
              </w:rPr>
            </w:pPr>
          </w:p>
          <w:p w14:paraId="72454A95" w14:textId="7C213D3A" w:rsidR="00F51EC7" w:rsidRDefault="00F51EC7" w:rsidP="00B35DAB">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B35DAB">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B35DAB">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Heading2"/>
      </w:pPr>
      <w:r>
        <w:lastRenderedPageBreak/>
        <w:t>3.</w:t>
      </w:r>
      <w:r w:rsidR="003740AE">
        <w:t>2</w:t>
      </w:r>
      <w:r>
        <w:tab/>
      </w:r>
      <w:r w:rsidR="003740AE" w:rsidRPr="00260650">
        <w:t>Discussion on leap second and DST for R16 accurate time</w:t>
      </w:r>
    </w:p>
    <w:p w14:paraId="600AAFF3" w14:textId="66177885" w:rsidR="00DC0D8D" w:rsidRDefault="003C7609" w:rsidP="003740AE">
      <w:pPr>
        <w:pStyle w:val="Doc-title"/>
      </w:pPr>
      <w:hyperlink r:id="rId18"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3C7609" w:rsidP="00E1006E">
      <w:pPr>
        <w:rPr>
          <w:rFonts w:ascii="Arial" w:eastAsia="MS Mincho" w:hAnsi="Arial"/>
          <w:noProof/>
          <w:sz w:val="20"/>
        </w:rPr>
      </w:pPr>
      <w:hyperlink r:id="rId19"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If DST/DSTE switch occurs, there will be one or two hours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To provide leap second prediction indication via referenceTimeInfo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To provide DST prediction indication via referenceTimeInfo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20"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r w:rsidRPr="00DE5341">
              <w:rPr>
                <w:b/>
                <w:i/>
                <w:szCs w:val="22"/>
                <w:lang w:eastAsia="en-US"/>
              </w:rPr>
              <w:t>leapSeconds</w:t>
            </w:r>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w:t>
            </w:r>
            <w:r w:rsidR="00891033">
              <w:lastRenderedPageBreak/>
              <w:t xml:space="preserve">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062092" w:rsidR="003740AE" w:rsidRPr="00702049" w:rsidRDefault="003749E5" w:rsidP="00B35DAB">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B35DAB">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Another point to consider is that RAN2 probably cannot decide this on its own. The referenceTimeInfo IE in 38.331 is linked with the SFN timing where the time field indicates the time at the ending boundary of the system frame indicated by referenceSFN.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B35DAB">
        <w:trPr>
          <w:trHeight w:val="417"/>
        </w:trPr>
        <w:tc>
          <w:tcPr>
            <w:tcW w:w="1068" w:type="pct"/>
          </w:tcPr>
          <w:p w14:paraId="7BB6BEF2" w14:textId="497C7BDB" w:rsidR="003740AE" w:rsidRPr="00702049" w:rsidRDefault="00806E84" w:rsidP="00B35DAB">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B35DAB">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B35DAB">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B35DAB">
        <w:trPr>
          <w:trHeight w:val="417"/>
        </w:trPr>
        <w:tc>
          <w:tcPr>
            <w:tcW w:w="1068" w:type="pct"/>
          </w:tcPr>
          <w:p w14:paraId="427D2FFD" w14:textId="5FBD74AB" w:rsidR="00BA0D91" w:rsidRDefault="00BA0D91" w:rsidP="00B35DAB">
            <w:pPr>
              <w:rPr>
                <w:rFonts w:ascii="Arial" w:hAnsi="Arial" w:cs="Arial"/>
              </w:rPr>
            </w:pPr>
            <w:r>
              <w:rPr>
                <w:rFonts w:ascii="Arial" w:hAnsi="Arial" w:cs="Arial"/>
              </w:rPr>
              <w:t>MediaTek</w:t>
            </w:r>
          </w:p>
        </w:tc>
        <w:tc>
          <w:tcPr>
            <w:tcW w:w="843" w:type="pct"/>
          </w:tcPr>
          <w:p w14:paraId="57A6DF5D" w14:textId="0231A0E3" w:rsidR="00BA0D91" w:rsidRDefault="00BA0D91" w:rsidP="00B35DAB">
            <w:pPr>
              <w:rPr>
                <w:rFonts w:ascii="Arial" w:hAnsi="Arial" w:cs="Arial"/>
              </w:rPr>
            </w:pPr>
            <w:r>
              <w:rPr>
                <w:rFonts w:ascii="Arial" w:hAnsi="Arial" w:cs="Arial"/>
              </w:rPr>
              <w:t>No</w:t>
            </w:r>
          </w:p>
        </w:tc>
        <w:tc>
          <w:tcPr>
            <w:tcW w:w="3089" w:type="pct"/>
          </w:tcPr>
          <w:p w14:paraId="37D3E68D" w14:textId="3DA2541B" w:rsidR="00BA0D91" w:rsidRPr="00806E84" w:rsidRDefault="009261FF" w:rsidP="00B35DAB">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B35DAB">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 xml:space="preserve">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w:t>
            </w:r>
            <w:r w:rsidRPr="004270D0">
              <w:rPr>
                <w:rFonts w:ascii="Arial" w:hAnsi="Arial" w:cs="Arial"/>
                <w:sz w:val="20"/>
                <w:szCs w:val="20"/>
                <w:lang w:val="de-DE"/>
              </w:rPr>
              <w:lastRenderedPageBreak/>
              <w:t>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Correction on failureType in FailureReportSCG-EUTRA and scgFailureInfoEUTRA</w:t>
      </w:r>
    </w:p>
    <w:p w14:paraId="2763D59C" w14:textId="7ECBAAD9" w:rsidR="003740AE" w:rsidRPr="00260650" w:rsidRDefault="003C7609" w:rsidP="003740AE">
      <w:pPr>
        <w:pStyle w:val="Doc-title"/>
      </w:pPr>
      <w:hyperlink r:id="rId21"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r w:rsidRPr="006607F0">
              <w:rPr>
                <w:i/>
              </w:rPr>
              <w:t>SCGFailureInformationEUTRA</w:t>
            </w:r>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r w:rsidRPr="006607F0">
              <w:rPr>
                <w:i/>
              </w:rPr>
              <w:t>failureType</w:t>
            </w:r>
            <w:r w:rsidRPr="006607F0">
              <w:t xml:space="preserve"> within </w:t>
            </w:r>
            <w:r w:rsidRPr="006607F0">
              <w:rPr>
                <w:i/>
              </w:rPr>
              <w:t>failureReportSCG-EUTRA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lastRenderedPageBreak/>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randomAccessProblem</w:t>
            </w:r>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rlc-MaxNumRetx</w:t>
            </w:r>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r w:rsidRPr="006B1E18">
              <w:rPr>
                <w:i/>
              </w:rPr>
              <w:t>failureType</w:t>
            </w:r>
            <w:r w:rsidRPr="006B1E18">
              <w:t xml:space="preserve"> to be </w:t>
            </w:r>
            <w:r w:rsidRPr="006B1E18">
              <w:rPr>
                <w:i/>
              </w:rPr>
              <w:t>scg-ChangeFailure</w:t>
            </w:r>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eNB, the SpCell cannot be configured on the shared spectrum, thus </w:t>
      </w:r>
      <w:r w:rsidRPr="00D9426B">
        <w:rPr>
          <w:i/>
        </w:rPr>
        <w:t>failureType</w:t>
      </w:r>
      <w:r>
        <w:t xml:space="preserve"> with </w:t>
      </w:r>
      <w:r w:rsidRPr="006B0F20">
        <w:rPr>
          <w:i/>
          <w:noProof/>
        </w:rPr>
        <w:t>scg-lbtFailure</w:t>
      </w:r>
      <w:r>
        <w:t xml:space="preserve"> will never be reported in IE </w:t>
      </w:r>
      <w:r w:rsidRPr="00D9426B">
        <w:rPr>
          <w:i/>
        </w:rPr>
        <w:t>failureReportedSCG-EUTRA</w:t>
      </w:r>
      <w:r>
        <w:t xml:space="preserve">. Beam related operation is not supported for LTE and T312 will not be configured for LTE SCG, therefore </w:t>
      </w:r>
      <w:r w:rsidRPr="007D4CE7">
        <w:rPr>
          <w:i/>
        </w:rPr>
        <w:t>failureType</w:t>
      </w:r>
      <w:r>
        <w:t xml:space="preserve"> will never be set as </w:t>
      </w:r>
      <w:r w:rsidRPr="006B0F20">
        <w:rPr>
          <w:i/>
          <w:noProof/>
        </w:rPr>
        <w:t>beamFailureRecoveryFailure</w:t>
      </w:r>
      <w:r>
        <w:rPr>
          <w:noProof/>
        </w:rPr>
        <w:t xml:space="preserve"> or </w:t>
      </w:r>
      <w:r w:rsidRPr="006B0F20">
        <w:rPr>
          <w:i/>
        </w:rPr>
        <w:t>t312-Expiry</w:t>
      </w:r>
      <w:r>
        <w:t xml:space="preserve"> in IE </w:t>
      </w:r>
      <w:r>
        <w:rPr>
          <w:i/>
        </w:rPr>
        <w:t>failureReport</w:t>
      </w:r>
      <w:r w:rsidRPr="00D9426B">
        <w:rPr>
          <w:i/>
        </w:rPr>
        <w:t>SCG-EUTRA</w:t>
      </w:r>
      <w:r>
        <w:t>.</w:t>
      </w:r>
    </w:p>
    <w:p w14:paraId="4C7919F8" w14:textId="4E86ED6A" w:rsidR="003740AE" w:rsidRPr="003740AE" w:rsidRDefault="003740AE" w:rsidP="003740AE">
      <w:pPr>
        <w:pStyle w:val="BodyText"/>
      </w:pPr>
      <w:r w:rsidRPr="003740AE">
        <w:t xml:space="preserve">Similarly, for </w:t>
      </w:r>
      <w:r w:rsidRPr="003740AE">
        <w:rPr>
          <w:i/>
          <w:iCs/>
        </w:rPr>
        <w:t>failureTypeEUTRA</w:t>
      </w:r>
      <w:r w:rsidRPr="003740AE">
        <w:t xml:space="preserve"> in the IE </w:t>
      </w:r>
      <w:r w:rsidRPr="003740AE">
        <w:rPr>
          <w:i/>
          <w:iCs/>
        </w:rPr>
        <w:t>scgFailureInfoEUTRA</w:t>
      </w:r>
      <w:r w:rsidRPr="003740AE">
        <w:t xml:space="preserve"> of </w:t>
      </w:r>
      <w:r w:rsidRPr="003740AE">
        <w:rPr>
          <w:i/>
          <w:iCs/>
        </w:rPr>
        <w:t>CG-ConfigInfo</w:t>
      </w:r>
      <w:r w:rsidRPr="003740AE">
        <w:t xml:space="preserve"> message, the values </w:t>
      </w:r>
      <w:r w:rsidRPr="003740AE">
        <w:rPr>
          <w:i/>
          <w:iCs/>
        </w:rPr>
        <w:t>scg-lbtFailure</w:t>
      </w:r>
      <w:r w:rsidRPr="003740AE">
        <w:t xml:space="preserve">, </w:t>
      </w:r>
      <w:r w:rsidRPr="003740AE">
        <w:rPr>
          <w:i/>
          <w:iCs/>
        </w:rPr>
        <w:t>beamFailureRecoveryFailure</w:t>
      </w:r>
      <w:r w:rsidRPr="003740AE">
        <w:t xml:space="preserve">, and </w:t>
      </w:r>
      <w:r w:rsidRPr="003740AE">
        <w:rPr>
          <w:i/>
          <w:iCs/>
        </w:rPr>
        <w:t>t312-Expiry</w:t>
      </w:r>
      <w:r w:rsidRPr="003740AE">
        <w:t xml:space="preserve"> are of no use and can be removed. The consenquence is that </w:t>
      </w:r>
      <w:r w:rsidRPr="003740AE">
        <w:rPr>
          <w:i/>
          <w:iCs/>
        </w:rPr>
        <w:t>failureTypeEUTRA</w:t>
      </w:r>
      <w:r w:rsidRPr="003740AE">
        <w:t xml:space="preserve"> in the IE </w:t>
      </w:r>
      <w:r w:rsidRPr="003740AE">
        <w:rPr>
          <w:i/>
          <w:iCs/>
        </w:rPr>
        <w:t>scgFailureInfoEUTRA</w:t>
      </w:r>
      <w:r w:rsidRPr="003740AE">
        <w:t xml:space="preserve"> will only contain spare values. Considering </w:t>
      </w:r>
      <w:r w:rsidRPr="003740AE">
        <w:rPr>
          <w:i/>
          <w:iCs/>
        </w:rPr>
        <w:t>measResultSCG-EUTRA</w:t>
      </w:r>
      <w:r w:rsidRPr="003740AE">
        <w:t xml:space="preserve"> within the same IE will never be reported either, we can dummify </w:t>
      </w:r>
      <w:r w:rsidRPr="003740AE">
        <w:rPr>
          <w:i/>
          <w:iCs/>
        </w:rPr>
        <w:t>scgFailureInfoEUTRA</w:t>
      </w:r>
      <w:r w:rsidRPr="003740AE">
        <w:t xml:space="preserve"> from the </w:t>
      </w:r>
      <w:r w:rsidRPr="003740AE">
        <w:rPr>
          <w:i/>
          <w:iCs/>
        </w:rPr>
        <w:t>CG-ConfigInfo</w:t>
      </w:r>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22"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dummify </w:t>
            </w:r>
            <w:r w:rsidRPr="0000231E">
              <w:rPr>
                <w:rFonts w:ascii="Arial" w:hAnsi="Arial" w:cs="Arial"/>
                <w:i/>
                <w:iCs/>
                <w:lang w:val="en-US"/>
              </w:rPr>
              <w:t>scgFailureInfoEUTRA-r16</w:t>
            </w:r>
            <w:r w:rsidRPr="0000231E">
              <w:rPr>
                <w:rFonts w:ascii="Arial" w:hAnsi="Arial" w:cs="Arial"/>
                <w:lang w:val="en-US"/>
              </w:rPr>
              <w:t xml:space="preserve"> in CG-ConfigInfo.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r w:rsidRPr="0000231E">
              <w:rPr>
                <w:rFonts w:ascii="Arial" w:hAnsi="Arial" w:cs="Arial"/>
                <w:i/>
                <w:iCs/>
                <w:lang w:val="en-US"/>
              </w:rPr>
              <w:t>SCGFailureInformationEUTRA</w:t>
            </w:r>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B35DAB">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B35DAB">
        <w:trPr>
          <w:trHeight w:val="417"/>
        </w:trPr>
        <w:tc>
          <w:tcPr>
            <w:tcW w:w="1068" w:type="pct"/>
          </w:tcPr>
          <w:p w14:paraId="0CAFDA65" w14:textId="0A7F023D" w:rsidR="0086382D" w:rsidRDefault="0086382D" w:rsidP="00491365">
            <w:pPr>
              <w:rPr>
                <w:rFonts w:ascii="Arial" w:hAnsi="Arial" w:cs="Arial"/>
              </w:rPr>
            </w:pPr>
            <w:r>
              <w:rPr>
                <w:rFonts w:ascii="Arial" w:hAnsi="Arial" w:cs="Arial"/>
              </w:rPr>
              <w:lastRenderedPageBreak/>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B35DAB">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t>
            </w:r>
            <w:r>
              <w:rPr>
                <w:rFonts w:ascii="Arial" w:hAnsi="Arial" w:cs="Arial"/>
              </w:rPr>
              <w:t>We are OK to dummify the values or the IE</w:t>
            </w:r>
            <w:r>
              <w:rPr>
                <w:rFonts w:ascii="Arial" w:hAnsi="Arial" w:cs="Arial"/>
              </w:rPr>
              <w:t xml:space="preserve">   </w:t>
            </w:r>
          </w:p>
        </w:tc>
      </w:tr>
    </w:tbl>
    <w:p w14:paraId="5BE30E14" w14:textId="465634A7" w:rsidR="003740AE" w:rsidRDefault="003740AE" w:rsidP="00DC0D8D"/>
    <w:p w14:paraId="742EC8B3" w14:textId="678C63FD" w:rsidR="003740AE" w:rsidRDefault="003740AE" w:rsidP="003740AE">
      <w:pPr>
        <w:pStyle w:val="Heading3"/>
      </w:pPr>
      <w:r>
        <w:t>3.3.2</w:t>
      </w:r>
      <w:r>
        <w:tab/>
      </w:r>
      <w:r w:rsidRPr="00260650">
        <w:t>Correction to scgFailureInfoEUTRA and FailureReportSCG-EUTRA</w:t>
      </w:r>
    </w:p>
    <w:p w14:paraId="66FD61E5" w14:textId="4CA10D0A" w:rsidR="003740AE" w:rsidRDefault="003C7609" w:rsidP="003740AE">
      <w:pPr>
        <w:pStyle w:val="Doc-title"/>
      </w:pPr>
      <w:hyperlink r:id="rId23"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r w:rsidRPr="00476F7D">
        <w:t>scgFailureInfoEUTR</w:t>
      </w:r>
      <w:r>
        <w:t xml:space="preserve">A IE within the </w:t>
      </w:r>
      <w:r w:rsidRPr="00E22C95">
        <w:t>CG-ConfigInfo-v1610-IEs</w:t>
      </w:r>
      <w:r>
        <w:t xml:space="preserve"> and the </w:t>
      </w:r>
      <w:r w:rsidRPr="00E22C95">
        <w:rPr>
          <w:rFonts w:eastAsia="Malgun Gothic"/>
        </w:rPr>
        <w:t xml:space="preserve">FailureReportSCG-EUTRA </w:t>
      </w:r>
      <w:r>
        <w:rPr>
          <w:rFonts w:eastAsia="Malgun Gothic"/>
        </w:rPr>
        <w:t xml:space="preserve">IE within the </w:t>
      </w:r>
      <w:r w:rsidRPr="00E22C95">
        <w:rPr>
          <w:rFonts w:eastAsia="Malgun Gothic"/>
        </w:rPr>
        <w:t>SCGFailureInformationEUTRA</w:t>
      </w:r>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4"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dummify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B35DAB">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B35DAB">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B35DAB">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B35DAB">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77777777" w:rsidR="00E036EC" w:rsidRDefault="00E036EC">
            <w:pPr>
              <w:rPr>
                <w:rFonts w:ascii="Arial" w:hAnsi="Arial" w:cs="Arial"/>
              </w:rPr>
            </w:pPr>
          </w:p>
        </w:tc>
        <w:tc>
          <w:tcPr>
            <w:tcW w:w="843" w:type="pct"/>
          </w:tcPr>
          <w:p w14:paraId="0B1FF981" w14:textId="77777777" w:rsidR="00E036EC" w:rsidRDefault="00E036EC">
            <w:pPr>
              <w:rPr>
                <w:rFonts w:ascii="Arial" w:hAnsi="Arial" w:cs="Arial"/>
              </w:rPr>
            </w:pPr>
          </w:p>
        </w:tc>
        <w:tc>
          <w:tcPr>
            <w:tcW w:w="3089" w:type="pct"/>
          </w:tcPr>
          <w:p w14:paraId="64B37DDD" w14:textId="77777777" w:rsidR="00E036EC" w:rsidRDefault="00E036EC">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3C7609" w:rsidP="003740AE">
      <w:pPr>
        <w:pStyle w:val="Doc-title"/>
      </w:pPr>
      <w:hyperlink r:id="rId25"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lastRenderedPageBreak/>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xml:space="preserve">, the TDD-UL-DL-ConfigurationCommon should be defined in 38.331, however in current 38.331, the </w:t>
      </w:r>
      <w:r w:rsidRPr="003740AE">
        <w:t>definition</w:t>
      </w:r>
      <w:r w:rsidRPr="003740AE">
        <w:rPr>
          <w:rFonts w:hint="eastAsia"/>
        </w:rPr>
        <w:t xml:space="preserve"> of TDD-UL-DL-ConfigurationCommon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6"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806E84" w:rsidRPr="00D87CF0" w14:paraId="133098B5" w14:textId="77777777" w:rsidTr="00404DFA">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TDD-UL-DL-ConfigCommon. It seems to have sufficient extension options, so there is no real need to introduce an inter-node message. I.e. RAN3 can simply refer to the IE</w:t>
            </w:r>
          </w:p>
        </w:tc>
      </w:tr>
      <w:tr w:rsidR="002B0973" w:rsidRPr="00D87CF0" w14:paraId="15C7BC58" w14:textId="77777777" w:rsidTr="00404DFA">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lastRenderedPageBreak/>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Correction on UTRA Capabilty forwarding in HO preparation</w:t>
      </w:r>
    </w:p>
    <w:p w14:paraId="0A75405A" w14:textId="1164CEED" w:rsidR="009E38CB" w:rsidRPr="00260650" w:rsidRDefault="003C7609" w:rsidP="009E38CB">
      <w:pPr>
        <w:pStyle w:val="Doc-title"/>
      </w:pPr>
      <w:hyperlink r:id="rId27"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a-priori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8"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9"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B35DAB">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B35DAB">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B35DAB">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We don’t think this behaviour for this scenario need to be specified.  The current text around handlin</w:t>
            </w:r>
            <w:r>
              <w:rPr>
                <w:rFonts w:ascii="Arial" w:hAnsi="Arial" w:cs="Arial"/>
              </w:rPr>
              <w:t>g of</w:t>
            </w:r>
            <w:r>
              <w:rPr>
                <w:rFonts w:ascii="Arial" w:hAnsi="Arial" w:cs="Arial"/>
              </w:rPr>
              <w:t xml:space="preserve"> UTRA capabilities is sufficient.  </w:t>
            </w: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3C7609" w:rsidP="009E38CB">
      <w:pPr>
        <w:pStyle w:val="Doc-title"/>
      </w:pPr>
      <w:hyperlink r:id="rId30"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31"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r w:rsidRPr="00C915E2">
              <w:rPr>
                <w:rFonts w:ascii="Arial" w:hAnsi="Arial" w:cs="Arial"/>
              </w:rPr>
              <w:t>uac-BarringTime</w:t>
            </w:r>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B35DAB">
        <w:trPr>
          <w:trHeight w:val="417"/>
        </w:trPr>
        <w:tc>
          <w:tcPr>
            <w:tcW w:w="1068" w:type="pct"/>
          </w:tcPr>
          <w:p w14:paraId="3DDD605D" w14:textId="1DF1506B" w:rsidR="009E38CB" w:rsidRPr="00702049" w:rsidRDefault="00D20E19" w:rsidP="00B35DAB">
            <w:pPr>
              <w:rPr>
                <w:rFonts w:ascii="Arial" w:hAnsi="Arial" w:cs="Arial"/>
              </w:rPr>
            </w:pPr>
            <w:r>
              <w:rPr>
                <w:rFonts w:ascii="Arial" w:hAnsi="Arial" w:cs="Arial"/>
              </w:rPr>
              <w:t>Apple</w:t>
            </w:r>
          </w:p>
        </w:tc>
        <w:tc>
          <w:tcPr>
            <w:tcW w:w="843" w:type="pct"/>
          </w:tcPr>
          <w:p w14:paraId="70C6B3BD" w14:textId="09A36DDD" w:rsidR="009E38CB" w:rsidRPr="00702049" w:rsidRDefault="00633BD8" w:rsidP="00B35DAB">
            <w:pPr>
              <w:rPr>
                <w:rFonts w:ascii="Arial" w:hAnsi="Arial" w:cs="Arial"/>
              </w:rPr>
            </w:pPr>
            <w:r>
              <w:rPr>
                <w:rFonts w:ascii="Arial" w:hAnsi="Arial" w:cs="Arial"/>
              </w:rPr>
              <w:t>Partially</w:t>
            </w:r>
          </w:p>
        </w:tc>
        <w:tc>
          <w:tcPr>
            <w:tcW w:w="3089" w:type="pct"/>
          </w:tcPr>
          <w:p w14:paraId="11EA3F57" w14:textId="17E3B365" w:rsidR="009E38CB" w:rsidRPr="00702049" w:rsidRDefault="00D20E19" w:rsidP="00B35DAB">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B35DAB">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3C7609" w:rsidP="003463E2">
      <w:pPr>
        <w:pStyle w:val="Doc-title"/>
      </w:pPr>
      <w:hyperlink r:id="rId32"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The main motivation in LTE for introducing the ue-ConfigRelease was mainly because there were network implementation not using any ASN.1 decoder at the target eNB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It is not clear how the ue-ConfigRelease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The ue-ConfigRelease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r w:rsidRPr="003463E2">
        <w:rPr>
          <w:i/>
          <w:iCs/>
        </w:rPr>
        <w:t>ue-ConfigRelease</w:t>
      </w:r>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B35DAB">
        <w:trPr>
          <w:trHeight w:val="359"/>
        </w:trPr>
        <w:tc>
          <w:tcPr>
            <w:tcW w:w="1068" w:type="pct"/>
            <w:shd w:val="clear" w:color="auto" w:fill="00B0F0"/>
          </w:tcPr>
          <w:p w14:paraId="16ADEC0A" w14:textId="77777777" w:rsidR="003463E2" w:rsidRPr="00751FD9" w:rsidRDefault="003463E2"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B35DAB">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B35DAB">
            <w:pPr>
              <w:pStyle w:val="BodyText"/>
              <w:jc w:val="center"/>
              <w:rPr>
                <w:color w:val="000000" w:themeColor="text1"/>
              </w:rPr>
            </w:pPr>
            <w:r>
              <w:rPr>
                <w:color w:val="000000" w:themeColor="text1"/>
              </w:rPr>
              <w:t>Comments</w:t>
            </w:r>
          </w:p>
        </w:tc>
      </w:tr>
      <w:tr w:rsidR="003463E2" w:rsidRPr="00D87CF0" w14:paraId="6A4417DB" w14:textId="77777777" w:rsidTr="00B35DAB">
        <w:trPr>
          <w:trHeight w:val="417"/>
        </w:trPr>
        <w:tc>
          <w:tcPr>
            <w:tcW w:w="1068" w:type="pct"/>
          </w:tcPr>
          <w:p w14:paraId="44788582" w14:textId="2D4EAB75" w:rsidR="003463E2" w:rsidRPr="00702049" w:rsidRDefault="0086382D" w:rsidP="00B35DAB">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B35DAB">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B35DAB">
        <w:trPr>
          <w:trHeight w:val="417"/>
        </w:trPr>
        <w:tc>
          <w:tcPr>
            <w:tcW w:w="1068" w:type="pct"/>
          </w:tcPr>
          <w:p w14:paraId="51541BAD" w14:textId="7821DA6E" w:rsidR="003463E2" w:rsidRPr="00702049" w:rsidRDefault="005116F8" w:rsidP="00B35DAB">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B35DAB">
            <w:pPr>
              <w:rPr>
                <w:rFonts w:ascii="Arial" w:hAnsi="Arial" w:cs="Arial"/>
              </w:rPr>
            </w:pPr>
            <w:r>
              <w:rPr>
                <w:rFonts w:ascii="Arial" w:hAnsi="Arial" w:cs="Arial"/>
              </w:rPr>
              <w:t>Yes</w:t>
            </w:r>
          </w:p>
        </w:tc>
        <w:tc>
          <w:tcPr>
            <w:tcW w:w="3089" w:type="pct"/>
          </w:tcPr>
          <w:p w14:paraId="53BE59E8" w14:textId="1F0462B0" w:rsidR="003463E2" w:rsidRPr="00702049" w:rsidRDefault="003463E2" w:rsidP="00B35DAB">
            <w:pPr>
              <w:rPr>
                <w:rFonts w:ascii="Arial" w:hAnsi="Arial" w:cs="Arial"/>
              </w:rPr>
            </w:pPr>
          </w:p>
        </w:tc>
      </w:tr>
      <w:tr w:rsidR="003463E2" w:rsidRPr="00D87CF0" w14:paraId="42320402" w14:textId="77777777" w:rsidTr="00B35DAB">
        <w:trPr>
          <w:trHeight w:val="417"/>
        </w:trPr>
        <w:tc>
          <w:tcPr>
            <w:tcW w:w="1068" w:type="pct"/>
          </w:tcPr>
          <w:p w14:paraId="3EAF7EC4" w14:textId="76E572D0" w:rsidR="003463E2" w:rsidRPr="00887C98" w:rsidRDefault="003C7609" w:rsidP="00B35DAB">
            <w:pPr>
              <w:rPr>
                <w:rFonts w:ascii="Arial" w:hAnsi="Arial" w:cs="Arial"/>
              </w:rPr>
            </w:pPr>
            <w:r>
              <w:rPr>
                <w:rFonts w:ascii="Arial" w:hAnsi="Arial" w:cs="Arial"/>
              </w:rPr>
              <w:t>Intel</w:t>
            </w:r>
          </w:p>
        </w:tc>
        <w:tc>
          <w:tcPr>
            <w:tcW w:w="843" w:type="pct"/>
          </w:tcPr>
          <w:p w14:paraId="6D9F02DC" w14:textId="5C72498D" w:rsidR="003463E2" w:rsidRPr="00887C98" w:rsidRDefault="003C7609" w:rsidP="00B35DAB">
            <w:pPr>
              <w:rPr>
                <w:rFonts w:ascii="Arial" w:hAnsi="Arial" w:cs="Arial"/>
              </w:rPr>
            </w:pPr>
            <w:r>
              <w:rPr>
                <w:rFonts w:ascii="Arial" w:hAnsi="Arial" w:cs="Arial"/>
              </w:rPr>
              <w:t>Yes</w:t>
            </w:r>
          </w:p>
        </w:tc>
        <w:tc>
          <w:tcPr>
            <w:tcW w:w="3089" w:type="pct"/>
          </w:tcPr>
          <w:p w14:paraId="083DB413" w14:textId="77777777" w:rsidR="003463E2" w:rsidRPr="00702049" w:rsidRDefault="003463E2" w:rsidP="00B35DAB">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 w:name="_In-sequence_SDU_delivery"/>
      <w:bookmarkEnd w:id="2"/>
      <w:r w:rsidRPr="00CE0424">
        <w:t>References</w:t>
      </w:r>
    </w:p>
    <w:p w14:paraId="768912DB" w14:textId="77777777" w:rsidR="003A7EF3" w:rsidRPr="00CE0424" w:rsidRDefault="003A7EF3" w:rsidP="00CE0424">
      <w:pPr>
        <w:pStyle w:val="BodyText"/>
      </w:pPr>
    </w:p>
    <w:sectPr w:rsidR="003A7EF3" w:rsidRPr="00CE0424" w:rsidSect="00C473A5">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04-12T23:05:00Z" w:initials="B">
    <w:p w14:paraId="0B907256" w14:textId="79143BF1" w:rsidR="00A404E5" w:rsidRDefault="00A404E5">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45580" w14:textId="77777777" w:rsidR="00F85174" w:rsidRDefault="00F85174">
      <w:r>
        <w:separator/>
      </w:r>
    </w:p>
  </w:endnote>
  <w:endnote w:type="continuationSeparator" w:id="0">
    <w:p w14:paraId="71A785A7" w14:textId="77777777" w:rsidR="00F85174" w:rsidRDefault="00F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A88E" w14:textId="77777777" w:rsidR="003C7609" w:rsidRDefault="003C7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16F8">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16F8">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2B41" w14:textId="77777777" w:rsidR="003C7609" w:rsidRDefault="003C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30F9D" w14:textId="77777777" w:rsidR="00F85174" w:rsidRDefault="00F85174">
      <w:r>
        <w:separator/>
      </w:r>
    </w:p>
  </w:footnote>
  <w:footnote w:type="continuationSeparator" w:id="0">
    <w:p w14:paraId="6DCF5CD1" w14:textId="77777777" w:rsidR="00F85174" w:rsidRDefault="00F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EF77" w14:textId="77777777" w:rsidR="003C7609" w:rsidRDefault="003C7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E20E" w14:textId="77777777" w:rsidR="003C7609" w:rsidRDefault="003C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4"/>
  </w:num>
  <w:num w:numId="3">
    <w:abstractNumId w:val="17"/>
  </w:num>
  <w:num w:numId="4">
    <w:abstractNumId w:val="18"/>
  </w:num>
  <w:num w:numId="5">
    <w:abstractNumId w:val="14"/>
  </w:num>
  <w:num w:numId="6">
    <w:abstractNumId w:val="21"/>
  </w:num>
  <w:num w:numId="7">
    <w:abstractNumId w:val="29"/>
  </w:num>
  <w:num w:numId="8">
    <w:abstractNumId w:val="15"/>
  </w:num>
  <w:num w:numId="9">
    <w:abstractNumId w:val="13"/>
  </w:num>
  <w:num w:numId="10">
    <w:abstractNumId w:val="3"/>
  </w:num>
  <w:num w:numId="11">
    <w:abstractNumId w:val="2"/>
  </w:num>
  <w:num w:numId="12">
    <w:abstractNumId w:val="1"/>
  </w:num>
  <w:num w:numId="13">
    <w:abstractNumId w:val="26"/>
  </w:num>
  <w:num w:numId="14">
    <w:abstractNumId w:val="27"/>
  </w:num>
  <w:num w:numId="15">
    <w:abstractNumId w:val="19"/>
  </w:num>
  <w:num w:numId="16">
    <w:abstractNumId w:val="30"/>
  </w:num>
  <w:num w:numId="17">
    <w:abstractNumId w:val="10"/>
  </w:num>
  <w:num w:numId="18">
    <w:abstractNumId w:val="11"/>
  </w:num>
  <w:num w:numId="19">
    <w:abstractNumId w:val="6"/>
  </w:num>
  <w:num w:numId="20">
    <w:abstractNumId w:val="37"/>
  </w:num>
  <w:num w:numId="21">
    <w:abstractNumId w:val="16"/>
  </w:num>
  <w:num w:numId="22">
    <w:abstractNumId w:val="33"/>
  </w:num>
  <w:num w:numId="23">
    <w:abstractNumId w:val="39"/>
  </w:num>
  <w:num w:numId="24">
    <w:abstractNumId w:val="32"/>
  </w:num>
  <w:num w:numId="25">
    <w:abstractNumId w:val="0"/>
  </w:num>
  <w:num w:numId="26">
    <w:abstractNumId w:val="8"/>
  </w:num>
  <w:num w:numId="27">
    <w:abstractNumId w:val="9"/>
  </w:num>
  <w:num w:numId="28">
    <w:abstractNumId w:val="23"/>
  </w:num>
  <w:num w:numId="29">
    <w:abstractNumId w:val="5"/>
  </w:num>
  <w:num w:numId="30">
    <w:abstractNumId w:val="7"/>
  </w:num>
  <w:num w:numId="31">
    <w:abstractNumId w:val="28"/>
  </w:num>
  <w:num w:numId="32">
    <w:abstractNumId w:val="20"/>
  </w:num>
  <w:num w:numId="33">
    <w:abstractNumId w:val="34"/>
  </w:num>
  <w:num w:numId="34">
    <w:abstractNumId w:val="25"/>
  </w:num>
  <w:num w:numId="35">
    <w:abstractNumId w:val="38"/>
  </w:num>
  <w:num w:numId="36">
    <w:abstractNumId w:val="36"/>
  </w:num>
  <w:num w:numId="37">
    <w:abstractNumId w:val="22"/>
  </w:num>
  <w:num w:numId="38">
    <w:abstractNumId w:val="31"/>
  </w:num>
  <w:num w:numId="39">
    <w:abstractNumId w:val="12"/>
  </w:num>
  <w:num w:numId="40">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20A9"/>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DefaultParagraphFont"/>
    <w:uiPriority w:val="99"/>
    <w:semiHidden/>
    <w:unhideWhenUsed/>
    <w:rsid w:val="003463E2"/>
    <w:rPr>
      <w:color w:val="605E5C"/>
      <w:shd w:val="clear" w:color="auto" w:fill="E1DFDD"/>
    </w:rPr>
  </w:style>
  <w:style w:type="character" w:styleId="UnresolvedMention">
    <w:name w:val="Unresolved Mention"/>
    <w:basedOn w:val="DefaultParagraphFont"/>
    <w:uiPriority w:val="99"/>
    <w:semiHidden/>
    <w:unhideWhenUsed/>
    <w:rsid w:val="0062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3gpp.org/ftp/tsg_ran/WG2_RL2/TSGR2_113bis-e/Docs/R2-2103582.zip" TargetMode="External"/><Relationship Id="rId26" Type="http://schemas.openxmlformats.org/officeDocument/2006/relationships/hyperlink" Target="http://www.3gpp.org/ftp/tsg_ran/WG2_RL2/TSGR2_113bis-e/Docs/R2-2104205.zip" TargetMode="External"/><Relationship Id="rId39" Type="http://schemas.openxmlformats.org/officeDocument/2006/relationships/fontTable" Target="fontTable.xml"/><Relationship Id="rId21" Type="http://schemas.openxmlformats.org/officeDocument/2006/relationships/hyperlink" Target="http://www.3gpp.org/ftp/tsg_ran/WG2_RL2/TSGR2_113bis-e/Docs/R2-2103929.zip"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3bis-e/Docs/R2-2102714.zip" TargetMode="External"/><Relationship Id="rId20" Type="http://schemas.openxmlformats.org/officeDocument/2006/relationships/hyperlink" Target="http://www.3gpp.org/ftp/tsg_ran/WG2_RL2/TSGR2_113bis-e/Docs/R2-2104506.zip" TargetMode="External"/><Relationship Id="rId29" Type="http://schemas.openxmlformats.org/officeDocument/2006/relationships/hyperlink" Target="http://www.3gpp.org/ftp/tsg_ran/WG2_RL2/TSGR2_113bis-e/Docs/R2-210385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936.zip" TargetMode="External"/><Relationship Id="rId32" Type="http://schemas.openxmlformats.org/officeDocument/2006/relationships/hyperlink" Target="http://www.3gpp.org/ftp/tsg_ran/WG2_RL2/TSGR2_113bis-e/Docs/R2-2103661.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brian.alexander.martin@huawei.com" TargetMode="External"/><Relationship Id="rId23" Type="http://schemas.openxmlformats.org/officeDocument/2006/relationships/hyperlink" Target="http://www.3gpp.org/ftp/tsg_ran/WG2_RL2/TSGR2_113bis-e/Docs/R2-2103936.zip" TargetMode="External"/><Relationship Id="rId28" Type="http://schemas.openxmlformats.org/officeDocument/2006/relationships/hyperlink" Target="http://www.3gpp.org/ftp/tsg_ran/WG2_RL2/TSGR2_113-e/Docs/R2-2102046.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tsg_ran/WG2_RL2/TSGR2_113bis-e/Docs/R2-2104506.zip" TargetMode="External"/><Relationship Id="rId31" Type="http://schemas.openxmlformats.org/officeDocument/2006/relationships/hyperlink" Target="http://www.3gpp.org/ftp/tsg_ran/WG2_RL2/TSGR2_113bis-e/Docs/R2-21036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3gpp.org/ftp/tsg_ran/WG2_RL2/TSGR2_113bis-e/Docs/R2-2103929.zip" TargetMode="External"/><Relationship Id="rId27" Type="http://schemas.openxmlformats.org/officeDocument/2006/relationships/hyperlink" Target="http://www.3gpp.org/ftp/tsg_ran/WG2_RL2/TSGR2_113bis-e/Docs/R2-2103851.zip" TargetMode="External"/><Relationship Id="rId30" Type="http://schemas.openxmlformats.org/officeDocument/2006/relationships/hyperlink" Target="http://www.3gpp.org/ftp/tsg_ran/WG2_RL2/TSGR2_113bis-e/Docs/R2-210364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3gpp.org/ftp/tsg_ran/WG2_RL2/TSGR2_113bis-e/Docs/R2-2102714.zip" TargetMode="External"/><Relationship Id="rId25" Type="http://schemas.openxmlformats.org/officeDocument/2006/relationships/hyperlink" Target="http://www.3gpp.org/ftp/tsg_ran/WG2_RL2/TSGR2_113bis-e/Docs/R2-2104205.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58768-47FA-4167-8D27-90E78F682534}">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24360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 (Sudeep)</cp:lastModifiedBy>
  <cp:revision>2</cp:revision>
  <cp:lastPrinted>2008-01-31T07:09:00Z</cp:lastPrinted>
  <dcterms:created xsi:type="dcterms:W3CDTF">2021-04-14T00:28:00Z</dcterms:created>
  <dcterms:modified xsi:type="dcterms:W3CDTF">2021-04-14T00:28:00Z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