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r>
        <w:rPr>
          <w:rFonts w:ascii="Arial" w:eastAsia="Malgun Gothic" w:hAnsi="Arial" w:cs="Arial"/>
          <w:sz w:val="22"/>
          <w:szCs w:val="22"/>
          <w:lang w:val="en-US" w:eastAsia="en-US"/>
        </w:rPr>
        <w:t xml:space="preserve">eMeeting,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April,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4665384"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[AT113bis-e][010][NR15]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START ONLY AFTER ON-line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74803CAF" w14:textId="77777777" w:rsidR="00235AEC" w:rsidRDefault="000B7F2E">
      <w:pPr>
        <w:ind w:right="970"/>
        <w:rPr>
          <w:lang w:val="en-GB" w:eastAsia="zh-CN"/>
        </w:rPr>
      </w:pPr>
      <w:r>
        <w:rPr>
          <w:lang w:val="en-GB" w:eastAsia="zh-CN"/>
        </w:rPr>
        <w:t>This report gives a summary of this offline email discussion.</w:t>
      </w:r>
    </w:p>
    <w:p w14:paraId="76A4F5AA" w14:textId="77777777" w:rsidR="00235AEC" w:rsidRDefault="000B7F2E">
      <w:pPr>
        <w:pStyle w:val="Heading1"/>
        <w:ind w:right="970"/>
      </w:pPr>
      <w:bookmarkStart w:id="3"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6804"/>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76AC3D81"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47113FDF" w14:textId="77777777">
        <w:tc>
          <w:tcPr>
            <w:tcW w:w="2104" w:type="dxa"/>
            <w:vAlign w:val="center"/>
          </w:tcPr>
          <w:p w14:paraId="18446B72"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3DAAC50"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24F5BEB0" w14:textId="77777777">
        <w:tc>
          <w:tcPr>
            <w:tcW w:w="2104" w:type="dxa"/>
            <w:vAlign w:val="center"/>
          </w:tcPr>
          <w:p w14:paraId="7BCC1A6F"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601F1F04"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3A9879C7" w14:textId="77777777">
        <w:tc>
          <w:tcPr>
            <w:tcW w:w="2104" w:type="dxa"/>
            <w:vAlign w:val="center"/>
          </w:tcPr>
          <w:p w14:paraId="02A11E70"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7A196083"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6AB13D31" w14:textId="77777777">
        <w:tc>
          <w:tcPr>
            <w:tcW w:w="2104" w:type="dxa"/>
            <w:vAlign w:val="center"/>
          </w:tcPr>
          <w:p w14:paraId="06849F56"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28E16A21"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29FFD3BA" w14:textId="77777777">
        <w:tc>
          <w:tcPr>
            <w:tcW w:w="2104" w:type="dxa"/>
            <w:vAlign w:val="center"/>
          </w:tcPr>
          <w:p w14:paraId="2C856C66"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59C589A"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566A60DC" w14:textId="77777777" w:rsidR="00235AEC" w:rsidRDefault="000B7F2E">
      <w:pPr>
        <w:pStyle w:val="Heading1"/>
        <w:ind w:right="970"/>
      </w:pPr>
      <w:r>
        <w:lastRenderedPageBreak/>
        <w:t>Introduction</w:t>
      </w:r>
    </w:p>
    <w:p w14:paraId="4A12AD0A" w14:textId="77777777" w:rsidR="00235AEC" w:rsidRDefault="000B7F2E">
      <w:pPr>
        <w:ind w:right="970"/>
        <w:rPr>
          <w:lang w:val="en-GB" w:eastAsia="zh-CN"/>
        </w:rPr>
      </w:pPr>
      <w:r>
        <w:rPr>
          <w:lang w:val="en-GB" w:eastAsia="zh-CN"/>
        </w:rPr>
        <w:t>There was no time for online discussion on monday, and no online agreements were reached, but in this first round we will look for agreeable parts in:</w:t>
      </w:r>
    </w:p>
    <w:p w14:paraId="49853FA9" w14:textId="77777777" w:rsidR="00235AEC" w:rsidRDefault="0048211C">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48211C">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48211C">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48211C">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48211C">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r>
        <w:rPr>
          <w:i/>
          <w:iCs/>
          <w:u w:val="single"/>
          <w:lang w:val="en-GB" w:eastAsia="zh-CN"/>
        </w:rPr>
        <w:t>SchedulingOffset-PDSCH-TypeA</w:t>
      </w:r>
      <w:r>
        <w:rPr>
          <w:lang w:val="en-GB" w:eastAsia="zh-CN"/>
        </w:rPr>
        <w:t xml:space="preserve"> and </w:t>
      </w:r>
      <w:r>
        <w:rPr>
          <w:i/>
          <w:iCs/>
          <w:lang w:val="en-GB" w:eastAsia="zh-CN"/>
        </w:rPr>
        <w:t>dl-SchedulingOffset-PDSCH-TypeB</w:t>
      </w:r>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1418208" w14:textId="77777777">
        <w:tc>
          <w:tcPr>
            <w:tcW w:w="2104" w:type="dxa"/>
            <w:vAlign w:val="center"/>
          </w:tcPr>
          <w:p w14:paraId="35F4DC7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0DBA71F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4B1BA3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42E01F9" w14:textId="77777777">
        <w:tc>
          <w:tcPr>
            <w:tcW w:w="2104" w:type="dxa"/>
            <w:vAlign w:val="center"/>
          </w:tcPr>
          <w:p w14:paraId="792653A1"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E6348E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1F020F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26C1DE9" w14:textId="77777777">
        <w:tc>
          <w:tcPr>
            <w:tcW w:w="2104" w:type="dxa"/>
            <w:vAlign w:val="center"/>
          </w:tcPr>
          <w:p w14:paraId="740E573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533D34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103E55B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F921201" w14:textId="77777777">
        <w:tc>
          <w:tcPr>
            <w:tcW w:w="2104" w:type="dxa"/>
            <w:vAlign w:val="center"/>
          </w:tcPr>
          <w:p w14:paraId="48C43CD9"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B5F3C6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F9E1B81"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5D3AE1F2" w14:textId="77777777">
        <w:tc>
          <w:tcPr>
            <w:tcW w:w="2104" w:type="dxa"/>
            <w:vAlign w:val="center"/>
          </w:tcPr>
          <w:p w14:paraId="51C9B12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19E7B63"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7F06AB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48211C">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48211C">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C195F9A" w14:textId="77777777">
        <w:tc>
          <w:tcPr>
            <w:tcW w:w="2104" w:type="dxa"/>
            <w:vAlign w:val="center"/>
          </w:tcPr>
          <w:p w14:paraId="514E847A"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C3D1EB3"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FCFA5D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E5613DC" w14:textId="77777777">
        <w:tc>
          <w:tcPr>
            <w:tcW w:w="2104" w:type="dxa"/>
            <w:vAlign w:val="center"/>
          </w:tcPr>
          <w:p w14:paraId="34756984"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75DCD3D"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497604D"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09EFEF5B" w14:textId="77777777">
        <w:tc>
          <w:tcPr>
            <w:tcW w:w="2104" w:type="dxa"/>
            <w:vAlign w:val="center"/>
          </w:tcPr>
          <w:p w14:paraId="0744A70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FC7A129"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587E8CE4"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46946BA0" w14:textId="77777777">
        <w:tc>
          <w:tcPr>
            <w:tcW w:w="2104" w:type="dxa"/>
            <w:vAlign w:val="center"/>
          </w:tcPr>
          <w:p w14:paraId="54BE387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08844B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6C09EAF"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0B0A4858" w14:textId="77777777">
        <w:tc>
          <w:tcPr>
            <w:tcW w:w="2104" w:type="dxa"/>
            <w:vAlign w:val="center"/>
          </w:tcPr>
          <w:p w14:paraId="46F1C0FA"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3850738"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172C5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bl>
    <w:p w14:paraId="24861D5B" w14:textId="77777777" w:rsidR="00235AEC" w:rsidRDefault="00235AEC">
      <w:pPr>
        <w:ind w:right="970"/>
        <w:rPr>
          <w:lang w:val="en-GB" w:eastAsia="zh-CN"/>
        </w:rPr>
      </w:pP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r>
        <w:rPr>
          <w:i/>
          <w:iCs/>
          <w:lang w:val="en-GB" w:eastAsia="zh-CN"/>
        </w:rPr>
        <w:t>pdsch-TimeDomainAllocationLis</w:t>
      </w:r>
      <w:r>
        <w:rPr>
          <w:lang w:val="en-GB" w:eastAsia="zh-CN"/>
        </w:rPr>
        <w:t xml:space="preserve">t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dl-SchedulingOffset-PDSCH-TypeA</w:t>
      </w:r>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dl-SchedulingOffset-PDSCH-TypeB</w:t>
      </w:r>
      <w:r>
        <w:rPr>
          <w:rFonts w:ascii="Times New Roman" w:hAnsi="Times New Roman"/>
          <w:color w:val="C45911" w:themeColor="accent2" w:themeShade="BF"/>
          <w:lang w:val="en-GB" w:eastAsia="zh-CN"/>
        </w:rPr>
        <w:t xml:space="preserve"> capability does support </w:t>
      </w:r>
      <w:r>
        <w:rPr>
          <w:rFonts w:ascii="Times New Roman" w:hAnsi="Times New Roman"/>
          <w:i/>
          <w:iCs/>
          <w:color w:val="C45911" w:themeColor="accent2" w:themeShade="BF"/>
        </w:rPr>
        <w:t>pdsch-TimeDomainAllocationList</w:t>
      </w:r>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PDSCH-ConfigCommon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w:t>
            </w:r>
            <w:r>
              <w:rPr>
                <w:rFonts w:eastAsia="Times New Roman"/>
                <w:sz w:val="18"/>
                <w:szCs w:val="18"/>
                <w:lang w:val="en-GB" w:eastAsia="zh-CN"/>
              </w:rPr>
              <w:t xml:space="preserve"> However, we are ok to clarify this in the chairman notes if majority thinks it is needed.</w:t>
            </w:r>
          </w:p>
        </w:tc>
      </w:tr>
      <w:tr w:rsidR="001100D2" w14:paraId="7C5372AD" w14:textId="77777777" w:rsidTr="001100D2">
        <w:tc>
          <w:tcPr>
            <w:tcW w:w="2097" w:type="dxa"/>
            <w:vAlign w:val="center"/>
          </w:tcPr>
          <w:p w14:paraId="4D503E78"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1A79724A"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40223B8D"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62A17F15" w14:textId="77777777" w:rsidTr="001100D2">
        <w:tc>
          <w:tcPr>
            <w:tcW w:w="2097" w:type="dxa"/>
            <w:vAlign w:val="center"/>
          </w:tcPr>
          <w:p w14:paraId="28634A9D"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043234F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1525B51B"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C5DF364" w14:textId="77777777" w:rsidTr="001100D2">
        <w:tc>
          <w:tcPr>
            <w:tcW w:w="2097" w:type="dxa"/>
            <w:vAlign w:val="center"/>
          </w:tcPr>
          <w:p w14:paraId="6895444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41688CF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62F3C1C8"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246F8D71" w14:textId="77777777" w:rsidTr="001100D2">
        <w:tc>
          <w:tcPr>
            <w:tcW w:w="2097" w:type="dxa"/>
            <w:vAlign w:val="center"/>
          </w:tcPr>
          <w:p w14:paraId="7B4F2615"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2674DCE8"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6C4B6BB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069D7BB1" w14:textId="77777777" w:rsidTr="001100D2">
        <w:tc>
          <w:tcPr>
            <w:tcW w:w="2097" w:type="dxa"/>
            <w:vAlign w:val="center"/>
          </w:tcPr>
          <w:p w14:paraId="6691F29A"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87" w:type="dxa"/>
            <w:shd w:val="clear" w:color="auto" w:fill="auto"/>
            <w:vAlign w:val="center"/>
          </w:tcPr>
          <w:p w14:paraId="0814F3E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01" w:type="dxa"/>
            <w:shd w:val="clear" w:color="auto" w:fill="auto"/>
            <w:vAlign w:val="center"/>
          </w:tcPr>
          <w:p w14:paraId="26DCFB3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bl>
    <w:p w14:paraId="629EF690" w14:textId="77777777" w:rsidR="00235AEC" w:rsidRDefault="00235AEC">
      <w:pPr>
        <w:ind w:right="970"/>
        <w:rPr>
          <w:lang w:val="en-GB" w:eastAsia="zh-CN"/>
        </w:rPr>
      </w:pP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lastRenderedPageBreak/>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w:t>
            </w:r>
            <w:r>
              <w:rPr>
                <w:rFonts w:eastAsia="Times New Roman"/>
                <w:sz w:val="18"/>
                <w:szCs w:val="18"/>
                <w:lang w:val="en-GB" w:eastAsia="zh-CN"/>
              </w:rPr>
              <w:t xml:space="preserve"> Again, </w:t>
            </w:r>
            <w:r>
              <w:rPr>
                <w:rFonts w:eastAsia="Times New Roman"/>
                <w:sz w:val="18"/>
                <w:szCs w:val="18"/>
                <w:lang w:val="en-GB" w:eastAsia="zh-CN"/>
              </w:rPr>
              <w:t>we are ok to clarify this in the chairman notes if majority thinks it is needed.</w:t>
            </w:r>
          </w:p>
        </w:tc>
      </w:tr>
      <w:tr w:rsidR="001100D2" w14:paraId="126D2F28" w14:textId="77777777">
        <w:tc>
          <w:tcPr>
            <w:tcW w:w="2104" w:type="dxa"/>
            <w:vAlign w:val="center"/>
          </w:tcPr>
          <w:p w14:paraId="335B222C"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A3ACE25"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D034B5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214EBBA5" w14:textId="77777777">
        <w:tc>
          <w:tcPr>
            <w:tcW w:w="2104" w:type="dxa"/>
            <w:vAlign w:val="center"/>
          </w:tcPr>
          <w:p w14:paraId="01B6C50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BB0AF66"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445B57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2A9C3ADA" w14:textId="77777777">
        <w:tc>
          <w:tcPr>
            <w:tcW w:w="2104" w:type="dxa"/>
            <w:vAlign w:val="center"/>
          </w:tcPr>
          <w:p w14:paraId="64816BA0"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540ACC4A"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3D4C13B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61FFE692" w14:textId="77777777">
        <w:tc>
          <w:tcPr>
            <w:tcW w:w="2104" w:type="dxa"/>
            <w:vAlign w:val="center"/>
          </w:tcPr>
          <w:p w14:paraId="468A96F6"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4DCE261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8975E0C"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5A6FB6D" w14:textId="77777777">
        <w:tc>
          <w:tcPr>
            <w:tcW w:w="2104" w:type="dxa"/>
            <w:vAlign w:val="center"/>
          </w:tcPr>
          <w:p w14:paraId="313D64C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1B4F014E"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40F1C1DC"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bl>
    <w:p w14:paraId="42084AA8" w14:textId="77777777" w:rsidR="00235AEC" w:rsidRDefault="00235AEC">
      <w:pPr>
        <w:ind w:right="970"/>
        <w:rPr>
          <w:lang w:val="en-GB" w:eastAsia="zh-CN"/>
        </w:rPr>
      </w:pP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PDSCH-Config</w:t>
      </w:r>
      <w:r>
        <w:rPr>
          <w:b/>
          <w:bCs/>
          <w:i/>
          <w:iCs/>
          <w:lang w:val="en-GB" w:eastAsia="zh-CN"/>
        </w:rPr>
        <w:t>Common</w:t>
      </w:r>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1100D2" w14:paraId="7488B4E6" w14:textId="77777777">
        <w:tc>
          <w:tcPr>
            <w:tcW w:w="2104" w:type="dxa"/>
            <w:vAlign w:val="center"/>
          </w:tcPr>
          <w:p w14:paraId="5F7D39A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6219023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068D4C60" w14:textId="77777777">
        <w:tc>
          <w:tcPr>
            <w:tcW w:w="2104" w:type="dxa"/>
            <w:vAlign w:val="center"/>
          </w:tcPr>
          <w:p w14:paraId="3B90C893"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3C6B9455"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06264E0F"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4F0DC608" w14:textId="77777777">
        <w:tc>
          <w:tcPr>
            <w:tcW w:w="2104" w:type="dxa"/>
            <w:vAlign w:val="center"/>
          </w:tcPr>
          <w:p w14:paraId="75B7B7D1"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413CEEE"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26F639A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78EA2727" w14:textId="77777777">
        <w:tc>
          <w:tcPr>
            <w:tcW w:w="2104" w:type="dxa"/>
            <w:vAlign w:val="center"/>
          </w:tcPr>
          <w:p w14:paraId="5E72F400"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7B078EB2"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6BFA35AD"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FF07676" w14:textId="77777777">
        <w:tc>
          <w:tcPr>
            <w:tcW w:w="2104" w:type="dxa"/>
            <w:vAlign w:val="center"/>
          </w:tcPr>
          <w:p w14:paraId="49ED065E"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1044" w:type="dxa"/>
            <w:shd w:val="clear" w:color="auto" w:fill="auto"/>
            <w:vAlign w:val="center"/>
          </w:tcPr>
          <w:p w14:paraId="251A2016"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64DC0F5" w14:textId="77777777"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p>
        </w:tc>
      </w:tr>
    </w:tbl>
    <w:p w14:paraId="66FD3F4B" w14:textId="77777777" w:rsidR="00235AEC" w:rsidRDefault="00235AEC">
      <w:pPr>
        <w:rPr>
          <w:lang w:val="en-GB" w:eastAsia="zh-CN"/>
        </w:rPr>
      </w:pPr>
    </w:p>
    <w:p w14:paraId="1C720374" w14:textId="77777777" w:rsidR="00235AEC" w:rsidRDefault="000B7F2E">
      <w:pPr>
        <w:pStyle w:val="Heading2"/>
        <w:ind w:right="970"/>
      </w:pPr>
      <w:r>
        <w:lastRenderedPageBreak/>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235AEC" w14:paraId="760758D7" w14:textId="77777777">
        <w:tc>
          <w:tcPr>
            <w:tcW w:w="212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tc>
          <w:tcPr>
            <w:tcW w:w="212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Infact, it is one of the agreements in RAN2 that UE gets the common config in a dedicated message that reflects the content of the common config of the cell in handover. However we understand the scenario in this case (Esp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tc>
          <w:tcPr>
            <w:tcW w:w="212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tc>
          <w:tcPr>
            <w:tcW w:w="212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parameters, we need more time to check, maybe we need to list the related parameters and related UE capabilities then discuss them case by case.</w:t>
            </w:r>
          </w:p>
        </w:tc>
      </w:tr>
      <w:tr w:rsidR="00235AEC" w14:paraId="60604AB6" w14:textId="77777777">
        <w:tc>
          <w:tcPr>
            <w:tcW w:w="212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tc>
          <w:tcPr>
            <w:tcW w:w="212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servingCellConfigCommon, </w:t>
            </w:r>
            <w:r>
              <w:rPr>
                <w:rFonts w:eastAsia="Times New Roman"/>
                <w:sz w:val="18"/>
                <w:szCs w:val="18"/>
                <w:lang w:val="en-GB" w:eastAsia="zh-CN"/>
              </w:rPr>
              <w:t xml:space="preserve">similar to other companies, </w:t>
            </w:r>
            <w:r>
              <w:rPr>
                <w:rFonts w:eastAsia="Times New Roman"/>
                <w:sz w:val="18"/>
                <w:szCs w:val="18"/>
                <w:lang w:val="en-GB" w:eastAsia="zh-CN"/>
              </w:rPr>
              <w:t>our understanding is that it should aligned with the servingCellConfigCommonSIB.</w:t>
            </w:r>
            <w:r>
              <w:rPr>
                <w:rFonts w:eastAsia="Times New Roman"/>
                <w:sz w:val="18"/>
                <w:szCs w:val="18"/>
                <w:lang w:val="en-GB" w:eastAsia="zh-CN"/>
              </w:rPr>
              <w:t xml:space="preserve">  Whether there are parameters in servingCellConfigCommon that is restricted by UE capability and may not be set the same as servingCellConfigCommonSIB</w:t>
            </w:r>
            <w:r w:rsidR="0048211C">
              <w:rPr>
                <w:rFonts w:eastAsia="Times New Roman"/>
                <w:sz w:val="18"/>
                <w:szCs w:val="18"/>
                <w:lang w:val="en-GB" w:eastAsia="zh-CN"/>
              </w:rPr>
              <w:t>, we may have to discuss this on a case by case basis.</w:t>
            </w:r>
          </w:p>
        </w:tc>
      </w:tr>
      <w:tr w:rsidR="001100D2" w14:paraId="12AB0194" w14:textId="77777777">
        <w:tc>
          <w:tcPr>
            <w:tcW w:w="2127" w:type="dxa"/>
            <w:shd w:val="clear" w:color="auto" w:fill="auto"/>
            <w:vAlign w:val="center"/>
          </w:tcPr>
          <w:p w14:paraId="794A2897"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2D042277"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1100D2" w14:paraId="5AA124AC" w14:textId="77777777">
        <w:tc>
          <w:tcPr>
            <w:tcW w:w="2127" w:type="dxa"/>
            <w:shd w:val="clear" w:color="auto" w:fill="auto"/>
            <w:vAlign w:val="center"/>
          </w:tcPr>
          <w:p w14:paraId="45685625"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4EBD98F1"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1100D2" w14:paraId="70247BB4" w14:textId="77777777">
        <w:tc>
          <w:tcPr>
            <w:tcW w:w="2127" w:type="dxa"/>
            <w:shd w:val="clear" w:color="auto" w:fill="auto"/>
            <w:vAlign w:val="center"/>
          </w:tcPr>
          <w:p w14:paraId="7308D37E"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34A67007"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1100D2" w14:paraId="110CF313" w14:textId="77777777">
        <w:tc>
          <w:tcPr>
            <w:tcW w:w="2127" w:type="dxa"/>
            <w:shd w:val="clear" w:color="auto" w:fill="auto"/>
            <w:vAlign w:val="center"/>
          </w:tcPr>
          <w:p w14:paraId="42AAAD50"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28C7B8E5"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1100D2" w14:paraId="76E5CF90" w14:textId="77777777">
        <w:tc>
          <w:tcPr>
            <w:tcW w:w="2127" w:type="dxa"/>
            <w:shd w:val="clear" w:color="auto" w:fill="auto"/>
            <w:vAlign w:val="center"/>
          </w:tcPr>
          <w:p w14:paraId="38D5D720"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7EAABB71" w14:textId="77777777"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958CEB5" w14:textId="77777777" w:rsidR="00235AEC" w:rsidRDefault="00235AEC">
      <w:pPr>
        <w:ind w:right="970"/>
        <w:rPr>
          <w:lang w:val="en-GB" w:eastAsia="zh-CN"/>
        </w:rPr>
      </w:pPr>
    </w:p>
    <w:p w14:paraId="0EFED84A" w14:textId="77777777" w:rsidR="00235AEC" w:rsidRDefault="000B7F2E">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65"/>
      </w:tblGrid>
      <w:tr w:rsidR="00235AEC" w14:paraId="6C326116" w14:textId="77777777">
        <w:tc>
          <w:tcPr>
            <w:tcW w:w="212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tc>
          <w:tcPr>
            <w:tcW w:w="212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tc>
          <w:tcPr>
            <w:tcW w:w="212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tc>
          <w:tcPr>
            <w:tcW w:w="212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tc>
          <w:tcPr>
            <w:tcW w:w="212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tc>
          <w:tcPr>
            <w:tcW w:w="212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235AEC" w14:paraId="4894CF16" w14:textId="77777777">
        <w:tc>
          <w:tcPr>
            <w:tcW w:w="2127" w:type="dxa"/>
            <w:shd w:val="clear" w:color="auto" w:fill="auto"/>
            <w:vAlign w:val="center"/>
          </w:tcPr>
          <w:p w14:paraId="469DA67B"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2908904E"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12814879" w14:textId="77777777">
        <w:tc>
          <w:tcPr>
            <w:tcW w:w="2127" w:type="dxa"/>
            <w:shd w:val="clear" w:color="auto" w:fill="auto"/>
            <w:vAlign w:val="center"/>
          </w:tcPr>
          <w:p w14:paraId="0FD9552A"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1FA4DB64"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4102CFC8" w14:textId="77777777">
        <w:tc>
          <w:tcPr>
            <w:tcW w:w="2127" w:type="dxa"/>
            <w:shd w:val="clear" w:color="auto" w:fill="auto"/>
            <w:vAlign w:val="center"/>
          </w:tcPr>
          <w:p w14:paraId="04C605D4"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3BDA4E83"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4BF45E4A" w14:textId="77777777">
        <w:tc>
          <w:tcPr>
            <w:tcW w:w="2127" w:type="dxa"/>
            <w:shd w:val="clear" w:color="auto" w:fill="auto"/>
            <w:vAlign w:val="center"/>
          </w:tcPr>
          <w:p w14:paraId="23E9FD7B"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62AE18A5"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r w:rsidR="00235AEC" w14:paraId="31A05897" w14:textId="77777777">
        <w:tc>
          <w:tcPr>
            <w:tcW w:w="2127" w:type="dxa"/>
            <w:shd w:val="clear" w:color="auto" w:fill="auto"/>
            <w:vAlign w:val="center"/>
          </w:tcPr>
          <w:p w14:paraId="78D20962"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7265" w:type="dxa"/>
            <w:shd w:val="clear" w:color="auto" w:fill="auto"/>
            <w:vAlign w:val="center"/>
          </w:tcPr>
          <w:p w14:paraId="2CBEDFE6" w14:textId="77777777" w:rsidR="00235AEC" w:rsidRDefault="00235AEC">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F73711E" w14:textId="77777777" w:rsidR="00235AEC" w:rsidRDefault="00235AEC">
      <w:pPr>
        <w:ind w:right="970"/>
        <w:rPr>
          <w:lang w:val="en-GB" w:eastAsia="zh-CN"/>
        </w:rPr>
      </w:pPr>
    </w:p>
    <w:p w14:paraId="3AC78B0D" w14:textId="77777777" w:rsidR="00235AEC" w:rsidRDefault="000B7F2E">
      <w:pPr>
        <w:pStyle w:val="Heading1"/>
        <w:ind w:right="970"/>
        <w:jc w:val="both"/>
      </w:pPr>
      <w:r>
        <w:t>Summary</w:t>
      </w:r>
      <w:bookmarkEnd w:id="4"/>
      <w:r>
        <w:t xml:space="preserve"> of email discussion</w:t>
      </w:r>
    </w:p>
    <w:p w14:paraId="142E5501" w14:textId="77777777" w:rsidR="00235AEC" w:rsidRDefault="000B7F2E">
      <w:pPr>
        <w:ind w:right="970"/>
      </w:pPr>
      <w:bookmarkStart w:id="5" w:name="_Toc242573361"/>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5"/>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headerReference w:type="even" r:id="rId19"/>
      <w:headerReference w:type="default" r:id="rId20"/>
      <w:footerReference w:type="even" r:id="rId21"/>
      <w:footerReference w:type="default" r:id="rId22"/>
      <w:headerReference w:type="first" r:id="rId23"/>
      <w:footerReference w:type="first" r:id="rId24"/>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2E483" w14:textId="77777777" w:rsidR="000B7F2E" w:rsidRDefault="000B7F2E">
      <w:pPr>
        <w:spacing w:after="0" w:line="240" w:lineRule="auto"/>
      </w:pPr>
      <w:r>
        <w:separator/>
      </w:r>
    </w:p>
  </w:endnote>
  <w:endnote w:type="continuationSeparator" w:id="0">
    <w:p w14:paraId="2E1FC7AD" w14:textId="77777777" w:rsidR="000B7F2E" w:rsidRDefault="000B7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D452" w14:textId="77777777" w:rsidR="0048211C" w:rsidRDefault="00482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77777777" w:rsidR="00235AEC" w:rsidRDefault="000B7F2E">
    <w:pPr>
      <w:pStyle w:val="Footer"/>
      <w:jc w:val="center"/>
    </w:pPr>
    <w:r>
      <w:rPr>
        <w:rStyle w:val="PageNumber"/>
      </w:rPr>
      <w:fldChar w:fldCharType="begin"/>
    </w:r>
    <w:r>
      <w:rPr>
        <w:rStyle w:val="PageNumber"/>
      </w:rPr>
      <w:instrText xml:space="preserve"> PAGE </w:instrText>
    </w:r>
    <w:r>
      <w:rPr>
        <w:rStyle w:val="PageNumber"/>
      </w:rPr>
      <w:fldChar w:fldCharType="separate"/>
    </w:r>
    <w:r w:rsidR="00A00B8C">
      <w:rPr>
        <w:rStyle w:val="PageNumber"/>
        <w:noProof/>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F8C09" w14:textId="77777777" w:rsidR="0048211C" w:rsidRDefault="00482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0EFC1" w14:textId="77777777" w:rsidR="000B7F2E" w:rsidRDefault="000B7F2E">
      <w:pPr>
        <w:spacing w:after="0" w:line="240" w:lineRule="auto"/>
      </w:pPr>
      <w:r>
        <w:separator/>
      </w:r>
    </w:p>
  </w:footnote>
  <w:footnote w:type="continuationSeparator" w:id="0">
    <w:p w14:paraId="57C3FCC5" w14:textId="77777777" w:rsidR="000B7F2E" w:rsidRDefault="000B7F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290F5" w14:textId="77777777" w:rsidR="0048211C" w:rsidRDefault="00482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E91F" w14:textId="77777777" w:rsidR="0048211C" w:rsidRDefault="004821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9ED58" w14:textId="77777777" w:rsidR="0048211C" w:rsidRDefault="00482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4068F"/>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82EDA"/>
    <w:rsid w:val="0018431E"/>
    <w:rsid w:val="0018457F"/>
    <w:rsid w:val="001845AE"/>
    <w:rsid w:val="00191C5C"/>
    <w:rsid w:val="001924EE"/>
    <w:rsid w:val="00192610"/>
    <w:rsid w:val="00192AC1"/>
    <w:rsid w:val="00194E7F"/>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654E"/>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697E"/>
    <w:rsid w:val="003F7F9E"/>
    <w:rsid w:val="00400713"/>
    <w:rsid w:val="00402FCE"/>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11C"/>
    <w:rsid w:val="00482878"/>
    <w:rsid w:val="0048287D"/>
    <w:rsid w:val="0048475F"/>
    <w:rsid w:val="00491971"/>
    <w:rsid w:val="004976F2"/>
    <w:rsid w:val="004A5FD9"/>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B0E5B"/>
    <w:rsid w:val="005B4B64"/>
    <w:rsid w:val="005B7E9E"/>
    <w:rsid w:val="005C068D"/>
    <w:rsid w:val="005C1432"/>
    <w:rsid w:val="005C16E7"/>
    <w:rsid w:val="005C4644"/>
    <w:rsid w:val="005C65A3"/>
    <w:rsid w:val="005D1894"/>
    <w:rsid w:val="005D2FD4"/>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4677"/>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ED"/>
    <w:rsid w:val="008704FE"/>
    <w:rsid w:val="008751B4"/>
    <w:rsid w:val="00876ABB"/>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51D"/>
    <w:rsid w:val="00A00B8C"/>
    <w:rsid w:val="00A04AFF"/>
    <w:rsid w:val="00A10B08"/>
    <w:rsid w:val="00A11091"/>
    <w:rsid w:val="00A128F5"/>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36EE"/>
    <w:rsid w:val="00AA61B3"/>
    <w:rsid w:val="00AA7495"/>
    <w:rsid w:val="00AB2702"/>
    <w:rsid w:val="00AB5F1A"/>
    <w:rsid w:val="00AB6F51"/>
    <w:rsid w:val="00AB701F"/>
    <w:rsid w:val="00AC644A"/>
    <w:rsid w:val="00AE052B"/>
    <w:rsid w:val="00AE26F4"/>
    <w:rsid w:val="00AE4484"/>
    <w:rsid w:val="00AE55BF"/>
    <w:rsid w:val="00AE57F7"/>
    <w:rsid w:val="00AF188F"/>
    <w:rsid w:val="00AF1E1C"/>
    <w:rsid w:val="00AF5EB7"/>
    <w:rsid w:val="00AF6208"/>
    <w:rsid w:val="00AF70FE"/>
    <w:rsid w:val="00B007E9"/>
    <w:rsid w:val="00B04F39"/>
    <w:rsid w:val="00B0588C"/>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633E"/>
    <w:rsid w:val="00BB39E9"/>
    <w:rsid w:val="00BC02B0"/>
    <w:rsid w:val="00BC740F"/>
    <w:rsid w:val="00BD0CC3"/>
    <w:rsid w:val="00BD12AC"/>
    <w:rsid w:val="00BD34F9"/>
    <w:rsid w:val="00BD4BF3"/>
    <w:rsid w:val="00BD57B1"/>
    <w:rsid w:val="00BD64D2"/>
    <w:rsid w:val="00BE1242"/>
    <w:rsid w:val="00BE3B58"/>
    <w:rsid w:val="00BE4B38"/>
    <w:rsid w:val="00BE4D1B"/>
    <w:rsid w:val="00BF7D26"/>
    <w:rsid w:val="00C02D53"/>
    <w:rsid w:val="00C04BF5"/>
    <w:rsid w:val="00C04DC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40197"/>
  <w15:docId w15:val="{F40C71D9-4811-4349-999B-0886AF72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8E0F261-4B57-4D83-A2F2-DEA2FBC6899B}">
  <ds:schemaRefs>
    <ds:schemaRef ds:uri="http://schemas.openxmlformats.org/officeDocument/2006/bibliography"/>
  </ds:schemaRefs>
</ds:datastoreItem>
</file>

<file path=customXml/itemProps5.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Seau Sian</cp:lastModifiedBy>
  <cp:revision>2</cp:revision>
  <cp:lastPrinted>2009-10-21T14:47:00Z</cp:lastPrinted>
  <dcterms:created xsi:type="dcterms:W3CDTF">2021-04-13T06:08:00Z</dcterms:created>
  <dcterms:modified xsi:type="dcterms:W3CDTF">2021-04-13T06:08:00Z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ies>
</file>