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r>
        <w:rPr>
          <w:rFonts w:ascii="Arial" w:eastAsia="맑은 고딕" w:hAnsi="Arial" w:cs="Arial"/>
          <w:sz w:val="22"/>
          <w:szCs w:val="22"/>
          <w:lang w:val="en-US" w:eastAsia="en-US"/>
        </w:rPr>
        <w:t xml:space="preserve">eMeeting, </w:t>
      </w:r>
      <w:bookmarkStart w:id="2" w:name="_Hlk57213156"/>
      <w:r>
        <w:rPr>
          <w:rFonts w:ascii="Arial" w:eastAsia="맑은 고딕" w:hAnsi="Arial" w:cs="Arial"/>
          <w:sz w:val="22"/>
          <w:szCs w:val="22"/>
          <w:lang w:val="en-US" w:eastAsia="en-US"/>
        </w:rPr>
        <w:t>12</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 20</w:t>
      </w:r>
      <w:r>
        <w:rPr>
          <w:rFonts w:ascii="Arial" w:eastAsia="맑은 고딕" w:hAnsi="Arial" w:cs="Arial"/>
          <w:sz w:val="22"/>
          <w:szCs w:val="22"/>
          <w:vertAlign w:val="superscript"/>
          <w:lang w:val="en-US" w:eastAsia="en-US"/>
        </w:rPr>
        <w:t>th</w:t>
      </w:r>
      <w:r>
        <w:rPr>
          <w:rFonts w:ascii="Arial" w:eastAsia="맑은 고딕" w:hAnsi="Arial" w:cs="Arial"/>
          <w:sz w:val="22"/>
          <w:szCs w:val="22"/>
          <w:lang w:val="en-US" w:eastAsia="en-US"/>
        </w:rPr>
        <w:t xml:space="preserve"> April, 202</w:t>
      </w:r>
      <w:bookmarkEnd w:id="1"/>
      <w:r>
        <w:rPr>
          <w:rFonts w:ascii="Arial" w:eastAsia="맑은 고딕"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[AT113bis-e][010][NR15]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r>
        <w:rPr>
          <w:rFonts w:ascii="Arial" w:hAnsi="Arial" w:cs="Arial"/>
          <w:sz w:val="22"/>
          <w:lang w:val="de-DE"/>
        </w:rPr>
        <w:t>Document for:</w:t>
      </w:r>
      <w:r>
        <w:rPr>
          <w:rFonts w:ascii="Arial" w:hAnsi="Arial" w:cs="Arial"/>
          <w:sz w:val="22"/>
          <w:lang w:val="de-DE"/>
        </w:rPr>
        <w:tab/>
      </w:r>
      <w:r>
        <w:rPr>
          <w:rFonts w:ascii="Arial" w:hAnsi="Arial" w:cs="Arial"/>
          <w:b w:val="0"/>
          <w:bCs/>
          <w:sz w:val="22"/>
          <w:lang w:val="de-DE"/>
        </w:rPr>
        <w:t>Discussion and Decision</w:t>
      </w:r>
    </w:p>
    <w:p w14:paraId="7BF4151F" w14:textId="77777777" w:rsidR="00235AEC" w:rsidRDefault="000B7F2E">
      <w:pPr>
        <w:pStyle w:val="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START ONLY AFTER ON-line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Phase 1,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first round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rFonts w:hint="eastAsia"/>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rFonts w:hint="eastAsia"/>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c>
          <w:tcPr>
            <w:tcW w:w="6804" w:type="dxa"/>
            <w:shd w:val="clear" w:color="auto" w:fill="auto"/>
            <w:vAlign w:val="center"/>
          </w:tcPr>
          <w:p w14:paraId="159C589A" w14:textId="77777777"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566A60DC" w14:textId="77777777" w:rsidR="00235AEC" w:rsidRDefault="000B7F2E">
      <w:pPr>
        <w:pStyle w:val="1"/>
        <w:ind w:right="970"/>
      </w:pPr>
      <w:r>
        <w:lastRenderedPageBreak/>
        <w:t>Introduction</w:t>
      </w:r>
    </w:p>
    <w:p w14:paraId="4A12AD0A" w14:textId="77777777" w:rsidR="00235AEC" w:rsidRDefault="000B7F2E">
      <w:pPr>
        <w:ind w:right="970"/>
        <w:rPr>
          <w:lang w:val="en-GB" w:eastAsia="zh-CN"/>
        </w:rPr>
      </w:pPr>
      <w:r>
        <w:rPr>
          <w:lang w:val="en-GB" w:eastAsia="zh-CN"/>
        </w:rPr>
        <w:t>There was no time for online discussion on monday, and no online agreements were reached, but in this first round we will look for agreeable parts in:</w:t>
      </w:r>
    </w:p>
    <w:p w14:paraId="49853FA9" w14:textId="77777777" w:rsidR="00235AEC" w:rsidRDefault="003F4D5A">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af0"/>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Summary of [Post113-e][051][NR15] DL scheduling slot offset</w:t>
      </w:r>
      <w:r w:rsidR="000B7F2E">
        <w:rPr>
          <w:rFonts w:cs="Arial"/>
          <w:sz w:val="16"/>
          <w:szCs w:val="16"/>
          <w:lang w:val="de-DE"/>
        </w:rPr>
        <w:t>, Ericsson</w:t>
      </w:r>
      <w:r w:rsidR="000B7F2E">
        <w:rPr>
          <w:rFonts w:cs="Arial"/>
          <w:sz w:val="16"/>
          <w:szCs w:val="16"/>
          <w:lang w:val="de-DE"/>
        </w:rPr>
        <w:tab/>
        <w:t>report, RAN2#113bis-e</w:t>
      </w:r>
    </w:p>
    <w:p w14:paraId="17E806DF" w14:textId="77777777" w:rsidR="00235AEC" w:rsidRDefault="003F4D5A">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af0"/>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3B5C4FA3" w14:textId="77777777" w:rsidR="00235AEC" w:rsidRDefault="003F4D5A">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af0"/>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p w14:paraId="5F67E3A6" w14:textId="77777777" w:rsidR="00235AEC" w:rsidRDefault="003F4D5A">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af0"/>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Open issues K0 configuration and use</w:t>
      </w:r>
      <w:r w:rsidR="000B7F2E">
        <w:rPr>
          <w:rFonts w:cs="Arial"/>
          <w:sz w:val="16"/>
          <w:szCs w:val="16"/>
          <w:lang w:val="de-DE"/>
        </w:rPr>
        <w:t>, Ericsson, DISC, RAN2#113bis-e</w:t>
      </w:r>
    </w:p>
    <w:p w14:paraId="2F95436D" w14:textId="77777777" w:rsidR="00235AEC" w:rsidRDefault="003F4D5A">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af0"/>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Configuration of common fields in dedicated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1"/>
        <w:ind w:right="970"/>
      </w:pPr>
      <w:r>
        <w:t>Discussion</w:t>
      </w:r>
      <w:bookmarkEnd w:id="3"/>
    </w:p>
    <w:p w14:paraId="55F8613F" w14:textId="77777777" w:rsidR="00235AEC" w:rsidRDefault="000B7F2E">
      <w:pPr>
        <w:pStyle w:val="2"/>
        <w:ind w:right="970"/>
      </w:pPr>
      <w:bookmarkStart w:id="4" w:name="_Toc242573360"/>
      <w:r>
        <w:t xml:space="preserve">Add DL scheduling slot offset capabilities to </w:t>
      </w:r>
      <w:r>
        <w:rPr>
          <w:i/>
          <w:iCs/>
        </w:rPr>
        <w:t>UERadioPagingInformation</w:t>
      </w:r>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Thus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r>
        <w:rPr>
          <w:i/>
          <w:iCs/>
          <w:u w:val="single"/>
          <w:lang w:val="en-GB" w:eastAsia="zh-CN"/>
        </w:rPr>
        <w:t>SchedulingOffset-PDSCH-TypeA</w:t>
      </w:r>
      <w:r>
        <w:rPr>
          <w:lang w:val="en-GB" w:eastAsia="zh-CN"/>
        </w:rPr>
        <w:t xml:space="preserve"> and </w:t>
      </w:r>
      <w:r>
        <w:rPr>
          <w:i/>
          <w:iCs/>
          <w:lang w:val="en-GB" w:eastAsia="zh-CN"/>
        </w:rPr>
        <w:t>dl-SchedulingOffset-PDSCH-TypeB</w:t>
      </w:r>
      <w:r>
        <w:rPr>
          <w:lang w:val="en-GB" w:eastAsia="zh-CN"/>
        </w:rPr>
        <w:t xml:space="preserve"> capability to the </w:t>
      </w:r>
      <w:r>
        <w:rPr>
          <w:i/>
          <w:iCs/>
          <w:lang w:val="en-GB" w:eastAsia="zh-CN"/>
        </w:rPr>
        <w:t>UERadioPagingInformation</w:t>
      </w:r>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3F4D5A">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af0"/>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Rel-15, RAN2#113bis-e</w:t>
      </w:r>
    </w:p>
    <w:p w14:paraId="2556E00B" w14:textId="77777777" w:rsidR="00235AEC" w:rsidRDefault="003F4D5A">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af0"/>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Introduction of DL scheduling slot offset capabilities in UERadioPagingInformation</w:t>
      </w:r>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do not have strong preference on Rel-15, but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dl-SchedulingOffset-PDSCH-TypeA</w:t>
      </w:r>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dl-SchedulingOffset-PDSCH-TypeB</w:t>
      </w:r>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lastRenderedPageBreak/>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lastRenderedPageBreak/>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rFonts w:hint="eastAsia"/>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2"/>
        <w:ind w:right="970"/>
      </w:pPr>
      <w:r>
        <w:t>Common configuration in dedicated signalling</w:t>
      </w:r>
    </w:p>
    <w:p w14:paraId="5CFB3F7F" w14:textId="77777777" w:rsidR="00235AEC" w:rsidRDefault="000B7F2E">
      <w:pPr>
        <w:pStyle w:val="a5"/>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a5"/>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Infact, it is one of the agreements in RAN2 that UE gets the common config in a dedicated message that reflects the content of the common config of the cell in handover. However we understand the scenario in this case (Esp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We think at least for the parameters that also included in the system information,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w:t>
            </w:r>
            <w:r w:rsidR="00674677">
              <w:rPr>
                <w:rFonts w:eastAsia="Times New Roman"/>
                <w:sz w:val="18"/>
                <w:szCs w:val="18"/>
                <w:lang w:val="en-GB" w:eastAsia="zh-CN"/>
              </w:rPr>
              <w:lastRenderedPageBreak/>
              <w:t xml:space="preserve">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lastRenderedPageBreak/>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It is unclear which common configuration this is referring to.  If it is servingCellConfigCommon, similar to other companies, our understanding is that it should aligned with the servingCellConfigCommonSIB.  Whether there are parameters in servingCellConfigCommon that is restricted by UE capability and may not be set the same as servingCellConfigCommonSIB</w:t>
            </w:r>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Also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w:t>
            </w:r>
            <w:r>
              <w:rPr>
                <w:rFonts w:eastAsia="Times New Roman"/>
                <w:sz w:val="18"/>
                <w:szCs w:val="18"/>
                <w:lang w:val="en-GB" w:eastAsia="zh-CN"/>
              </w:rPr>
              <w:t xml:space="preserve">at least </w:t>
            </w:r>
            <w:bookmarkStart w:id="5" w:name="_GoBack"/>
            <w:bookmarkEnd w:id="5"/>
            <w:r>
              <w:rPr>
                <w:rFonts w:eastAsia="Times New Roman"/>
                <w:sz w:val="18"/>
                <w:szCs w:val="18"/>
                <w:lang w:val="en-GB" w:eastAsia="zh-CN"/>
              </w:rPr>
              <w:t xml:space="preserve">we should be able to say </w:t>
            </w:r>
            <w:r>
              <w:rPr>
                <w:sz w:val="18"/>
                <w:szCs w:val="18"/>
                <w:lang w:val="en-GB" w:eastAsia="ko-KR"/>
              </w:rPr>
              <w:t>that for common parameters configured to UE via dedicated signalling, the values should be identical to those in SIB, but not exactly in the reverse way because some common but not essential parameters may not be comprehended by UE</w:t>
            </w:r>
            <w:r>
              <w:rPr>
                <w:sz w:val="18"/>
                <w:szCs w:val="18"/>
                <w:lang w:val="en-GB" w:eastAsia="ko-KR"/>
              </w:rPr>
              <w:t>s</w:t>
            </w:r>
            <w:r>
              <w:rPr>
                <w:sz w:val="18"/>
                <w:szCs w:val="18"/>
                <w:lang w:val="en-GB" w:eastAsia="ko-KR"/>
              </w:rPr>
              <w:t xml:space="preserve"> (and thus ignored).  </w:t>
            </w:r>
          </w:p>
        </w:tc>
      </w:tr>
      <w:tr w:rsidR="00870303" w14:paraId="76E5CF90" w14:textId="77777777" w:rsidTr="00C11486">
        <w:tc>
          <w:tcPr>
            <w:tcW w:w="2197" w:type="dxa"/>
            <w:shd w:val="clear" w:color="auto" w:fill="auto"/>
            <w:vAlign w:val="center"/>
          </w:tcPr>
          <w:p w14:paraId="38D5D720" w14:textId="77777777" w:rsidR="00870303" w:rsidRPr="00C11486" w:rsidRDefault="00870303" w:rsidP="00870303">
            <w:pPr>
              <w:overflowPunct w:val="0"/>
              <w:autoSpaceDE w:val="0"/>
              <w:autoSpaceDN w:val="0"/>
              <w:adjustRightInd w:val="0"/>
              <w:spacing w:before="60" w:after="60"/>
              <w:ind w:right="970"/>
              <w:textAlignment w:val="baseline"/>
              <w:rPr>
                <w:rFonts w:eastAsia="Times New Roman"/>
                <w:sz w:val="18"/>
                <w:szCs w:val="18"/>
                <w:lang w:eastAsia="zh-CN"/>
              </w:rPr>
            </w:pPr>
          </w:p>
        </w:tc>
        <w:tc>
          <w:tcPr>
            <w:tcW w:w="7265" w:type="dxa"/>
            <w:shd w:val="clear" w:color="auto" w:fill="auto"/>
            <w:vAlign w:val="center"/>
          </w:tcPr>
          <w:p w14:paraId="7EAABB71"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lastRenderedPageBreak/>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77777777" w:rsidR="00B83262" w:rsidRPr="00C11486" w:rsidRDefault="00B83262" w:rsidP="00B83262">
            <w:pPr>
              <w:overflowPunct w:val="0"/>
              <w:autoSpaceDE w:val="0"/>
              <w:autoSpaceDN w:val="0"/>
              <w:adjustRightInd w:val="0"/>
              <w:spacing w:before="60" w:after="60"/>
              <w:ind w:right="970"/>
              <w:textAlignment w:val="baseline"/>
              <w:rPr>
                <w:rFonts w:eastAsia="Times New Roman"/>
                <w:sz w:val="18"/>
                <w:szCs w:val="18"/>
                <w:lang w:eastAsia="zh-CN"/>
              </w:rPr>
            </w:pPr>
          </w:p>
        </w:tc>
        <w:tc>
          <w:tcPr>
            <w:tcW w:w="7265" w:type="dxa"/>
            <w:shd w:val="clear" w:color="auto" w:fill="auto"/>
            <w:vAlign w:val="center"/>
          </w:tcPr>
          <w:p w14:paraId="2CBEDFE6" w14:textId="77777777"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1"/>
        <w:ind w:right="970"/>
        <w:jc w:val="both"/>
      </w:pPr>
      <w:r>
        <w:t>Summary</w:t>
      </w:r>
      <w:bookmarkEnd w:id="4"/>
      <w:r>
        <w:t xml:space="preserve"> of email discussion</w:t>
      </w:r>
    </w:p>
    <w:p w14:paraId="142E5501" w14:textId="77777777" w:rsidR="00235AEC" w:rsidRDefault="000B7F2E">
      <w:pPr>
        <w:ind w:right="970"/>
      </w:pPr>
      <w:bookmarkStart w:id="6" w:name="_Toc242573361"/>
      <w:r>
        <w:t>TBD</w:t>
      </w:r>
    </w:p>
    <w:p w14:paraId="507FD4B0" w14:textId="77777777" w:rsidR="00235AEC" w:rsidRDefault="000B7F2E">
      <w:pPr>
        <w:pStyle w:val="1"/>
        <w:ind w:right="970"/>
      </w:pPr>
      <w:r>
        <w:t>Conclusions</w:t>
      </w:r>
    </w:p>
    <w:p w14:paraId="530F4F29" w14:textId="77777777" w:rsidR="00235AEC" w:rsidRDefault="000B7F2E">
      <w:pPr>
        <w:ind w:right="970"/>
        <w:rPr>
          <w:lang w:val="en-GB" w:eastAsia="zh-CN"/>
        </w:rPr>
      </w:pPr>
      <w:r>
        <w:rPr>
          <w:lang w:val="en-GB" w:eastAsia="zh-CN"/>
        </w:rPr>
        <w:t>TBD</w:t>
      </w:r>
    </w:p>
    <w:bookmarkEnd w:id="6"/>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6702C" w14:textId="77777777" w:rsidR="003F4D5A" w:rsidRDefault="003F4D5A">
      <w:pPr>
        <w:spacing w:after="0" w:line="240" w:lineRule="auto"/>
      </w:pPr>
      <w:r>
        <w:separator/>
      </w:r>
    </w:p>
  </w:endnote>
  <w:endnote w:type="continuationSeparator" w:id="0">
    <w:p w14:paraId="7CD3CDD2" w14:textId="77777777" w:rsidR="003F4D5A" w:rsidRDefault="003F4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82FE2" w14:textId="40F699F9" w:rsidR="00235AEC" w:rsidRDefault="000B7F2E">
    <w:pPr>
      <w:pStyle w:val="a7"/>
      <w:jc w:val="center"/>
    </w:pPr>
    <w:r>
      <w:rPr>
        <w:rStyle w:val="ae"/>
      </w:rPr>
      <w:fldChar w:fldCharType="begin"/>
    </w:r>
    <w:r>
      <w:rPr>
        <w:rStyle w:val="ae"/>
      </w:rPr>
      <w:instrText xml:space="preserve"> PAGE </w:instrText>
    </w:r>
    <w:r>
      <w:rPr>
        <w:rStyle w:val="ae"/>
      </w:rPr>
      <w:fldChar w:fldCharType="separate"/>
    </w:r>
    <w:r w:rsidR="00C11486">
      <w:rPr>
        <w:rStyle w:val="ae"/>
        <w:noProof/>
      </w:rPr>
      <w:t>7</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1125C" w14:textId="77777777" w:rsidR="003F4D5A" w:rsidRDefault="003F4D5A">
      <w:pPr>
        <w:spacing w:after="0" w:line="240" w:lineRule="auto"/>
      </w:pPr>
      <w:r>
        <w:separator/>
      </w:r>
    </w:p>
  </w:footnote>
  <w:footnote w:type="continuationSeparator" w:id="0">
    <w:p w14:paraId="0C9D7749" w14:textId="77777777" w:rsidR="003F4D5A" w:rsidRDefault="003F4D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1"/>
      <w:lvlText w:val="%1"/>
      <w:lvlJc w:val="left"/>
      <w:pPr>
        <w:tabs>
          <w:tab w:val="left" w:pos="432"/>
        </w:tabs>
        <w:ind w:left="432" w:hanging="432"/>
      </w:pPr>
      <w:rPr>
        <w:rFonts w:hint="default"/>
        <w:b/>
        <w:lang w:val="en-US"/>
      </w:rPr>
    </w:lvl>
    <w:lvl w:ilvl="1">
      <w:start w:val="1"/>
      <w:numFmt w:val="decimal"/>
      <w:pStyle w:val="2"/>
      <w:lvlText w:val="%1.%2"/>
      <w:lvlJc w:val="left"/>
      <w:pPr>
        <w:tabs>
          <w:tab w:val="left" w:pos="763"/>
        </w:tabs>
        <w:ind w:left="763"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C05"/>
    <w:rsid w:val="00450FA7"/>
    <w:rsid w:val="00451134"/>
    <w:rsid w:val="00451A3A"/>
    <w:rsid w:val="00455C91"/>
    <w:rsid w:val="00462E26"/>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B0E5B"/>
    <w:rsid w:val="005B4B64"/>
    <w:rsid w:val="005B7E9E"/>
    <w:rsid w:val="005C068D"/>
    <w:rsid w:val="005C1432"/>
    <w:rsid w:val="005C16E7"/>
    <w:rsid w:val="005C4644"/>
    <w:rsid w:val="005C65A3"/>
    <w:rsid w:val="005D1894"/>
    <w:rsid w:val="005D2FD4"/>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188F"/>
    <w:rsid w:val="00AF1E1C"/>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5518"/>
    <w:rsid w:val="00EC76DA"/>
    <w:rsid w:val="00ED6687"/>
    <w:rsid w:val="00ED679C"/>
    <w:rsid w:val="00ED715D"/>
    <w:rsid w:val="00ED774A"/>
    <w:rsid w:val="00EE126B"/>
    <w:rsid w:val="00EE7973"/>
    <w:rsid w:val="00EF0AF6"/>
    <w:rsid w:val="00EF2136"/>
    <w:rsid w:val="00EF3564"/>
    <w:rsid w:val="00EF3F7D"/>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F40C71D9-4811-4349-999B-0886AF72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맑은 고딕"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uiPriority="0" w:unhideWhenUsed="1"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qFormat="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Arial" w:hAnsi="Arial"/>
      <w:szCs w:val="22"/>
      <w:lang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2">
    <w:name w:val="heading 2"/>
    <w:basedOn w:val="1"/>
    <w:next w:val="a"/>
    <w:link w:val="2Char"/>
    <w:qFormat/>
    <w:pPr>
      <w:numPr>
        <w:ilvl w:val="1"/>
      </w:numPr>
      <w:pBdr>
        <w:top w:val="none" w:sz="0" w:space="0" w:color="auto"/>
      </w:pBdr>
      <w:spacing w:before="180"/>
      <w:ind w:left="425" w:hanging="425"/>
      <w:outlineLvl w:val="1"/>
    </w:pPr>
    <w:rPr>
      <w:sz w:val="24"/>
      <w:szCs w:val="32"/>
    </w:rPr>
  </w:style>
  <w:style w:type="paragraph" w:styleId="3">
    <w:name w:val="heading 3"/>
    <w:basedOn w:val="2"/>
    <w:next w:val="a"/>
    <w:link w:val="3Char"/>
    <w:qFormat/>
    <w:pPr>
      <w:numPr>
        <w:ilvl w:val="2"/>
      </w:numPr>
      <w:spacing w:before="120"/>
      <w:outlineLvl w:val="2"/>
    </w:pPr>
    <w:rPr>
      <w:sz w:val="22"/>
      <w:szCs w:val="28"/>
      <w:u w:val="single"/>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pPr>
      <w:spacing w:after="0" w:line="240" w:lineRule="auto"/>
    </w:pPr>
    <w:rPr>
      <w:rFonts w:ascii="Tahoma" w:hAnsi="Tahoma" w:cs="Tahoma"/>
      <w:sz w:val="16"/>
      <w:szCs w:val="16"/>
    </w:rPr>
  </w:style>
  <w:style w:type="paragraph" w:styleId="a4">
    <w:name w:val="annotation text"/>
    <w:basedOn w:val="a"/>
    <w:link w:val="Char0"/>
    <w:unhideWhenUsed/>
    <w:qFormat/>
    <w:rPr>
      <w:szCs w:val="20"/>
    </w:rPr>
  </w:style>
  <w:style w:type="paragraph" w:styleId="a5">
    <w:name w:val="Body Text"/>
    <w:basedOn w:val="a"/>
    <w:link w:val="Char1"/>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a6">
    <w:name w:val="Balloon Text"/>
    <w:basedOn w:val="a"/>
    <w:link w:val="Char2"/>
    <w:uiPriority w:val="99"/>
    <w:semiHidden/>
    <w:unhideWhenUsed/>
    <w:qFormat/>
    <w:pPr>
      <w:spacing w:after="0" w:line="240" w:lineRule="auto"/>
    </w:pPr>
    <w:rPr>
      <w:rFonts w:ascii="Tahoma" w:hAnsi="Tahoma" w:cs="Tahoma"/>
      <w:sz w:val="16"/>
      <w:szCs w:val="16"/>
    </w:rPr>
  </w:style>
  <w:style w:type="paragraph" w:styleId="a7">
    <w:name w:val="footer"/>
    <w:basedOn w:val="a"/>
    <w:qFormat/>
    <w:pPr>
      <w:tabs>
        <w:tab w:val="center" w:pos="4703"/>
        <w:tab w:val="right" w:pos="9406"/>
      </w:tabs>
    </w:pPr>
  </w:style>
  <w:style w:type="paragraph" w:styleId="a8">
    <w:name w:val="header"/>
    <w:basedOn w:val="a"/>
    <w:qFormat/>
    <w:pPr>
      <w:tabs>
        <w:tab w:val="center" w:pos="4703"/>
        <w:tab w:val="right" w:pos="9406"/>
      </w:tabs>
    </w:pPr>
  </w:style>
  <w:style w:type="paragraph" w:styleId="10">
    <w:name w:val="toc 1"/>
    <w:basedOn w:val="a"/>
    <w:next w:val="a"/>
    <w:semiHidden/>
    <w:qFormat/>
  </w:style>
  <w:style w:type="paragraph" w:styleId="a9">
    <w:name w:val="List"/>
    <w:basedOn w:val="a"/>
    <w:qFormat/>
    <w:pPr>
      <w:ind w:left="283" w:hanging="283"/>
    </w:pPr>
  </w:style>
  <w:style w:type="paragraph" w:styleId="aa">
    <w:name w:val="footnote text"/>
    <w:basedOn w:val="a"/>
    <w:semiHidden/>
    <w:qFormat/>
    <w:rPr>
      <w:szCs w:val="20"/>
    </w:rPr>
  </w:style>
  <w:style w:type="paragraph" w:styleId="ab">
    <w:name w:val="table of figures"/>
    <w:basedOn w:val="a5"/>
    <w:next w:val="a"/>
    <w:uiPriority w:val="99"/>
    <w:qFormat/>
    <w:pPr>
      <w:ind w:left="1701" w:hanging="1701"/>
      <w:jc w:val="left"/>
    </w:pPr>
    <w:rPr>
      <w:b/>
    </w:rPr>
  </w:style>
  <w:style w:type="paragraph" w:styleId="20">
    <w:name w:val="toc 2"/>
    <w:basedOn w:val="a"/>
    <w:next w:val="a"/>
    <w:semiHidden/>
    <w:qFormat/>
    <w:pPr>
      <w:ind w:left="200"/>
    </w:pPr>
  </w:style>
  <w:style w:type="paragraph" w:styleId="ac">
    <w:name w:val="annotation subject"/>
    <w:basedOn w:val="a4"/>
    <w:next w:val="a4"/>
    <w:link w:val="Char3"/>
    <w:uiPriority w:val="99"/>
    <w:semiHidden/>
    <w:unhideWhenUsed/>
    <w:qFormat/>
    <w:rPr>
      <w:b/>
      <w:bCs/>
    </w:rPr>
  </w:style>
  <w:style w:type="table" w:styleId="ad">
    <w:name w:val="Table Grid"/>
    <w:basedOn w:val="a1"/>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qFormat/>
  </w:style>
  <w:style w:type="character" w:styleId="af">
    <w:name w:val="FollowedHyperlink"/>
    <w:uiPriority w:val="99"/>
    <w:semiHidden/>
    <w:unhideWhenUsed/>
    <w:qFormat/>
    <w:rPr>
      <w:color w:val="800080"/>
      <w:u w:val="single"/>
    </w:rPr>
  </w:style>
  <w:style w:type="character" w:styleId="af0">
    <w:name w:val="Hyperlink"/>
    <w:uiPriority w:val="99"/>
    <w:qFormat/>
    <w:rPr>
      <w:color w:val="0000FF"/>
      <w:u w:val="single"/>
    </w:rPr>
  </w:style>
  <w:style w:type="character" w:styleId="af1">
    <w:name w:val="annotation reference"/>
    <w:unhideWhenUsed/>
    <w:qFormat/>
    <w:rPr>
      <w:sz w:val="16"/>
      <w:szCs w:val="16"/>
    </w:rPr>
  </w:style>
  <w:style w:type="character" w:styleId="af2">
    <w:name w:val="footnote reference"/>
    <w:semiHidden/>
    <w:qFormat/>
    <w:rPr>
      <w:vertAlign w:val="superscript"/>
    </w:rPr>
  </w:style>
  <w:style w:type="paragraph" w:customStyle="1" w:styleId="Doc-title">
    <w:name w:val="Doc-title"/>
    <w:basedOn w:val="a"/>
    <w:next w:val="a"/>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2">
    <w:name w:val="풍선 도움말 텍스트 Char"/>
    <w:link w:val="a6"/>
    <w:uiPriority w:val="99"/>
    <w:semiHidden/>
    <w:qFormat/>
    <w:rPr>
      <w:rFonts w:ascii="Tahoma" w:hAnsi="Tahoma" w:cs="Tahoma"/>
      <w:sz w:val="16"/>
      <w:szCs w:val="16"/>
    </w:rPr>
  </w:style>
  <w:style w:type="paragraph" w:styleId="af3">
    <w:name w:val="List Paragraph"/>
    <w:basedOn w:val="a"/>
    <w:uiPriority w:val="34"/>
    <w:qFormat/>
    <w:pPr>
      <w:ind w:left="720"/>
      <w:contextualSpacing/>
    </w:pPr>
  </w:style>
  <w:style w:type="character" w:customStyle="1" w:styleId="Char">
    <w:name w:val="문서 구조 Char"/>
    <w:link w:val="a3"/>
    <w:uiPriority w:val="99"/>
    <w:semiHidden/>
    <w:qFormat/>
    <w:rPr>
      <w:rFonts w:ascii="Tahoma" w:hAnsi="Tahoma" w:cs="Tahoma"/>
      <w:sz w:val="16"/>
      <w:szCs w:val="16"/>
    </w:rPr>
  </w:style>
  <w:style w:type="character" w:customStyle="1" w:styleId="1Char">
    <w:name w:val="제목 1 Char"/>
    <w:link w:val="1"/>
    <w:qFormat/>
    <w:rPr>
      <w:rFonts w:ascii="Arial" w:eastAsia="Times New Roman" w:hAnsi="Arial" w:cs="Arial"/>
      <w:sz w:val="28"/>
      <w:szCs w:val="36"/>
      <w:lang w:val="en-GB" w:eastAsia="zh-CN" w:bidi="ar-SA"/>
    </w:rPr>
  </w:style>
  <w:style w:type="character" w:customStyle="1" w:styleId="2Char">
    <w:name w:val="제목 2 Char"/>
    <w:link w:val="2"/>
    <w:qFormat/>
    <w:rPr>
      <w:rFonts w:ascii="Arial" w:hAnsi="Arial" w:cs="Arial"/>
      <w:sz w:val="24"/>
      <w:szCs w:val="32"/>
      <w:lang w:val="en-GB" w:eastAsia="zh-CN" w:bidi="ar-SA"/>
    </w:rPr>
  </w:style>
  <w:style w:type="character" w:customStyle="1" w:styleId="3Char">
    <w:name w:val="제목 3 Char"/>
    <w:link w:val="3"/>
    <w:qFormat/>
    <w:rPr>
      <w:rFonts w:ascii="Arial" w:eastAsia="Times New Roman" w:hAnsi="Arial" w:cs="Arial"/>
      <w:sz w:val="22"/>
      <w:szCs w:val="28"/>
      <w:u w:val="single"/>
      <w:lang w:val="en-GB" w:eastAsia="zh-CN"/>
    </w:rPr>
  </w:style>
  <w:style w:type="character" w:customStyle="1" w:styleId="4Char">
    <w:name w:val="제목 4 Char"/>
    <w:link w:val="4"/>
    <w:qFormat/>
    <w:rPr>
      <w:rFonts w:ascii="Arial" w:eastAsia="Times New Roman" w:hAnsi="Arial" w:cs="Arial"/>
      <w:sz w:val="24"/>
      <w:szCs w:val="24"/>
      <w:u w:val="single"/>
      <w:lang w:val="en-GB" w:eastAsia="zh-CN"/>
    </w:rPr>
  </w:style>
  <w:style w:type="character" w:customStyle="1" w:styleId="5Char">
    <w:name w:val="제목 5 Char"/>
    <w:link w:val="5"/>
    <w:qFormat/>
    <w:rPr>
      <w:rFonts w:ascii="Arial" w:eastAsia="Times New Roman" w:hAnsi="Arial" w:cs="Arial"/>
      <w:sz w:val="22"/>
      <w:szCs w:val="22"/>
      <w:u w:val="single"/>
      <w:lang w:val="en-GB" w:eastAsia="zh-CN"/>
    </w:rPr>
  </w:style>
  <w:style w:type="character" w:customStyle="1" w:styleId="6Char">
    <w:name w:val="제목 6 Char"/>
    <w:link w:val="6"/>
    <w:qFormat/>
    <w:rPr>
      <w:rFonts w:ascii="Arial" w:eastAsia="Times New Roman" w:hAnsi="Arial" w:cs="Arial"/>
      <w:sz w:val="22"/>
      <w:lang w:val="en-GB" w:eastAsia="zh-CN"/>
    </w:rPr>
  </w:style>
  <w:style w:type="character" w:customStyle="1" w:styleId="7Char">
    <w:name w:val="제목 7 Char"/>
    <w:link w:val="7"/>
    <w:qFormat/>
    <w:rPr>
      <w:rFonts w:ascii="Arial" w:eastAsia="Times New Roman" w:hAnsi="Arial" w:cs="Arial"/>
      <w:sz w:val="22"/>
      <w:lang w:val="en-GB" w:eastAsia="zh-CN"/>
    </w:rPr>
  </w:style>
  <w:style w:type="character" w:customStyle="1" w:styleId="8Char">
    <w:name w:val="제목 8 Char"/>
    <w:link w:val="8"/>
    <w:qFormat/>
    <w:rPr>
      <w:rFonts w:ascii="Arial" w:eastAsia="Times New Roman" w:hAnsi="Arial" w:cs="Arial"/>
      <w:sz w:val="22"/>
      <w:lang w:val="en-GB" w:eastAsia="zh-CN"/>
    </w:rPr>
  </w:style>
  <w:style w:type="character" w:customStyle="1" w:styleId="9Char">
    <w:name w:val="제목 9 Char"/>
    <w:link w:val="9"/>
    <w:qFormat/>
    <w:rPr>
      <w:rFonts w:ascii="Arial" w:eastAsia="Times New Roman" w:hAnsi="Arial" w:cs="Arial"/>
      <w:sz w:val="22"/>
      <w:lang w:val="en-GB" w:eastAsia="zh-CN"/>
    </w:rPr>
  </w:style>
  <w:style w:type="paragraph" w:customStyle="1" w:styleId="3GPPHeader">
    <w:name w:val="3GPP_Header"/>
    <w:basedOn w:val="a"/>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har0">
    <w:name w:val="메모 텍스트 Char"/>
    <w:basedOn w:val="a0"/>
    <w:link w:val="a4"/>
    <w:qFormat/>
  </w:style>
  <w:style w:type="character" w:customStyle="1" w:styleId="Char3">
    <w:name w:val="메모 주제 Char"/>
    <w:link w:val="ac"/>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a"/>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a0"/>
    <w:qFormat/>
  </w:style>
  <w:style w:type="paragraph" w:customStyle="1" w:styleId="NO">
    <w:name w:val="NO"/>
    <w:basedOn w:val="a"/>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9"/>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a"/>
    <w:qFormat/>
    <w:pPr>
      <w:keepNext/>
      <w:keepLines/>
      <w:spacing w:before="60" w:after="180" w:line="240" w:lineRule="auto"/>
      <w:jc w:val="center"/>
    </w:pPr>
    <w:rPr>
      <w:rFonts w:eastAsia="Times New Roman"/>
      <w:b/>
      <w:szCs w:val="20"/>
      <w:lang w:val="en-GB"/>
    </w:rPr>
  </w:style>
  <w:style w:type="paragraph" w:customStyle="1" w:styleId="TF">
    <w:name w:val="TF"/>
    <w:basedOn w:val="a"/>
    <w:qFormat/>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본문 Char"/>
    <w:basedOn w:val="a0"/>
    <w:link w:val="a5"/>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5.xml><?xml version="1.0" encoding="utf-8"?>
<ds:datastoreItem xmlns:ds="http://schemas.openxmlformats.org/officeDocument/2006/customXml" ds:itemID="{996AFC4B-EB34-45F8-BC1E-A772524F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2035</Words>
  <Characters>11600</Characters>
  <Application>Microsoft Office Word</Application>
  <DocSecurity>0</DocSecurity>
  <Lines>96</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13608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VAN DER ZEE</dc:creator>
  <cp:lastModifiedBy>LG (Sunghoon)</cp:lastModifiedBy>
  <cp:revision>2</cp:revision>
  <cp:lastPrinted>2009-10-21T14:47:00Z</cp:lastPrinted>
  <dcterms:created xsi:type="dcterms:W3CDTF">2021-04-13T15:57:00Z</dcterms:created>
  <dcterms:modified xsi:type="dcterms:W3CDTF">2021-04-13T15:57:00Z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