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they fullfill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dicussions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rsidRPr="000207C5"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4"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MS Mincho" w:hint="eastAsia"/>
                <w:lang w:eastAsia="ja-JP"/>
              </w:rPr>
              <w:t>D</w:t>
            </w:r>
            <w:r>
              <w:rPr>
                <w:rFonts w:eastAsia="MS Mincho"/>
                <w:lang w:eastAsia="ja-JP"/>
              </w:rPr>
              <w:t>ocomo</w:t>
            </w:r>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r>
              <w:rPr>
                <w:lang w:eastAsia="ko-KR"/>
              </w:rPr>
              <w:t>MediaTek</w:t>
            </w:r>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r>
              <w:rPr>
                <w:lang w:eastAsia="ko-KR"/>
              </w:rPr>
              <w:t>Perspecta Labs</w:t>
            </w:r>
          </w:p>
        </w:tc>
        <w:tc>
          <w:tcPr>
            <w:tcW w:w="5794" w:type="dxa"/>
          </w:tcPr>
          <w:p w14:paraId="11FB3227" w14:textId="5BCB9570" w:rsidR="007A2250" w:rsidRDefault="00962F6E" w:rsidP="007A2250">
            <w:pPr>
              <w:pStyle w:val="TAC"/>
              <w:rPr>
                <w:lang w:eastAsia="ko-KR"/>
              </w:rPr>
            </w:pPr>
            <w:r>
              <w:rPr>
                <w:lang w:eastAsia="ko-KR"/>
              </w:rPr>
              <w:t>Achilles Kogiantis (</w:t>
            </w:r>
            <w:hyperlink r:id="rId15" w:history="1">
              <w:r w:rsidR="00A20386" w:rsidRPr="000C2920">
                <w:rPr>
                  <w:rStyle w:val="Hyperlink"/>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3E3588" w:rsidP="007A2250">
            <w:pPr>
              <w:pStyle w:val="TAC"/>
              <w:rPr>
                <w:lang w:eastAsia="ko-KR"/>
              </w:rPr>
            </w:pPr>
            <w:hyperlink r:id="rId16" w:history="1">
              <w:r w:rsidR="00062A13" w:rsidRPr="00BB5A6F">
                <w:rPr>
                  <w:rStyle w:val="Hyperlink"/>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6CEF445" w14:textId="043343D8" w:rsidR="00062A13" w:rsidRPr="00062A13" w:rsidRDefault="00062A13" w:rsidP="007A2250">
            <w:pPr>
              <w:pStyle w:val="TAC"/>
              <w:rPr>
                <w:rFonts w:eastAsia="SimSun"/>
                <w:lang w:eastAsia="zh-CN"/>
              </w:rPr>
            </w:pPr>
            <w:r>
              <w:rPr>
                <w:rFonts w:eastAsia="SimSun" w:hint="eastAsia"/>
                <w:lang w:eastAsia="zh-CN"/>
              </w:rPr>
              <w:t>d</w:t>
            </w:r>
            <w:r>
              <w:rPr>
                <w:rFonts w:eastAsia="SimSun"/>
                <w:lang w:eastAsia="zh-CN"/>
              </w:rPr>
              <w:t>uzhongda@opp.com</w:t>
            </w:r>
          </w:p>
        </w:tc>
      </w:tr>
      <w:tr w:rsidR="000E1804" w14:paraId="1BCF46FA" w14:textId="77777777" w:rsidTr="00D96CB3">
        <w:tc>
          <w:tcPr>
            <w:tcW w:w="3835" w:type="dxa"/>
          </w:tcPr>
          <w:p w14:paraId="4D7D16E6" w14:textId="7B4ADCD2" w:rsidR="000E1804" w:rsidRDefault="000E1804" w:rsidP="000E1804">
            <w:pPr>
              <w:pStyle w:val="TAC"/>
              <w:rPr>
                <w:rFonts w:eastAsia="SimSun"/>
                <w:lang w:eastAsia="zh-CN"/>
              </w:rPr>
            </w:pPr>
            <w:r>
              <w:rPr>
                <w:lang w:eastAsia="ko-KR"/>
              </w:rPr>
              <w:t>Samsung</w:t>
            </w:r>
          </w:p>
        </w:tc>
        <w:tc>
          <w:tcPr>
            <w:tcW w:w="5794" w:type="dxa"/>
          </w:tcPr>
          <w:p w14:paraId="52E44F9E" w14:textId="02065AE8" w:rsidR="000E1804" w:rsidRDefault="000E1804" w:rsidP="000E1804">
            <w:pPr>
              <w:pStyle w:val="TAC"/>
              <w:rPr>
                <w:rFonts w:eastAsia="SimSun"/>
                <w:lang w:eastAsia="zh-CN"/>
              </w:rPr>
            </w:pPr>
            <w:r>
              <w:rPr>
                <w:lang w:eastAsia="ko-KR"/>
              </w:rPr>
              <w:t>Jaehyuk Jang (jack.jang@samsung.com)</w:t>
            </w:r>
          </w:p>
        </w:tc>
      </w:tr>
      <w:tr w:rsidR="000E1804" w14:paraId="5F9E8376" w14:textId="77777777" w:rsidTr="00D96CB3">
        <w:tc>
          <w:tcPr>
            <w:tcW w:w="3835" w:type="dxa"/>
          </w:tcPr>
          <w:p w14:paraId="53AD4956" w14:textId="77777777" w:rsidR="000E1804" w:rsidRDefault="000E1804" w:rsidP="000E1804">
            <w:pPr>
              <w:pStyle w:val="TAC"/>
              <w:rPr>
                <w:rFonts w:eastAsia="SimSun"/>
                <w:lang w:eastAsia="zh-CN"/>
              </w:rPr>
            </w:pPr>
          </w:p>
        </w:tc>
        <w:tc>
          <w:tcPr>
            <w:tcW w:w="5794" w:type="dxa"/>
          </w:tcPr>
          <w:p w14:paraId="39E34A19" w14:textId="77777777" w:rsidR="000E1804" w:rsidRDefault="000E1804" w:rsidP="000E1804">
            <w:pPr>
              <w:pStyle w:val="TAC"/>
              <w:rPr>
                <w:rFonts w:eastAsia="SimSun"/>
                <w:lang w:eastAsia="zh-CN"/>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lastRenderedPageBreak/>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3E3588" w:rsidP="005B2669">
      <w:pPr>
        <w:pStyle w:val="Doc-title"/>
      </w:pPr>
      <w:hyperlink r:id="rId17"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3E3588" w:rsidP="005B2669">
      <w:pPr>
        <w:pStyle w:val="Doc-title"/>
      </w:pPr>
      <w:hyperlink r:id="rId18"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3E3588" w:rsidP="005B2669">
      <w:pPr>
        <w:pStyle w:val="Doc-title"/>
      </w:pPr>
      <w:hyperlink r:id="rId19"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3E3588" w:rsidP="005B2669">
      <w:pPr>
        <w:pStyle w:val="Doc-title"/>
      </w:pPr>
      <w:hyperlink r:id="rId20"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The proposal would introduce new condition for setting highPriorityAccess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r>
              <w:rPr>
                <w:lang w:eastAsia="ko-KR"/>
              </w:rPr>
              <w:t>Qcom</w:t>
            </w:r>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r>
              <w:rPr>
                <w:rFonts w:eastAsia="MS Mincho"/>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fallback scenario among others, we believe the problems have to be addressed now in Rel-16. Delaying it to Rel-17 could mean less/delayed market support for the feature, and that incoming MPS for IMS voice/video cannot be used until wide VoNR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r>
              <w:rPr>
                <w:lang w:eastAsia="ko-KR"/>
              </w:rPr>
              <w:t>MediaTek</w:t>
            </w:r>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We share the same views as Nokia/NSB due to implications to NAS. It should be noted that when a feature is introduced in Rel-X an early implementation in Rel-(X-1)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signaling. But then how does the NW know to set to </w:t>
            </w:r>
            <w:r w:rsidRPr="00BC4384">
              <w:rPr>
                <w:lang w:eastAsia="ko-KR"/>
              </w:rPr>
              <w:t>mpsPriorityIndication</w:t>
            </w:r>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r w:rsidRPr="00BC4384">
              <w:rPr>
                <w:lang w:eastAsia="ko-KR"/>
              </w:rPr>
              <w:t>highPriorityAccess</w:t>
            </w:r>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27FAA46C" w:rsidR="00C52E29" w:rsidRDefault="00962F6E" w:rsidP="00C52E29">
            <w:pPr>
              <w:pStyle w:val="TAC"/>
              <w:rPr>
                <w:lang w:eastAsia="ko-KR"/>
              </w:rPr>
            </w:pPr>
            <w:r>
              <w:rPr>
                <w:lang w:eastAsia="ko-KR"/>
              </w:rPr>
              <w:t>Perspecta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mpsPriorityIndication </w:t>
            </w:r>
            <w:r w:rsidRPr="00962F6E">
              <w:rPr>
                <w:lang w:val="en-US" w:eastAsia="ko-KR"/>
              </w:rPr>
              <w:t xml:space="preserve">it uses </w:t>
            </w:r>
            <w:r>
              <w:rPr>
                <w:lang w:val="en-US" w:eastAsia="ko-KR"/>
              </w:rPr>
              <w:t>h</w:t>
            </w:r>
            <w:r w:rsidRPr="00962F6E">
              <w:rPr>
                <w:lang w:val="en-US" w:eastAsia="ko-KR"/>
              </w:rPr>
              <w:t>ighPriorityAccess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‘highPriorityAccess’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SimSun"/>
                <w:lang w:eastAsia="zh-CN"/>
              </w:rPr>
            </w:pPr>
            <w:r>
              <w:rPr>
                <w:rFonts w:eastAsia="SimSun" w:hint="eastAsia"/>
                <w:lang w:eastAsia="zh-CN"/>
              </w:rPr>
              <w:t>W</w:t>
            </w:r>
            <w:r>
              <w:rPr>
                <w:rFonts w:eastAsia="SimSun"/>
                <w:lang w:eastAsia="zh-CN"/>
              </w:rPr>
              <w:t>e also have concern to introduce this in Rel16 in late stage. In addition we also have some questions as following:</w:t>
            </w:r>
          </w:p>
          <w:p w14:paraId="31C654A8" w14:textId="77777777" w:rsidR="00B9135B" w:rsidRDefault="00B9135B" w:rsidP="00B9135B">
            <w:pPr>
              <w:pStyle w:val="TAL"/>
              <w:rPr>
                <w:rFonts w:eastAsia="SimSun"/>
                <w:lang w:eastAsia="zh-CN"/>
              </w:rPr>
            </w:pPr>
            <w:r>
              <w:rPr>
                <w:rFonts w:eastAsia="SimSun"/>
                <w:lang w:eastAsia="zh-CN"/>
              </w:rPr>
              <w:t>1, if the CR is to address the MT case where UE is not MPS subscribed, then it is not clear how gNB/eNB can know this since it can only rely on information from core network e.g. ARP/QoS parameters?</w:t>
            </w:r>
          </w:p>
          <w:p w14:paraId="799B8809" w14:textId="77777777" w:rsidR="00B9135B" w:rsidRDefault="00B9135B" w:rsidP="00B9135B">
            <w:pPr>
              <w:pStyle w:val="TAL"/>
              <w:rPr>
                <w:rFonts w:eastAsia="SimSun"/>
                <w:lang w:eastAsia="zh-CN"/>
              </w:rPr>
            </w:pPr>
            <w:r>
              <w:rPr>
                <w:rFonts w:eastAsia="SimSun"/>
                <w:lang w:eastAsia="zh-CN"/>
              </w:rPr>
              <w:t>2, if the CR is to address EPS fallack case, it is also not clear why we need redirection from LTE to NR?</w:t>
            </w:r>
          </w:p>
          <w:p w14:paraId="6C9DF1FE" w14:textId="2A873A36" w:rsidR="00B9135B" w:rsidRPr="00B9135B" w:rsidRDefault="00B9135B" w:rsidP="00B9135B">
            <w:pPr>
              <w:pStyle w:val="TAL"/>
              <w:rPr>
                <w:rFonts w:eastAsia="SimSun"/>
                <w:lang w:eastAsia="zh-CN"/>
              </w:rPr>
            </w:pPr>
            <w:r>
              <w:rPr>
                <w:rFonts w:eastAsia="SimSun"/>
                <w:lang w:eastAsia="zh-CN"/>
              </w:rPr>
              <w:t>3, the coversheet of CR says “</w:t>
            </w:r>
            <w:r w:rsidRPr="00464C7E">
              <w:t>The MPS priority indicator is cleared at the UE when the connection to the target network is successful</w:t>
            </w:r>
            <w:r>
              <w:rPr>
                <w:rFonts w:eastAsia="SimSun"/>
                <w:lang w:eastAsia="zh-CN"/>
              </w:rPr>
              <w:t>” ,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SimSun"/>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Similar view to Nokia and MediaTek: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SimSun"/>
                <w:lang w:eastAsia="zh-CN"/>
              </w:rPr>
            </w:pPr>
            <w:r>
              <w:rPr>
                <w:lang w:eastAsia="ko-KR"/>
              </w:rPr>
              <w:t>Nevertheless, if it is agreeable by RAN2, the text needs to be improved: e.g., from the condition '</w:t>
            </w:r>
            <w:r w:rsidRPr="00BF6695">
              <w:rPr>
                <w:rFonts w:ascii="Times New Roman" w:hAnsi="Times New Roman"/>
                <w:lang w:eastAsia="ko-KR"/>
              </w:rPr>
              <w:t>if the UE has set the mpsPriorityIndicator</w:t>
            </w:r>
            <w:r>
              <w:rPr>
                <w:lang w:eastAsia="ko-KR"/>
              </w:rPr>
              <w:t xml:space="preserve">', mpsPriorityIndicator in LTE CR should be changed to </w:t>
            </w:r>
            <w:r>
              <w:rPr>
                <w:i/>
                <w:lang w:eastAsia="ko-KR"/>
              </w:rPr>
              <w:t>highPriorityAccess</w:t>
            </w:r>
            <w:r>
              <w:rPr>
                <w:lang w:eastAsia="ko-KR"/>
              </w:rPr>
              <w:t xml:space="preserve"> as in LTE </w:t>
            </w:r>
            <w:r>
              <w:rPr>
                <w:i/>
                <w:lang w:eastAsia="ko-KR"/>
              </w:rPr>
              <w:t>establishmentCause</w:t>
            </w:r>
            <w:r>
              <w:rPr>
                <w:lang w:eastAsia="ko-KR"/>
              </w:rPr>
              <w:t xml:space="preserve">, and mpsPriorityIndicator in NR CR should be changed to mps-PriorityAccess as in NR </w:t>
            </w:r>
            <w:r>
              <w:rPr>
                <w:i/>
                <w:lang w:eastAsia="ko-KR"/>
              </w:rPr>
              <w:t>establishmentCause</w:t>
            </w:r>
            <w:r>
              <w:rPr>
                <w:lang w:eastAsia="ko-KR"/>
              </w:rPr>
              <w:t>?</w:t>
            </w:r>
          </w:p>
        </w:tc>
      </w:tr>
    </w:tbl>
    <w:p w14:paraId="636E0897" w14:textId="5FA129BB" w:rsidR="001A5AEF" w:rsidRDefault="00FD255E" w:rsidP="00FD255E">
      <w:pPr>
        <w:tabs>
          <w:tab w:val="left" w:pos="709"/>
        </w:tabs>
        <w:rPr>
          <w:lang w:eastAsia="ko-KR"/>
        </w:rPr>
      </w:pPr>
      <w:r>
        <w:rPr>
          <w:lang w:eastAsia="ko-KR"/>
        </w:rPr>
        <w:lastRenderedPageBreak/>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3E3588" w:rsidP="00A377B3">
      <w:pPr>
        <w:pStyle w:val="Doc-title"/>
      </w:pPr>
      <w:hyperlink r:id="rId21"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5D752D">
        <w:tc>
          <w:tcPr>
            <w:tcW w:w="1915" w:type="dxa"/>
          </w:tcPr>
          <w:p w14:paraId="21B284F0" w14:textId="5BB81D1D" w:rsidR="0016253B" w:rsidRDefault="0016253B" w:rsidP="0016253B">
            <w:pPr>
              <w:pStyle w:val="TAC"/>
              <w:rPr>
                <w:lang w:eastAsia="ko-KR"/>
              </w:rPr>
            </w:pPr>
            <w:r>
              <w:rPr>
                <w:lang w:eastAsia="ko-KR"/>
              </w:rPr>
              <w:t>Qcom</w:t>
            </w:r>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5D752D">
        <w:tc>
          <w:tcPr>
            <w:tcW w:w="1915" w:type="dxa"/>
          </w:tcPr>
          <w:p w14:paraId="2651B06D" w14:textId="40256261" w:rsidR="00C52E29" w:rsidRDefault="00C52E29" w:rsidP="00C52E29">
            <w:pPr>
              <w:pStyle w:val="TAC"/>
              <w:rPr>
                <w:lang w:eastAsia="ko-KR"/>
              </w:rPr>
            </w:pPr>
            <w:r>
              <w:rPr>
                <w:lang w:eastAsia="ko-KR"/>
              </w:rPr>
              <w:t>MediaTek</w:t>
            </w:r>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5D752D">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5D752D">
        <w:tc>
          <w:tcPr>
            <w:tcW w:w="1915" w:type="dxa"/>
          </w:tcPr>
          <w:p w14:paraId="7D9D27F6" w14:textId="2BE85259" w:rsidR="0016253B" w:rsidRPr="008C0C88" w:rsidRDefault="008C0C88" w:rsidP="0016253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113134A" w14:textId="5BC28EA0" w:rsidR="0016253B" w:rsidRPr="008C0C88" w:rsidRDefault="008C0C88" w:rsidP="0016253B">
            <w:pPr>
              <w:pStyle w:val="TAC"/>
              <w:rPr>
                <w:rFonts w:eastAsia="SimSun"/>
                <w:lang w:eastAsia="zh-CN"/>
              </w:rPr>
            </w:pPr>
            <w:r>
              <w:rPr>
                <w:rFonts w:eastAsia="SimSun" w:hint="eastAsia"/>
                <w:lang w:eastAsia="zh-CN"/>
              </w:rPr>
              <w:t>A</w:t>
            </w:r>
            <w:r>
              <w:rPr>
                <w:rFonts w:eastAsia="SimSun"/>
                <w:lang w:eastAsia="zh-CN"/>
              </w:rPr>
              <w:t>gree with intention but</w:t>
            </w:r>
          </w:p>
        </w:tc>
        <w:tc>
          <w:tcPr>
            <w:tcW w:w="5665" w:type="dxa"/>
          </w:tcPr>
          <w:p w14:paraId="23D7A85F" w14:textId="59A48946" w:rsidR="0016253B" w:rsidRPr="008C0C88" w:rsidRDefault="008C0C88" w:rsidP="0016253B">
            <w:pPr>
              <w:pStyle w:val="TAL"/>
              <w:rPr>
                <w:rFonts w:eastAsia="SimSun"/>
                <w:lang w:eastAsia="zh-CN"/>
              </w:rPr>
            </w:pPr>
            <w:r>
              <w:rPr>
                <w:rFonts w:eastAsia="SimSun"/>
                <w:lang w:eastAsia="zh-CN"/>
              </w:rPr>
              <w:t>We are not happy for early implementation for LTE</w:t>
            </w:r>
          </w:p>
        </w:tc>
      </w:tr>
      <w:tr w:rsidR="000E1804" w14:paraId="6AE35A7A" w14:textId="77777777" w:rsidTr="005D752D">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The change is reasonable, and we are fine wth the proposed change.</w:t>
            </w:r>
          </w:p>
        </w:tc>
      </w:tr>
      <w:tr w:rsidR="000E1804" w14:paraId="73D860B3" w14:textId="77777777" w:rsidTr="005D752D">
        <w:tc>
          <w:tcPr>
            <w:tcW w:w="1915" w:type="dxa"/>
          </w:tcPr>
          <w:p w14:paraId="2F12E791" w14:textId="77777777" w:rsidR="000E1804" w:rsidRDefault="000E1804" w:rsidP="000E1804">
            <w:pPr>
              <w:pStyle w:val="TAC"/>
              <w:rPr>
                <w:lang w:eastAsia="ko-KR"/>
              </w:rPr>
            </w:pPr>
          </w:p>
        </w:tc>
        <w:tc>
          <w:tcPr>
            <w:tcW w:w="2049" w:type="dxa"/>
          </w:tcPr>
          <w:p w14:paraId="034A793A" w14:textId="77777777" w:rsidR="000E1804" w:rsidRDefault="000E1804" w:rsidP="000E1804">
            <w:pPr>
              <w:pStyle w:val="TAC"/>
              <w:rPr>
                <w:lang w:eastAsia="ko-KR"/>
              </w:rPr>
            </w:pPr>
          </w:p>
        </w:tc>
        <w:tc>
          <w:tcPr>
            <w:tcW w:w="5665" w:type="dxa"/>
          </w:tcPr>
          <w:p w14:paraId="5B19477D" w14:textId="77777777" w:rsidR="000E1804" w:rsidRDefault="000E1804" w:rsidP="000E1804">
            <w:pPr>
              <w:pStyle w:val="TAL"/>
              <w:rPr>
                <w:lang w:eastAsia="ko-KR"/>
              </w:rPr>
            </w:pPr>
          </w:p>
        </w:tc>
      </w:tr>
      <w:tr w:rsidR="000E1804" w14:paraId="7544474C" w14:textId="77777777" w:rsidTr="005D752D">
        <w:tc>
          <w:tcPr>
            <w:tcW w:w="1915" w:type="dxa"/>
          </w:tcPr>
          <w:p w14:paraId="4F029F26" w14:textId="77777777" w:rsidR="000E1804" w:rsidRDefault="000E1804" w:rsidP="000E1804">
            <w:pPr>
              <w:pStyle w:val="TAC"/>
              <w:rPr>
                <w:lang w:eastAsia="ko-KR"/>
              </w:rPr>
            </w:pPr>
          </w:p>
        </w:tc>
        <w:tc>
          <w:tcPr>
            <w:tcW w:w="2049" w:type="dxa"/>
          </w:tcPr>
          <w:p w14:paraId="32A052D7" w14:textId="77777777" w:rsidR="000E1804" w:rsidRDefault="000E1804" w:rsidP="000E1804">
            <w:pPr>
              <w:pStyle w:val="TAC"/>
              <w:rPr>
                <w:lang w:eastAsia="ko-KR"/>
              </w:rPr>
            </w:pPr>
          </w:p>
        </w:tc>
        <w:tc>
          <w:tcPr>
            <w:tcW w:w="5665" w:type="dxa"/>
          </w:tcPr>
          <w:p w14:paraId="4B96DA5F" w14:textId="77777777" w:rsidR="000E1804" w:rsidRDefault="000E1804" w:rsidP="000E1804">
            <w:pPr>
              <w:pStyle w:val="TAL"/>
              <w:rPr>
                <w:lang w:eastAsia="ko-KR"/>
              </w:rPr>
            </w:pP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3E3588" w:rsidP="00A377B3">
      <w:pPr>
        <w:pStyle w:val="Doc-title"/>
      </w:pPr>
      <w:hyperlink r:id="rId22"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lastRenderedPageBreak/>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AS provides information about broadcast information (e.g. SIB1 in NR and LTE) to upper layers (e.g. in NR 5.2.2.4.2 </w:t>
            </w:r>
            <w:r w:rsidRPr="00B07C4B">
              <w:rPr>
                <w:rFonts w:eastAsia="CIDFont+F4" w:cs="Arial"/>
                <w:szCs w:val="18"/>
                <w:lang w:eastAsia="ko-KR"/>
              </w:rPr>
              <w:t>forward the cellIdentity to upper layers; forward the trackingAreaCode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5D752D">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behavior correction can be left to UE implementation to handle it. </w:t>
            </w:r>
          </w:p>
        </w:tc>
      </w:tr>
      <w:tr w:rsidR="00C52E29" w14:paraId="45386259" w14:textId="77777777" w:rsidTr="005D752D">
        <w:tc>
          <w:tcPr>
            <w:tcW w:w="1915" w:type="dxa"/>
          </w:tcPr>
          <w:p w14:paraId="4095DF65" w14:textId="7B411F9B" w:rsidR="00C52E29" w:rsidRDefault="00C52E29" w:rsidP="00C52E29">
            <w:pPr>
              <w:pStyle w:val="TAC"/>
              <w:rPr>
                <w:lang w:eastAsia="ko-KR"/>
              </w:rPr>
            </w:pPr>
            <w:r>
              <w:rPr>
                <w:lang w:eastAsia="ko-KR"/>
              </w:rPr>
              <w:t>MediaTek</w:t>
            </w:r>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5D752D">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5D752D">
        <w:tc>
          <w:tcPr>
            <w:tcW w:w="1915" w:type="dxa"/>
          </w:tcPr>
          <w:p w14:paraId="74323E80" w14:textId="2594F82D"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4694B05B" w14:textId="382FB933" w:rsidR="00C52E29" w:rsidRPr="008303DB" w:rsidRDefault="008303DB" w:rsidP="00C52E29">
            <w:pPr>
              <w:pStyle w:val="TAC"/>
              <w:rPr>
                <w:rFonts w:eastAsia="SimSun"/>
                <w:lang w:eastAsia="zh-CN"/>
              </w:rPr>
            </w:pPr>
            <w:r>
              <w:rPr>
                <w:rFonts w:eastAsia="SimSun"/>
                <w:lang w:eastAsia="zh-CN"/>
              </w:rPr>
              <w:t>Disagree</w:t>
            </w:r>
          </w:p>
        </w:tc>
        <w:tc>
          <w:tcPr>
            <w:tcW w:w="5665" w:type="dxa"/>
          </w:tcPr>
          <w:p w14:paraId="513E76A3" w14:textId="629991D4" w:rsidR="00C52E29" w:rsidRPr="008303DB" w:rsidRDefault="008303DB" w:rsidP="00C52E29">
            <w:pPr>
              <w:pStyle w:val="TAL"/>
              <w:rPr>
                <w:rFonts w:eastAsia="SimSun"/>
                <w:lang w:eastAsia="zh-CN"/>
              </w:rPr>
            </w:pPr>
            <w:r>
              <w:rPr>
                <w:rFonts w:eastAsia="SimSun"/>
                <w:lang w:eastAsia="zh-CN"/>
              </w:rPr>
              <w:t>We agree with QCOM</w:t>
            </w:r>
          </w:p>
        </w:tc>
      </w:tr>
      <w:tr w:rsidR="000E1804" w14:paraId="2E7FAE80" w14:textId="77777777" w:rsidTr="005D752D">
        <w:tc>
          <w:tcPr>
            <w:tcW w:w="1915" w:type="dxa"/>
          </w:tcPr>
          <w:p w14:paraId="1F3EEE09" w14:textId="515A92FB" w:rsidR="000E1804" w:rsidRDefault="000E1804" w:rsidP="000E1804">
            <w:pPr>
              <w:pStyle w:val="TAC"/>
              <w:rPr>
                <w:rFonts w:eastAsia="SimSun"/>
                <w:lang w:eastAsia="zh-CN"/>
              </w:rPr>
            </w:pPr>
            <w:r>
              <w:rPr>
                <w:lang w:eastAsia="ko-KR"/>
              </w:rPr>
              <w:t>Samsung</w:t>
            </w:r>
          </w:p>
        </w:tc>
        <w:tc>
          <w:tcPr>
            <w:tcW w:w="2049" w:type="dxa"/>
          </w:tcPr>
          <w:p w14:paraId="4C3E8BE3" w14:textId="1AC5861F" w:rsidR="000E1804" w:rsidRDefault="000E1804" w:rsidP="000E1804">
            <w:pPr>
              <w:pStyle w:val="TAC"/>
              <w:rPr>
                <w:rFonts w:eastAsia="SimSun"/>
                <w:lang w:eastAsia="zh-CN"/>
              </w:rPr>
            </w:pPr>
            <w:r>
              <w:rPr>
                <w:lang w:eastAsia="ko-KR"/>
              </w:rPr>
              <w:t>Disagree</w:t>
            </w:r>
          </w:p>
        </w:tc>
        <w:tc>
          <w:tcPr>
            <w:tcW w:w="5665" w:type="dxa"/>
          </w:tcPr>
          <w:p w14:paraId="16895B49" w14:textId="26B70C0F" w:rsidR="000E1804" w:rsidRDefault="000E1804" w:rsidP="000E1804">
            <w:pPr>
              <w:pStyle w:val="TAL"/>
              <w:rPr>
                <w:rFonts w:eastAsia="SimSun"/>
                <w:lang w:eastAsia="zh-CN"/>
              </w:rPr>
            </w:pPr>
            <w:r>
              <w:rPr>
                <w:lang w:eastAsia="ko-KR"/>
              </w:rPr>
              <w:t>We do not think that a new cause for the case needs to be introduced, which is internal UE behaviour as Chairman pointed out. We do not see the need of change unless we receive the input from CT1.</w:t>
            </w:r>
          </w:p>
        </w:tc>
      </w:tr>
      <w:tr w:rsidR="000E1804" w14:paraId="1A676784" w14:textId="77777777" w:rsidTr="005D752D">
        <w:tc>
          <w:tcPr>
            <w:tcW w:w="1915" w:type="dxa"/>
          </w:tcPr>
          <w:p w14:paraId="7399A13E" w14:textId="77777777" w:rsidR="000E1804" w:rsidRDefault="000E1804" w:rsidP="000E1804">
            <w:pPr>
              <w:pStyle w:val="TAC"/>
              <w:rPr>
                <w:lang w:eastAsia="ko-KR"/>
              </w:rPr>
            </w:pPr>
          </w:p>
        </w:tc>
        <w:tc>
          <w:tcPr>
            <w:tcW w:w="2049" w:type="dxa"/>
          </w:tcPr>
          <w:p w14:paraId="67CBC673" w14:textId="77777777" w:rsidR="000E1804" w:rsidRDefault="000E1804" w:rsidP="000E1804">
            <w:pPr>
              <w:pStyle w:val="TAC"/>
              <w:rPr>
                <w:lang w:eastAsia="ko-KR"/>
              </w:rPr>
            </w:pPr>
          </w:p>
        </w:tc>
        <w:tc>
          <w:tcPr>
            <w:tcW w:w="5665" w:type="dxa"/>
          </w:tcPr>
          <w:p w14:paraId="0F891E98" w14:textId="77777777" w:rsidR="000E1804" w:rsidRDefault="000E1804" w:rsidP="000E1804">
            <w:pPr>
              <w:pStyle w:val="TAL"/>
              <w:rPr>
                <w:lang w:eastAsia="ko-KR"/>
              </w:rPr>
            </w:pPr>
          </w:p>
        </w:tc>
      </w:tr>
      <w:tr w:rsidR="000E1804" w14:paraId="410E6C99" w14:textId="77777777" w:rsidTr="005D752D">
        <w:tc>
          <w:tcPr>
            <w:tcW w:w="1915" w:type="dxa"/>
          </w:tcPr>
          <w:p w14:paraId="0BFAF292" w14:textId="77777777" w:rsidR="000E1804" w:rsidRDefault="000E1804" w:rsidP="000E1804">
            <w:pPr>
              <w:pStyle w:val="TAC"/>
              <w:rPr>
                <w:lang w:eastAsia="ko-KR"/>
              </w:rPr>
            </w:pPr>
          </w:p>
        </w:tc>
        <w:tc>
          <w:tcPr>
            <w:tcW w:w="2049" w:type="dxa"/>
          </w:tcPr>
          <w:p w14:paraId="353886AF" w14:textId="77777777" w:rsidR="000E1804" w:rsidRDefault="000E1804" w:rsidP="000E1804">
            <w:pPr>
              <w:pStyle w:val="TAC"/>
              <w:rPr>
                <w:lang w:eastAsia="ko-KR"/>
              </w:rPr>
            </w:pPr>
          </w:p>
        </w:tc>
        <w:tc>
          <w:tcPr>
            <w:tcW w:w="5665" w:type="dxa"/>
          </w:tcPr>
          <w:p w14:paraId="5493B187" w14:textId="77777777" w:rsidR="000E1804" w:rsidRDefault="000E1804" w:rsidP="000E1804">
            <w:pPr>
              <w:pStyle w:val="TAL"/>
              <w:rPr>
                <w:lang w:eastAsia="ko-KR"/>
              </w:rPr>
            </w:pP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2643026A" w:rsidR="00A377B3" w:rsidRPr="00260650" w:rsidRDefault="003E3588" w:rsidP="00A377B3">
      <w:pPr>
        <w:pStyle w:val="Doc-title"/>
      </w:pPr>
      <w:hyperlink r:id="rId23"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3E3588" w:rsidP="00A377B3">
      <w:pPr>
        <w:pStyle w:val="Doc-title"/>
      </w:pPr>
      <w:hyperlink r:id="rId24"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lastRenderedPageBreak/>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sovles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the UE releases the lower layer configuration (specifically, the SR and the PUCCH resoures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reestablishmentComplete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reestablishmentComplete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RRCSetup in response to the re-establishment if it cannot go ahead with reestablishment. The fallback behaviour is an implicit reject mechanism that is allowed in NR (unlike in LTE). So, it is unclear why this is an issue. </w:t>
            </w:r>
          </w:p>
          <w:p w14:paraId="572F1C3D" w14:textId="1F51CF30" w:rsidR="003B0177" w:rsidRPr="00B939C8" w:rsidRDefault="00B939C8" w:rsidP="003B0177">
            <w:pPr>
              <w:pStyle w:val="TAL"/>
              <w:rPr>
                <w:color w:val="7030A0"/>
              </w:rPr>
            </w:pPr>
            <w:r w:rsidRPr="00B939C8">
              <w:rPr>
                <w:rFonts w:eastAsia="SimSun"/>
                <w:b/>
                <w:bCs/>
                <w:color w:val="7030A0"/>
                <w:lang w:eastAsia="zh-CN"/>
              </w:rPr>
              <w:t>Nokia v3:</w:t>
            </w:r>
            <w:r w:rsidRPr="00B939C8">
              <w:rPr>
                <w:rFonts w:eastAsia="SimSun"/>
                <w:color w:val="7030A0"/>
                <w:lang w:eastAsia="zh-CN"/>
              </w:rPr>
              <w:t xml:space="preserve"> There is no RRC re-establishment reject-message: Network has to accept</w:t>
            </w:r>
            <w:r w:rsidRPr="00B939C8">
              <w:rPr>
                <w:color w:val="7030A0"/>
              </w:rPr>
              <w:t xml:space="preserve"> the request either via </w:t>
            </w:r>
            <w:r w:rsidRPr="00B939C8">
              <w:rPr>
                <w:i/>
                <w:iCs/>
                <w:color w:val="7030A0"/>
              </w:rPr>
              <w:t>RRCReestablishment</w:t>
            </w:r>
            <w:r w:rsidRPr="00B939C8">
              <w:rPr>
                <w:color w:val="7030A0"/>
              </w:rPr>
              <w:t xml:space="preserve"> or with </w:t>
            </w:r>
            <w:r w:rsidRPr="00B939C8">
              <w:rPr>
                <w:i/>
                <w:iCs/>
                <w:color w:val="7030A0"/>
              </w:rPr>
              <w:t>RRCSetup</w:t>
            </w:r>
            <w:r w:rsidRPr="00B939C8">
              <w:rPr>
                <w:color w:val="7030A0"/>
              </w:rPr>
              <w:t xml:space="preserve"> (</w:t>
            </w:r>
            <w:r>
              <w:rPr>
                <w:color w:val="7030A0"/>
              </w:rPr>
              <w:t xml:space="preserve">i.e. </w:t>
            </w:r>
            <w:r w:rsidRPr="00B939C8">
              <w:rPr>
                <w:color w:val="7030A0"/>
              </w:rPr>
              <w:t xml:space="preserve">fallback to regular connection setup). In both cases, </w:t>
            </w:r>
            <w:r>
              <w:rPr>
                <w:color w:val="7030A0"/>
              </w:rPr>
              <w:t xml:space="preserve">connection is established and </w:t>
            </w:r>
            <w:r w:rsidRPr="00B939C8">
              <w:rPr>
                <w:color w:val="7030A0"/>
              </w:rPr>
              <w:t>a RRCReconfiguration is needed afterwards to resume UP transmission.</w:t>
            </w:r>
            <w:r>
              <w:rPr>
                <w:color w:val="7030A0"/>
              </w:rPr>
              <w:t xml:space="preserve"> That is the basic design flaw in NR Rel-15</w:t>
            </w:r>
            <w:r w:rsidR="00AD3FDE">
              <w:rPr>
                <w:color w:val="7030A0"/>
              </w:rPr>
              <w:t>. However, the main discussion we mention here is about 2), 1) is another issue entirely.</w:t>
            </w:r>
          </w:p>
          <w:p w14:paraId="1024069C" w14:textId="77777777" w:rsidR="00B939C8" w:rsidRPr="00B939C8" w:rsidRDefault="00B939C8" w:rsidP="003B0177">
            <w:pPr>
              <w:pStyle w:val="TAL"/>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257E2BC6" w:rsidR="003B0177" w:rsidRDefault="00B939C8" w:rsidP="00B07C4B">
            <w:pPr>
              <w:pStyle w:val="TAL"/>
              <w:rPr>
                <w:rFonts w:eastAsia="SimSun"/>
                <w:lang w:eastAsia="zh-CN"/>
              </w:rPr>
            </w:pPr>
            <w:r w:rsidRPr="00B939C8">
              <w:rPr>
                <w:rFonts w:eastAsia="SimSun"/>
                <w:color w:val="7030A0"/>
                <w:lang w:eastAsia="zh-CN"/>
              </w:rPr>
              <w:t>Nokia v3</w:t>
            </w:r>
            <w:r>
              <w:rPr>
                <w:rFonts w:eastAsia="SimSun"/>
                <w:color w:val="7030A0"/>
                <w:lang w:eastAsia="zh-CN"/>
              </w:rPr>
              <w:t xml:space="preserve">: </w:t>
            </w:r>
            <w:r w:rsidR="00AD3FDE">
              <w:rPr>
                <w:rFonts w:eastAsia="SimSun"/>
                <w:color w:val="7030A0"/>
                <w:lang w:eastAsia="zh-CN"/>
              </w:rPr>
              <w:t>Since</w:t>
            </w:r>
            <w:r>
              <w:rPr>
                <w:rFonts w:eastAsia="SimSun"/>
                <w:color w:val="7030A0"/>
                <w:lang w:eastAsia="zh-CN"/>
              </w:rPr>
              <w:t xml:space="preserve"> we both agree on the core problem, </w:t>
            </w:r>
            <w:r w:rsidR="00AD3FDE">
              <w:rPr>
                <w:rFonts w:eastAsia="SimSun"/>
                <w:color w:val="7030A0"/>
                <w:lang w:eastAsia="zh-CN"/>
              </w:rPr>
              <w:t>perhaps the best we can do is to acknowledge the problem and then consider the best solution for that?</w:t>
            </w:r>
            <w:r w:rsidRPr="00B939C8">
              <w:rPr>
                <w:rFonts w:eastAsia="SimSun"/>
                <w:color w:val="7030A0"/>
                <w:lang w:eastAsia="zh-CN"/>
              </w:rPr>
              <w:t xml:space="preserve"> </w:t>
            </w: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a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6A920961" w:rsidR="003B0177" w:rsidRDefault="00B939C8" w:rsidP="00B07C4B">
            <w:pPr>
              <w:pStyle w:val="TAL"/>
              <w:rPr>
                <w:lang w:eastAsia="ko-KR"/>
              </w:rPr>
            </w:pPr>
            <w:r w:rsidRPr="00B939C8">
              <w:rPr>
                <w:rFonts w:eastAsia="SimSun"/>
                <w:b/>
                <w:bCs/>
                <w:color w:val="7030A0"/>
                <w:lang w:eastAsia="zh-CN"/>
              </w:rPr>
              <w:t>Nokia v3:</w:t>
            </w:r>
            <w:r>
              <w:rPr>
                <w:rFonts w:eastAsia="SimSun"/>
                <w:color w:val="7030A0"/>
                <w:lang w:eastAsia="zh-CN"/>
              </w:rPr>
              <w:t xml:space="preserve"> The "double RACH" is </w:t>
            </w:r>
            <w:r w:rsidR="00AD3FDE">
              <w:rPr>
                <w:rFonts w:eastAsia="SimSun"/>
                <w:color w:val="7030A0"/>
                <w:lang w:eastAsia="zh-CN"/>
              </w:rPr>
              <w:t xml:space="preserve">likely </w:t>
            </w:r>
            <w:r>
              <w:rPr>
                <w:rFonts w:eastAsia="SimSun"/>
                <w:color w:val="7030A0"/>
                <w:lang w:eastAsia="zh-CN"/>
              </w:rPr>
              <w:t xml:space="preserve">not </w:t>
            </w:r>
            <w:r w:rsidR="00AD3FDE">
              <w:rPr>
                <w:rFonts w:eastAsia="SimSun"/>
                <w:color w:val="7030A0"/>
                <w:lang w:eastAsia="zh-CN"/>
              </w:rPr>
              <w:t>something that occurs</w:t>
            </w:r>
            <w:r>
              <w:rPr>
                <w:rFonts w:eastAsia="SimSun"/>
                <w:color w:val="7030A0"/>
                <w:lang w:eastAsia="zh-CN"/>
              </w:rPr>
              <w:t xml:space="preserve">: </w:t>
            </w:r>
            <w:r w:rsidR="00AD3FDE">
              <w:rPr>
                <w:rFonts w:eastAsia="SimSun"/>
                <w:color w:val="7030A0"/>
                <w:lang w:eastAsia="zh-CN"/>
              </w:rPr>
              <w:t xml:space="preserve">Typically </w:t>
            </w:r>
            <w:r>
              <w:rPr>
                <w:rFonts w:eastAsia="SimSun"/>
                <w:color w:val="7030A0"/>
                <w:lang w:eastAsia="zh-CN"/>
              </w:rPr>
              <w:t>network schedules UL grant blindly according to RRC processing time. This not only avoids RACH but reduces latency. If we want to enalbe "early SR", that is a different solution and still doesn't address the additional latency coming from two sequential RRC message processing.</w:t>
            </w: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deployements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637770E6" w:rsidR="003B0177" w:rsidRDefault="00B939C8"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Blind UL grants for RRC UL responses were discussed during LTE Rel-8: Network knows from RRC processing delay when the UE is (at the latest) ready for the UL response to RRC procedures. It can always provide UL grant for UE at that time, </w:t>
            </w:r>
            <w:r>
              <w:rPr>
                <w:rFonts w:eastAsia="SimSun"/>
                <w:color w:val="7030A0"/>
                <w:lang w:eastAsia="zh-CN"/>
              </w:rPr>
              <w:lastRenderedPageBreak/>
              <w:t>which will be used for sending the UL RRC response. That means no RACH is needed for BSR.</w:t>
            </w:r>
          </w:p>
          <w:p w14:paraId="783309A2" w14:textId="34069B41" w:rsidR="00DC087A" w:rsidRDefault="00DC087A" w:rsidP="00B07C4B">
            <w:pPr>
              <w:pStyle w:val="TAL"/>
              <w:rPr>
                <w:rFonts w:eastAsia="SimSun"/>
                <w:color w:val="7030A0"/>
                <w:lang w:eastAsia="zh-CN"/>
              </w:rPr>
            </w:pPr>
            <w:r>
              <w:rPr>
                <w:rFonts w:eastAsia="SimSun"/>
                <w:color w:val="7030A0"/>
                <w:lang w:eastAsia="zh-CN"/>
              </w:rPr>
              <w:t>As for "eventually some implementations are quicker than others", certainly, but this is still something that network can address. Hence, the lack of SR resources is not really a problem in this case.</w:t>
            </w:r>
          </w:p>
          <w:p w14:paraId="2706D683" w14:textId="77777777" w:rsidR="00B939C8" w:rsidRDefault="00B939C8"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doesnot delay the reestablishment complete until processing the reconfiguration (i.e. sequential processing is allowed), then it seems to us that the problem is not solved. </w:t>
            </w:r>
          </w:p>
          <w:p w14:paraId="6BD2497C" w14:textId="2EA17C19" w:rsidR="003B0177" w:rsidRDefault="00DC087A"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RRC processing is sequential: </w:t>
            </w:r>
            <w:r w:rsidRPr="00F90DF2">
              <w:rPr>
                <w:rFonts w:eastAsia="SimSun"/>
                <w:color w:val="7030A0"/>
                <w:highlight w:val="yellow"/>
                <w:lang w:eastAsia="zh-CN"/>
              </w:rPr>
              <w:t>UE does NOT consider other RRC messages until it has finished the previous message</w:t>
            </w:r>
            <w:r>
              <w:rPr>
                <w:rFonts w:eastAsia="SimSun"/>
                <w:color w:val="7030A0"/>
                <w:lang w:eastAsia="zh-CN"/>
              </w:rPr>
              <w:t xml:space="preserve"> sequence.Network </w:t>
            </w:r>
            <w:r w:rsidRPr="00F90DF2">
              <w:rPr>
                <w:rFonts w:eastAsia="SimSun"/>
                <w:color w:val="7030A0"/>
                <w:highlight w:val="green"/>
                <w:lang w:eastAsia="zh-CN"/>
              </w:rPr>
              <w:t>may send another message</w:t>
            </w:r>
            <w:r>
              <w:rPr>
                <w:rFonts w:eastAsia="SimSun"/>
                <w:color w:val="7030A0"/>
                <w:lang w:eastAsia="zh-CN"/>
              </w:rPr>
              <w:t xml:space="preserve"> but this doesn't really help with knowing when the UE will process it (i.e. network cannot do blind grants as easily</w:t>
            </w:r>
            <w:r w:rsidR="00F90DF2">
              <w:rPr>
                <w:rFonts w:eastAsia="SimSun"/>
                <w:color w:val="7030A0"/>
                <w:lang w:eastAsia="zh-CN"/>
              </w:rPr>
              <w:t xml:space="preserve"> and there will be more delays</w:t>
            </w:r>
            <w:r>
              <w:rPr>
                <w:rFonts w:eastAsia="SimSun"/>
                <w:color w:val="7030A0"/>
                <w:lang w:eastAsia="zh-CN"/>
              </w:rPr>
              <w:t>). This is also captured in 38.331 subclause 5.1.2 :</w:t>
            </w:r>
          </w:p>
          <w:p w14:paraId="7D59F934" w14:textId="77777777" w:rsidR="00DC087A" w:rsidRPr="00DE5341" w:rsidRDefault="00DC087A" w:rsidP="00DC087A">
            <w:pPr>
              <w:pStyle w:val="Heading3"/>
              <w:rPr>
                <w:rFonts w:eastAsia="MS Mincho"/>
              </w:rPr>
            </w:pPr>
            <w:bookmarkStart w:id="2" w:name="_Toc60776700"/>
            <w:bookmarkStart w:id="3" w:name="_Toc68014640"/>
            <w:r w:rsidRPr="00DE5341">
              <w:t>5.1.2</w:t>
            </w:r>
            <w:r w:rsidRPr="00DE5341">
              <w:tab/>
              <w:t>General requirements</w:t>
            </w:r>
            <w:bookmarkEnd w:id="2"/>
            <w:bookmarkEnd w:id="3"/>
          </w:p>
          <w:p w14:paraId="7FBA341A" w14:textId="77777777" w:rsidR="00DC087A" w:rsidRPr="00DE5341" w:rsidRDefault="00DC087A" w:rsidP="00DC087A">
            <w:pPr>
              <w:rPr>
                <w:rFonts w:eastAsia="MS Mincho"/>
              </w:rPr>
            </w:pPr>
            <w:r w:rsidRPr="00DE5341">
              <w:t>The UE shall:</w:t>
            </w:r>
          </w:p>
          <w:p w14:paraId="256DBF29" w14:textId="77777777" w:rsidR="00DC087A" w:rsidRPr="00DE5341" w:rsidRDefault="00DC087A" w:rsidP="00DC087A">
            <w:pPr>
              <w:pStyle w:val="B1"/>
            </w:pPr>
            <w:r w:rsidRPr="00DC087A">
              <w:rPr>
                <w:highlight w:val="yellow"/>
              </w:rPr>
              <w:t>1&gt;</w:t>
            </w:r>
            <w:r w:rsidRPr="00DC087A">
              <w:rPr>
                <w:highlight w:val="yellow"/>
              </w:rPr>
              <w:tab/>
              <w:t xml:space="preserve">process the received messages in order of reception by RRC, i.e. the processing of a message shall be completed before starting the processing of a subsequent </w:t>
            </w:r>
            <w:proofErr w:type="gramStart"/>
            <w:r w:rsidRPr="00DC087A">
              <w:rPr>
                <w:highlight w:val="yellow"/>
              </w:rPr>
              <w:t>message;</w:t>
            </w:r>
            <w:proofErr w:type="gramEnd"/>
          </w:p>
          <w:p w14:paraId="7E4B4927" w14:textId="77777777" w:rsidR="00DC087A" w:rsidRPr="00DE5341" w:rsidRDefault="00DC087A" w:rsidP="00DC087A">
            <w:pPr>
              <w:pStyle w:val="NO"/>
            </w:pPr>
            <w:r w:rsidRPr="00DC087A">
              <w:rPr>
                <w:highlight w:val="green"/>
              </w:rPr>
              <w:t>NOTE:</w:t>
            </w:r>
            <w:r w:rsidRPr="00DC087A">
              <w:rPr>
                <w:highlight w:val="green"/>
              </w:rPr>
              <w:tab/>
              <w:t>Network may initiate a subsequent procedure prior to receiving the UE's response of a previously initiated procedure.</w:t>
            </w:r>
          </w:p>
          <w:p w14:paraId="5F0813CC" w14:textId="16D7B1F2" w:rsidR="00DC087A" w:rsidRPr="00632231" w:rsidRDefault="00DC087A" w:rsidP="00B07C4B">
            <w:pPr>
              <w:pStyle w:val="TAL"/>
              <w:rPr>
                <w:rFonts w:eastAsia="SimSun"/>
                <w:lang w:eastAsia="zh-CN"/>
              </w:rPr>
            </w:pPr>
          </w:p>
        </w:tc>
      </w:tr>
      <w:tr w:rsidR="00BD6E11" w14:paraId="65BB02CE" w14:textId="77777777" w:rsidTr="005D752D">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w:t>
            </w:r>
            <w:proofErr w:type="gramStart"/>
            <w:r>
              <w:rPr>
                <w:lang w:eastAsia="ko-KR"/>
              </w:rPr>
              <w:t>or</w:t>
            </w:r>
            <w:proofErr w:type="gramEnd"/>
            <w:r>
              <w:rPr>
                <w:lang w:eastAsia="ko-KR"/>
              </w:rPr>
              <w:t xml:space="preserve"> 2 seperate RRC Complete messages in the same TB. The UE behavior varies among UE vendors, and therefore any modification in the spec to mandate a specific UE behavior will be considered an NBC for some of the UE vendors. </w:t>
            </w:r>
          </w:p>
        </w:tc>
      </w:tr>
      <w:tr w:rsidR="00C52E29" w14:paraId="5E3CFFD1" w14:textId="77777777" w:rsidTr="005D752D">
        <w:tc>
          <w:tcPr>
            <w:tcW w:w="1915" w:type="dxa"/>
          </w:tcPr>
          <w:p w14:paraId="526783FC" w14:textId="429DB7D0" w:rsidR="00C52E29" w:rsidRDefault="00C52E29" w:rsidP="00C52E29">
            <w:pPr>
              <w:pStyle w:val="TAC"/>
              <w:rPr>
                <w:lang w:eastAsia="ko-KR"/>
              </w:rPr>
            </w:pPr>
            <w:r>
              <w:rPr>
                <w:lang w:eastAsia="ko-KR"/>
              </w:rPr>
              <w:lastRenderedPageBreak/>
              <w:t>MediaTek</w:t>
            </w:r>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indivisual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4" w:name="_Toc20425650"/>
            <w:bookmarkStart w:id="5" w:name="_Toc29321046"/>
            <w:bookmarkStart w:id="6" w:name="_Toc36219229"/>
            <w:bookmarkStart w:id="7" w:name="_Toc36219905"/>
            <w:bookmarkStart w:id="8" w:name="_Toc36513325"/>
            <w:bookmarkStart w:id="9" w:name="_Toc46449383"/>
            <w:bookmarkStart w:id="10" w:name="_Toc46489170"/>
            <w:bookmarkStart w:id="11" w:name="_Toc52495004"/>
            <w:bookmarkStart w:id="12" w:name="_Toc60781173"/>
            <w:bookmarkStart w:id="13" w:name="_Toc67915220"/>
            <w:r w:rsidRPr="00B719ED">
              <w:t>5.1.2</w:t>
            </w:r>
            <w:r w:rsidRPr="00B719ED">
              <w:tab/>
              <w:t>General requirements</w:t>
            </w:r>
            <w:bookmarkEnd w:id="4"/>
            <w:bookmarkEnd w:id="5"/>
            <w:bookmarkEnd w:id="6"/>
            <w:bookmarkEnd w:id="7"/>
            <w:bookmarkEnd w:id="8"/>
            <w:bookmarkEnd w:id="9"/>
            <w:bookmarkEnd w:id="10"/>
            <w:bookmarkEnd w:id="11"/>
            <w:bookmarkEnd w:id="12"/>
            <w:bookmarkEnd w:id="13"/>
          </w:p>
          <w:p w14:paraId="2CBFF228" w14:textId="77777777" w:rsidR="00C52E29" w:rsidRPr="00B719ED" w:rsidRDefault="00C52E29" w:rsidP="00C52E29">
            <w:pPr>
              <w:rPr>
                <w:rFonts w:eastAsia="MS Mincho"/>
              </w:rPr>
            </w:pPr>
            <w:r w:rsidRPr="00B719ED">
              <w:t>The UE shall:</w:t>
            </w:r>
          </w:p>
          <w:p w14:paraId="35640187" w14:textId="77777777" w:rsidR="00C52E29" w:rsidRDefault="00C52E29" w:rsidP="00630287">
            <w:pPr>
              <w:pStyle w:val="B1"/>
            </w:pPr>
            <w:r w:rsidRPr="00B719ED">
              <w:t>1&gt;</w:t>
            </w:r>
            <w:r w:rsidRPr="00B719ED">
              <w:tab/>
              <w:t xml:space="preserve">process the received messages in order of reception by RRC, i.e. the processing of a message shall be completed before starting the processing of a subsequent </w:t>
            </w:r>
            <w:proofErr w:type="gramStart"/>
            <w:r w:rsidRPr="00B719ED">
              <w:t>message;</w:t>
            </w:r>
            <w:proofErr w:type="gramEnd"/>
          </w:p>
          <w:p w14:paraId="5A53DC73" w14:textId="0D4A8DBA" w:rsidR="00F90DF2" w:rsidRDefault="00F90DF2" w:rsidP="00F90DF2">
            <w:pPr>
              <w:pStyle w:val="B1"/>
              <w:ind w:left="0" w:firstLine="0"/>
            </w:pPr>
            <w:r w:rsidRPr="00B939C8">
              <w:rPr>
                <w:rFonts w:eastAsia="SimSun"/>
                <w:b/>
                <w:bCs/>
                <w:color w:val="7030A0"/>
                <w:lang w:eastAsia="zh-CN"/>
              </w:rPr>
              <w:t>Nokia v3:</w:t>
            </w:r>
            <w:r>
              <w:rPr>
                <w:rFonts w:eastAsia="SimSun"/>
                <w:color w:val="7030A0"/>
                <w:lang w:eastAsia="zh-CN"/>
              </w:rPr>
              <w:t xml:space="preserve"> To MediaTek: The processing time proposed in this is exactly the sum of RRC re-establishment (10ms) + RRC reconfiguration (10ms) = 20ms (as proposed in the CR).</w:t>
            </w:r>
            <w:r w:rsidR="00AD3FDE">
              <w:rPr>
                <w:rFonts w:eastAsia="SimSun"/>
                <w:color w:val="7030A0"/>
                <w:lang w:eastAsia="zh-CN"/>
              </w:rPr>
              <w:t xml:space="preserve"> That was also our rationale and we would like to make sure that if this happens, network knows that the UE timing will be the sum of the two procedures. </w:t>
            </w:r>
          </w:p>
        </w:tc>
      </w:tr>
      <w:tr w:rsidR="00C52E29" w14:paraId="4F7501D5" w14:textId="77777777" w:rsidTr="005D752D">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5D752D">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 xml:space="preserve">We also think this doesn’t solve the main issue or the double RACH issue that was discussed previously and mentioned by ZTE.  A proper solution would be to provide configuration information in Reestablishment message if delay is considered an issue for re-establisment. It was previously argued that delay is not important for re-establishment procedure.  </w:t>
            </w:r>
          </w:p>
        </w:tc>
      </w:tr>
      <w:tr w:rsidR="00C52E29" w14:paraId="7CCAA25C" w14:textId="77777777" w:rsidTr="005D752D">
        <w:tc>
          <w:tcPr>
            <w:tcW w:w="1915" w:type="dxa"/>
          </w:tcPr>
          <w:p w14:paraId="048CC37E" w14:textId="015418AC"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2734765E" w14:textId="3379CB5C" w:rsidR="00C52E29" w:rsidRPr="008303DB" w:rsidRDefault="008303DB" w:rsidP="00C52E29">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22ADB377" w14:textId="1F7422BB" w:rsidR="00C52E29" w:rsidRPr="008303DB" w:rsidRDefault="008303DB" w:rsidP="00C52E29">
            <w:pPr>
              <w:pStyle w:val="TAL"/>
              <w:rPr>
                <w:rFonts w:eastAsia="SimSun"/>
                <w:lang w:eastAsia="zh-CN"/>
              </w:rPr>
            </w:pPr>
            <w:r>
              <w:rPr>
                <w:rFonts w:eastAsia="SimSun"/>
                <w:lang w:eastAsia="zh-CN"/>
              </w:rPr>
              <w:t>We agree with ZTE’s analysis</w:t>
            </w:r>
          </w:p>
        </w:tc>
      </w:tr>
      <w:tr w:rsidR="000E1804" w14:paraId="76E10372" w14:textId="77777777" w:rsidTr="005D752D">
        <w:tc>
          <w:tcPr>
            <w:tcW w:w="1915" w:type="dxa"/>
          </w:tcPr>
          <w:p w14:paraId="24329533" w14:textId="684A21BE" w:rsidR="000E1804" w:rsidRDefault="000E1804" w:rsidP="000E1804">
            <w:pPr>
              <w:pStyle w:val="TAC"/>
              <w:rPr>
                <w:rFonts w:eastAsia="SimSun"/>
                <w:lang w:eastAsia="zh-CN"/>
              </w:rPr>
            </w:pPr>
            <w:r>
              <w:rPr>
                <w:lang w:eastAsia="ko-KR"/>
              </w:rPr>
              <w:t>Samsung</w:t>
            </w:r>
          </w:p>
        </w:tc>
        <w:tc>
          <w:tcPr>
            <w:tcW w:w="2049" w:type="dxa"/>
          </w:tcPr>
          <w:p w14:paraId="43928C56" w14:textId="7EFD64D7" w:rsidR="000E1804" w:rsidRDefault="000E1804" w:rsidP="000E1804">
            <w:pPr>
              <w:pStyle w:val="TAC"/>
              <w:rPr>
                <w:rFonts w:eastAsia="SimSun"/>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SimSun"/>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p>
        </w:tc>
      </w:tr>
      <w:tr w:rsidR="000E1804" w14:paraId="2B5D593D" w14:textId="77777777" w:rsidTr="005D752D">
        <w:tc>
          <w:tcPr>
            <w:tcW w:w="1915" w:type="dxa"/>
          </w:tcPr>
          <w:p w14:paraId="04C3A43A" w14:textId="4C8864EC" w:rsidR="000E1804" w:rsidRDefault="00F90DF2" w:rsidP="000E1804">
            <w:pPr>
              <w:pStyle w:val="TAC"/>
              <w:rPr>
                <w:lang w:eastAsia="ko-KR"/>
              </w:rPr>
            </w:pPr>
            <w:r>
              <w:rPr>
                <w:lang w:eastAsia="ko-KR"/>
              </w:rPr>
              <w:t>Nokia v3</w:t>
            </w:r>
          </w:p>
        </w:tc>
        <w:tc>
          <w:tcPr>
            <w:tcW w:w="2049" w:type="dxa"/>
          </w:tcPr>
          <w:p w14:paraId="608001D6" w14:textId="77777777" w:rsidR="000E1804" w:rsidRDefault="000E1804" w:rsidP="000E1804">
            <w:pPr>
              <w:pStyle w:val="TAC"/>
              <w:rPr>
                <w:lang w:eastAsia="ko-KR"/>
              </w:rPr>
            </w:pPr>
          </w:p>
        </w:tc>
        <w:tc>
          <w:tcPr>
            <w:tcW w:w="5665" w:type="dxa"/>
          </w:tcPr>
          <w:p w14:paraId="29D3547F" w14:textId="798792C1" w:rsidR="000E1804" w:rsidRDefault="00F90DF2" w:rsidP="000E1804">
            <w:pPr>
              <w:pStyle w:val="TAL"/>
              <w:rPr>
                <w:lang w:eastAsia="ko-KR"/>
              </w:rPr>
            </w:pPr>
            <w:r>
              <w:rPr>
                <w:lang w:eastAsia="ko-KR"/>
              </w:rPr>
              <w:t>We would prefer to at least acknowledge the issue now and then consider what can be done to fix it: We think this discussion already shows there is an issue to handle but there seem to be several views on what is needed to fix it. So the Samsung proposal would be fine as a first step to us.</w:t>
            </w:r>
          </w:p>
        </w:tc>
      </w:tr>
    </w:tbl>
    <w:p w14:paraId="37354F7A" w14:textId="77777777"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397BC" w14:textId="77777777" w:rsidR="003E3588" w:rsidRDefault="003E3588">
      <w:r>
        <w:separator/>
      </w:r>
    </w:p>
  </w:endnote>
  <w:endnote w:type="continuationSeparator" w:id="0">
    <w:p w14:paraId="7C44ED58" w14:textId="77777777" w:rsidR="003E3588" w:rsidRDefault="003E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B7E5" w14:textId="77777777" w:rsidR="003E3588" w:rsidRDefault="003E3588">
      <w:r>
        <w:separator/>
      </w:r>
    </w:p>
  </w:footnote>
  <w:footnote w:type="continuationSeparator" w:id="0">
    <w:p w14:paraId="07C193E0" w14:textId="77777777" w:rsidR="003E3588" w:rsidRDefault="003E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6"/>
  </w:num>
  <w:num w:numId="7">
    <w:abstractNumId w:val="4"/>
  </w:num>
  <w:num w:numId="8">
    <w:abstractNumId w:val="0"/>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9E5"/>
    <w:rsid w:val="000F460C"/>
    <w:rsid w:val="000F4FD7"/>
    <w:rsid w:val="000F68D6"/>
    <w:rsid w:val="000F6AF5"/>
    <w:rsid w:val="00100D9C"/>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368"/>
    <w:rsid w:val="00380B92"/>
    <w:rsid w:val="003810C7"/>
    <w:rsid w:val="003815A0"/>
    <w:rsid w:val="00381F7C"/>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588"/>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4192"/>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3DB"/>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F6E"/>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3FDE"/>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47D6A"/>
    <w:rsid w:val="00B50A29"/>
    <w:rsid w:val="00B5151A"/>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39C8"/>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A01"/>
    <w:rsid w:val="00DB079E"/>
    <w:rsid w:val="00DB1FF3"/>
    <w:rsid w:val="00DB2848"/>
    <w:rsid w:val="00DB31A1"/>
    <w:rsid w:val="00DB52B5"/>
    <w:rsid w:val="00DB5B46"/>
    <w:rsid w:val="00DB6148"/>
    <w:rsid w:val="00DB7055"/>
    <w:rsid w:val="00DC00FA"/>
    <w:rsid w:val="00DC087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268"/>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0DF2"/>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2">
    <w:name w:val="Unresolved Mention2"/>
    <w:basedOn w:val="DefaultParagraphFont"/>
    <w:uiPriority w:val="99"/>
    <w:semiHidden/>
    <w:unhideWhenUsed/>
    <w:rsid w:val="00A20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evutukuri\work\5G\RAN2\docs\R2-2103043.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3bis-e\Docs\R2-210362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evutukuri\work\5G\RAN2\docs\R2-2103042.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Sudeep.k.palat@intel.com" TargetMode="External"/><Relationship Id="rId20" Type="http://schemas.openxmlformats.org/officeDocument/2006/relationships/hyperlink" Target="file:///C:\evutukuri\work\5G\RAN2\docs\R2-21030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D:\Documents\3GPP\tsg_ran\WG2\TSGR2_113bis-e\Docs\R2-2103464.zip" TargetMode="External"/><Relationship Id="rId5" Type="http://schemas.openxmlformats.org/officeDocument/2006/relationships/customXml" Target="../customXml/item4.xml"/><Relationship Id="rId15" Type="http://schemas.openxmlformats.org/officeDocument/2006/relationships/hyperlink" Target="mailto:akogiantis@perspectalabs.com" TargetMode="External"/><Relationship Id="rId23" Type="http://schemas.openxmlformats.org/officeDocument/2006/relationships/hyperlink" Target="file:///C:\evutukuri\work\5G\RAN2\docs\R2-2103467.zip" TargetMode="External"/><Relationship Id="rId10" Type="http://schemas.openxmlformats.org/officeDocument/2006/relationships/settings" Target="settings.xml"/><Relationship Id="rId19" Type="http://schemas.openxmlformats.org/officeDocument/2006/relationships/hyperlink" Target="file:///D:\Documents\3GPP\tsg_ran\WG2\TSGR2_113bis-e\Docs\R2-210304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3bis-e\Docs\R2-210362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1E6D2D-62F9-42DB-83A0-4AF01E261B93}">
  <ds:schemaRefs>
    <ds:schemaRef ds:uri="http://schemas.openxmlformats.org/officeDocument/2006/bibliography"/>
  </ds:schemaRefs>
</ds:datastoreItem>
</file>

<file path=customXml/itemProps2.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4.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6.xml><?xml version="1.0" encoding="utf-8"?>
<ds:datastoreItem xmlns:ds="http://schemas.openxmlformats.org/officeDocument/2006/customXml" ds:itemID="{EA112E6F-61E5-4ADF-83BF-99FF5DAE2E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9</Pages>
  <Words>3131</Words>
  <Characters>17852</Characters>
  <Application>Microsoft Office Word</Application>
  <DocSecurity>0</DocSecurity>
  <Lines>148</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Nokia, Nokia Shanghai Bell</cp:lastModifiedBy>
  <cp:revision>4</cp:revision>
  <cp:lastPrinted>1900-12-31T21:59:00Z</cp:lastPrinted>
  <dcterms:created xsi:type="dcterms:W3CDTF">2021-04-14T04:19:00Z</dcterms:created>
  <dcterms:modified xsi:type="dcterms:W3CDTF">2021-04-14T05:49:00Z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