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Default="00B07C4B" w:rsidP="00B07C4B">
            <w:pPr>
              <w:pStyle w:val="TAC"/>
              <w:rPr>
                <w:lang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B5151A" w14:paraId="5747565D" w14:textId="77777777" w:rsidTr="00D96CB3">
        <w:tc>
          <w:tcPr>
            <w:tcW w:w="3835" w:type="dxa"/>
          </w:tcPr>
          <w:p w14:paraId="23DCB2FA" w14:textId="77777777" w:rsidR="00B5151A" w:rsidRDefault="00B5151A" w:rsidP="00B5151A">
            <w:pPr>
              <w:pStyle w:val="TAC"/>
              <w:rPr>
                <w:lang w:eastAsia="ko-KR"/>
              </w:rPr>
            </w:pPr>
          </w:p>
        </w:tc>
        <w:tc>
          <w:tcPr>
            <w:tcW w:w="5794" w:type="dxa"/>
          </w:tcPr>
          <w:p w14:paraId="64CAE886" w14:textId="77777777" w:rsidR="00B5151A" w:rsidRDefault="00B5151A" w:rsidP="00B5151A">
            <w:pPr>
              <w:pStyle w:val="TAC"/>
              <w:rPr>
                <w:lang w:eastAsia="ko-KR"/>
              </w:rPr>
            </w:pPr>
          </w:p>
        </w:tc>
      </w:tr>
      <w:tr w:rsidR="00B5151A" w14:paraId="52795A5F" w14:textId="77777777" w:rsidTr="00D96CB3">
        <w:tc>
          <w:tcPr>
            <w:tcW w:w="3835" w:type="dxa"/>
          </w:tcPr>
          <w:p w14:paraId="66C90706" w14:textId="77777777" w:rsidR="00B5151A" w:rsidRDefault="00B5151A" w:rsidP="00B5151A">
            <w:pPr>
              <w:pStyle w:val="TAC"/>
              <w:rPr>
                <w:lang w:eastAsia="ko-KR"/>
              </w:rPr>
            </w:pPr>
          </w:p>
        </w:tc>
        <w:tc>
          <w:tcPr>
            <w:tcW w:w="5794" w:type="dxa"/>
          </w:tcPr>
          <w:p w14:paraId="491F57D5" w14:textId="77777777" w:rsidR="00B5151A" w:rsidRDefault="00B5151A" w:rsidP="00B5151A">
            <w:pPr>
              <w:pStyle w:val="TAC"/>
              <w:rPr>
                <w:lang w:eastAsia="ko-KR"/>
              </w:rPr>
            </w:pPr>
          </w:p>
        </w:tc>
      </w:tr>
      <w:tr w:rsidR="00B5151A" w14:paraId="329F6CE1" w14:textId="77777777" w:rsidTr="00D96CB3">
        <w:tc>
          <w:tcPr>
            <w:tcW w:w="3835" w:type="dxa"/>
          </w:tcPr>
          <w:p w14:paraId="148CE01B" w14:textId="77777777" w:rsidR="00B5151A" w:rsidRDefault="00B5151A" w:rsidP="00B5151A">
            <w:pPr>
              <w:pStyle w:val="TAC"/>
              <w:rPr>
                <w:lang w:eastAsia="ko-KR"/>
              </w:rPr>
            </w:pPr>
          </w:p>
        </w:tc>
        <w:tc>
          <w:tcPr>
            <w:tcW w:w="5794" w:type="dxa"/>
          </w:tcPr>
          <w:p w14:paraId="7B7E2D5E" w14:textId="77777777" w:rsidR="00B5151A" w:rsidRDefault="00B5151A" w:rsidP="00B5151A">
            <w:pPr>
              <w:pStyle w:val="TAC"/>
              <w:rPr>
                <w:lang w:eastAsia="ko-KR"/>
              </w:rPr>
            </w:pPr>
          </w:p>
        </w:tc>
      </w:tr>
      <w:tr w:rsidR="00B5151A" w14:paraId="512D3572" w14:textId="77777777" w:rsidTr="00D96CB3">
        <w:tc>
          <w:tcPr>
            <w:tcW w:w="3835" w:type="dxa"/>
          </w:tcPr>
          <w:p w14:paraId="2920C5C9" w14:textId="77777777" w:rsidR="00B5151A" w:rsidRDefault="00B5151A" w:rsidP="00B5151A">
            <w:pPr>
              <w:pStyle w:val="TAC"/>
              <w:rPr>
                <w:lang w:eastAsia="ko-KR"/>
              </w:rPr>
            </w:pPr>
          </w:p>
        </w:tc>
        <w:tc>
          <w:tcPr>
            <w:tcW w:w="5794" w:type="dxa"/>
          </w:tcPr>
          <w:p w14:paraId="695085E3" w14:textId="77777777" w:rsidR="00B5151A" w:rsidRDefault="00B5151A" w:rsidP="00B5151A">
            <w:pPr>
              <w:pStyle w:val="TAC"/>
              <w:rPr>
                <w:lang w:eastAsia="ko-KR"/>
              </w:rPr>
            </w:pPr>
          </w:p>
        </w:tc>
      </w:tr>
      <w:tr w:rsidR="00B5151A" w14:paraId="6CBFC8BF" w14:textId="77777777" w:rsidTr="00D96CB3">
        <w:tc>
          <w:tcPr>
            <w:tcW w:w="3835" w:type="dxa"/>
          </w:tcPr>
          <w:p w14:paraId="4E684A67" w14:textId="77777777" w:rsidR="00B5151A" w:rsidRDefault="00B5151A" w:rsidP="00B5151A">
            <w:pPr>
              <w:pStyle w:val="TAC"/>
              <w:rPr>
                <w:lang w:eastAsia="ko-KR"/>
              </w:rPr>
            </w:pPr>
          </w:p>
        </w:tc>
        <w:tc>
          <w:tcPr>
            <w:tcW w:w="5794" w:type="dxa"/>
          </w:tcPr>
          <w:p w14:paraId="11FB3227" w14:textId="77777777" w:rsidR="00B5151A" w:rsidRDefault="00B5151A" w:rsidP="00B5151A">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43686A" w:rsidP="005B2669">
      <w:pPr>
        <w:pStyle w:val="Doc-title"/>
      </w:pPr>
      <w:hyperlink r:id="rId15"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43686A" w:rsidP="005B2669">
      <w:pPr>
        <w:pStyle w:val="Doc-title"/>
      </w:pPr>
      <w:hyperlink r:id="rId16"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43686A" w:rsidP="005B2669">
      <w:pPr>
        <w:pStyle w:val="Doc-title"/>
      </w:pPr>
      <w:hyperlink r:id="rId17"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43686A" w:rsidP="005B2669">
      <w:pPr>
        <w:pStyle w:val="Doc-title"/>
      </w:pPr>
      <w:hyperlink r:id="rId18"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BE6D32" w14:paraId="636E088E" w14:textId="77777777" w:rsidTr="00E83BDD">
        <w:tc>
          <w:tcPr>
            <w:tcW w:w="1915" w:type="dxa"/>
          </w:tcPr>
          <w:p w14:paraId="636E088B" w14:textId="02EA97E3" w:rsidR="00BE6D32" w:rsidRDefault="00BE6D32" w:rsidP="00BE6D32">
            <w:pPr>
              <w:pStyle w:val="TAC"/>
              <w:rPr>
                <w:lang w:eastAsia="ko-KR"/>
              </w:rPr>
            </w:pPr>
          </w:p>
        </w:tc>
        <w:tc>
          <w:tcPr>
            <w:tcW w:w="2049" w:type="dxa"/>
          </w:tcPr>
          <w:p w14:paraId="636E088C" w14:textId="47116F60" w:rsidR="00BE6D32" w:rsidRPr="00632231" w:rsidRDefault="00BE6D32" w:rsidP="00BE6D32">
            <w:pPr>
              <w:pStyle w:val="TAC"/>
              <w:rPr>
                <w:rFonts w:eastAsia="SimSun"/>
                <w:lang w:eastAsia="zh-CN"/>
              </w:rPr>
            </w:pPr>
          </w:p>
        </w:tc>
        <w:tc>
          <w:tcPr>
            <w:tcW w:w="5665" w:type="dxa"/>
          </w:tcPr>
          <w:p w14:paraId="636E088D" w14:textId="5F9A8C9E" w:rsidR="00BE6D32" w:rsidRPr="00632231" w:rsidRDefault="00BE6D32" w:rsidP="00BE6D32">
            <w:pPr>
              <w:pStyle w:val="TAL"/>
              <w:rPr>
                <w:rFonts w:eastAsia="SimSun"/>
                <w:lang w:eastAsia="zh-CN"/>
              </w:rPr>
            </w:pPr>
          </w:p>
        </w:tc>
      </w:tr>
      <w:tr w:rsidR="00BE6D32" w14:paraId="636E0892" w14:textId="77777777" w:rsidTr="00E83BDD">
        <w:tc>
          <w:tcPr>
            <w:tcW w:w="1915" w:type="dxa"/>
          </w:tcPr>
          <w:p w14:paraId="636E088F" w14:textId="0C9D94A5" w:rsidR="00BE6D32" w:rsidRDefault="00BE6D32" w:rsidP="00BE6D32">
            <w:pPr>
              <w:pStyle w:val="TAC"/>
              <w:rPr>
                <w:lang w:eastAsia="ko-KR"/>
              </w:rPr>
            </w:pPr>
          </w:p>
        </w:tc>
        <w:tc>
          <w:tcPr>
            <w:tcW w:w="2049" w:type="dxa"/>
          </w:tcPr>
          <w:p w14:paraId="636E0890" w14:textId="7CD1830D" w:rsidR="00BE6D32" w:rsidRDefault="00BE6D32" w:rsidP="00BE6D32">
            <w:pPr>
              <w:pStyle w:val="TAC"/>
              <w:rPr>
                <w:lang w:eastAsia="ko-KR"/>
              </w:rPr>
            </w:pPr>
          </w:p>
        </w:tc>
        <w:tc>
          <w:tcPr>
            <w:tcW w:w="5665" w:type="dxa"/>
          </w:tcPr>
          <w:p w14:paraId="636E0891" w14:textId="77777777" w:rsidR="00BE6D32" w:rsidRDefault="00BE6D32" w:rsidP="00BE6D32">
            <w:pPr>
              <w:pStyle w:val="TAL"/>
              <w:rPr>
                <w:lang w:eastAsia="ko-KR"/>
              </w:rPr>
            </w:pPr>
          </w:p>
        </w:tc>
      </w:tr>
      <w:tr w:rsidR="00BE6D32" w14:paraId="2981EB22" w14:textId="77777777" w:rsidTr="00E83BDD">
        <w:tc>
          <w:tcPr>
            <w:tcW w:w="1915" w:type="dxa"/>
          </w:tcPr>
          <w:p w14:paraId="1289EE64" w14:textId="77777777" w:rsidR="00BE6D32" w:rsidRDefault="00BE6D32" w:rsidP="00BE6D32">
            <w:pPr>
              <w:pStyle w:val="TAC"/>
              <w:rPr>
                <w:lang w:eastAsia="ko-KR"/>
              </w:rPr>
            </w:pPr>
          </w:p>
        </w:tc>
        <w:tc>
          <w:tcPr>
            <w:tcW w:w="2049" w:type="dxa"/>
          </w:tcPr>
          <w:p w14:paraId="508B402E" w14:textId="77777777" w:rsidR="00BE6D32" w:rsidRDefault="00BE6D32" w:rsidP="00BE6D32">
            <w:pPr>
              <w:pStyle w:val="TAC"/>
              <w:rPr>
                <w:lang w:eastAsia="ko-KR"/>
              </w:rPr>
            </w:pPr>
          </w:p>
        </w:tc>
        <w:tc>
          <w:tcPr>
            <w:tcW w:w="5665" w:type="dxa"/>
          </w:tcPr>
          <w:p w14:paraId="0929F3FD" w14:textId="77777777" w:rsidR="00BE6D32" w:rsidRDefault="00BE6D32" w:rsidP="00BE6D32">
            <w:pPr>
              <w:pStyle w:val="TAL"/>
              <w:rPr>
                <w:lang w:eastAsia="ko-KR"/>
              </w:rPr>
            </w:pPr>
          </w:p>
        </w:tc>
      </w:tr>
      <w:tr w:rsidR="00BE6D32" w14:paraId="20B22FAE" w14:textId="77777777" w:rsidTr="00E83BDD">
        <w:tc>
          <w:tcPr>
            <w:tcW w:w="1915" w:type="dxa"/>
          </w:tcPr>
          <w:p w14:paraId="78262FFF" w14:textId="77777777" w:rsidR="00BE6D32" w:rsidRDefault="00BE6D32" w:rsidP="00BE6D32">
            <w:pPr>
              <w:pStyle w:val="TAC"/>
              <w:rPr>
                <w:lang w:eastAsia="ko-KR"/>
              </w:rPr>
            </w:pPr>
          </w:p>
        </w:tc>
        <w:tc>
          <w:tcPr>
            <w:tcW w:w="2049" w:type="dxa"/>
          </w:tcPr>
          <w:p w14:paraId="6C0C2FC3" w14:textId="77777777" w:rsidR="00BE6D32" w:rsidRDefault="00BE6D32" w:rsidP="00BE6D32">
            <w:pPr>
              <w:pStyle w:val="TAC"/>
              <w:rPr>
                <w:lang w:eastAsia="ko-KR"/>
              </w:rPr>
            </w:pPr>
          </w:p>
        </w:tc>
        <w:tc>
          <w:tcPr>
            <w:tcW w:w="5665" w:type="dxa"/>
          </w:tcPr>
          <w:p w14:paraId="2A913BDC" w14:textId="77777777" w:rsidR="00BE6D32" w:rsidRDefault="00BE6D32" w:rsidP="00BE6D32">
            <w:pPr>
              <w:pStyle w:val="TAL"/>
              <w:rPr>
                <w:lang w:eastAsia="ko-KR"/>
              </w:rPr>
            </w:pPr>
          </w:p>
        </w:tc>
      </w:tr>
      <w:tr w:rsidR="00BE6D32" w14:paraId="648CB2A3" w14:textId="77777777" w:rsidTr="00E83BDD">
        <w:tc>
          <w:tcPr>
            <w:tcW w:w="1915" w:type="dxa"/>
          </w:tcPr>
          <w:p w14:paraId="6EDBE7FF" w14:textId="77777777" w:rsidR="00BE6D32" w:rsidRDefault="00BE6D32" w:rsidP="00BE6D32">
            <w:pPr>
              <w:pStyle w:val="TAC"/>
              <w:rPr>
                <w:lang w:eastAsia="ko-KR"/>
              </w:rPr>
            </w:pPr>
          </w:p>
        </w:tc>
        <w:tc>
          <w:tcPr>
            <w:tcW w:w="2049" w:type="dxa"/>
          </w:tcPr>
          <w:p w14:paraId="05600DE9" w14:textId="77777777" w:rsidR="00BE6D32" w:rsidRDefault="00BE6D32" w:rsidP="00BE6D32">
            <w:pPr>
              <w:pStyle w:val="TAC"/>
              <w:rPr>
                <w:lang w:eastAsia="ko-KR"/>
              </w:rPr>
            </w:pPr>
          </w:p>
        </w:tc>
        <w:tc>
          <w:tcPr>
            <w:tcW w:w="5665" w:type="dxa"/>
          </w:tcPr>
          <w:p w14:paraId="51026941" w14:textId="77777777" w:rsidR="00BE6D32" w:rsidRDefault="00BE6D32" w:rsidP="00BE6D32">
            <w:pPr>
              <w:pStyle w:val="TAL"/>
              <w:rPr>
                <w:lang w:eastAsia="ko-KR"/>
              </w:rPr>
            </w:pPr>
          </w:p>
        </w:tc>
      </w:tr>
      <w:tr w:rsidR="00BE6D32" w14:paraId="1B3EA011" w14:textId="77777777" w:rsidTr="00E83BDD">
        <w:tc>
          <w:tcPr>
            <w:tcW w:w="1915" w:type="dxa"/>
          </w:tcPr>
          <w:p w14:paraId="04ADF0C2" w14:textId="77777777" w:rsidR="00BE6D32" w:rsidRDefault="00BE6D32" w:rsidP="00BE6D32">
            <w:pPr>
              <w:pStyle w:val="TAC"/>
              <w:rPr>
                <w:lang w:eastAsia="ko-KR"/>
              </w:rPr>
            </w:pPr>
          </w:p>
        </w:tc>
        <w:tc>
          <w:tcPr>
            <w:tcW w:w="2049" w:type="dxa"/>
          </w:tcPr>
          <w:p w14:paraId="1FF9F847" w14:textId="77777777" w:rsidR="00BE6D32" w:rsidRDefault="00BE6D32" w:rsidP="00BE6D32">
            <w:pPr>
              <w:pStyle w:val="TAC"/>
              <w:rPr>
                <w:lang w:eastAsia="ko-KR"/>
              </w:rPr>
            </w:pPr>
          </w:p>
        </w:tc>
        <w:tc>
          <w:tcPr>
            <w:tcW w:w="5665" w:type="dxa"/>
          </w:tcPr>
          <w:p w14:paraId="53B67F4D" w14:textId="77777777" w:rsidR="00BE6D32" w:rsidRDefault="00BE6D32" w:rsidP="00BE6D32">
            <w:pPr>
              <w:pStyle w:val="TAL"/>
              <w:rPr>
                <w:lang w:eastAsia="ko-KR"/>
              </w:rPr>
            </w:pPr>
          </w:p>
        </w:tc>
      </w:tr>
      <w:tr w:rsidR="00BE6D32" w14:paraId="025991DE" w14:textId="77777777" w:rsidTr="00E83BDD">
        <w:tc>
          <w:tcPr>
            <w:tcW w:w="1915" w:type="dxa"/>
          </w:tcPr>
          <w:p w14:paraId="4C8F5FA7" w14:textId="77777777" w:rsidR="00BE6D32" w:rsidRDefault="00BE6D32" w:rsidP="00BE6D32">
            <w:pPr>
              <w:pStyle w:val="TAC"/>
              <w:rPr>
                <w:lang w:eastAsia="ko-KR"/>
              </w:rPr>
            </w:pPr>
          </w:p>
        </w:tc>
        <w:tc>
          <w:tcPr>
            <w:tcW w:w="2049" w:type="dxa"/>
          </w:tcPr>
          <w:p w14:paraId="33555B57" w14:textId="77777777" w:rsidR="00BE6D32" w:rsidRDefault="00BE6D32" w:rsidP="00BE6D32">
            <w:pPr>
              <w:pStyle w:val="TAC"/>
              <w:rPr>
                <w:lang w:eastAsia="ko-KR"/>
              </w:rPr>
            </w:pPr>
          </w:p>
        </w:tc>
        <w:tc>
          <w:tcPr>
            <w:tcW w:w="5665" w:type="dxa"/>
          </w:tcPr>
          <w:p w14:paraId="6C9DF1FE" w14:textId="77777777" w:rsidR="00BE6D32" w:rsidRDefault="00BE6D32" w:rsidP="00BE6D32">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43686A" w:rsidP="00A377B3">
      <w:pPr>
        <w:pStyle w:val="Doc-title"/>
      </w:pPr>
      <w:hyperlink r:id="rId19"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16253B" w14:paraId="26AA9A67" w14:textId="77777777" w:rsidTr="005D752D">
        <w:tc>
          <w:tcPr>
            <w:tcW w:w="1915" w:type="dxa"/>
          </w:tcPr>
          <w:p w14:paraId="2651B06D" w14:textId="77777777" w:rsidR="0016253B" w:rsidRDefault="0016253B" w:rsidP="0016253B">
            <w:pPr>
              <w:pStyle w:val="TAC"/>
              <w:rPr>
                <w:lang w:eastAsia="ko-KR"/>
              </w:rPr>
            </w:pPr>
          </w:p>
        </w:tc>
        <w:tc>
          <w:tcPr>
            <w:tcW w:w="2049" w:type="dxa"/>
          </w:tcPr>
          <w:p w14:paraId="26EA12B3" w14:textId="77777777" w:rsidR="0016253B" w:rsidRDefault="0016253B" w:rsidP="0016253B">
            <w:pPr>
              <w:pStyle w:val="TAC"/>
              <w:rPr>
                <w:lang w:eastAsia="ko-KR"/>
              </w:rPr>
            </w:pPr>
          </w:p>
        </w:tc>
        <w:tc>
          <w:tcPr>
            <w:tcW w:w="5665" w:type="dxa"/>
          </w:tcPr>
          <w:p w14:paraId="7CDC3357" w14:textId="77777777" w:rsidR="0016253B" w:rsidRDefault="0016253B" w:rsidP="0016253B">
            <w:pPr>
              <w:pStyle w:val="TAL"/>
              <w:rPr>
                <w:lang w:eastAsia="ko-KR"/>
              </w:rPr>
            </w:pPr>
          </w:p>
        </w:tc>
      </w:tr>
      <w:tr w:rsidR="0016253B" w14:paraId="0EF58FDF" w14:textId="77777777" w:rsidTr="005D752D">
        <w:tc>
          <w:tcPr>
            <w:tcW w:w="1915" w:type="dxa"/>
          </w:tcPr>
          <w:p w14:paraId="79F21664" w14:textId="77777777" w:rsidR="0016253B" w:rsidRDefault="0016253B" w:rsidP="0016253B">
            <w:pPr>
              <w:pStyle w:val="TAC"/>
              <w:rPr>
                <w:lang w:eastAsia="ko-KR"/>
              </w:rPr>
            </w:pPr>
          </w:p>
        </w:tc>
        <w:tc>
          <w:tcPr>
            <w:tcW w:w="2049" w:type="dxa"/>
          </w:tcPr>
          <w:p w14:paraId="5751E447" w14:textId="77777777" w:rsidR="0016253B" w:rsidRDefault="0016253B" w:rsidP="0016253B">
            <w:pPr>
              <w:pStyle w:val="TAC"/>
              <w:rPr>
                <w:lang w:eastAsia="ko-KR"/>
              </w:rPr>
            </w:pPr>
          </w:p>
        </w:tc>
        <w:tc>
          <w:tcPr>
            <w:tcW w:w="5665" w:type="dxa"/>
          </w:tcPr>
          <w:p w14:paraId="7BAF4BA2" w14:textId="77777777" w:rsidR="0016253B" w:rsidRDefault="0016253B" w:rsidP="0016253B">
            <w:pPr>
              <w:pStyle w:val="TAL"/>
              <w:rPr>
                <w:lang w:eastAsia="ko-KR"/>
              </w:rPr>
            </w:pPr>
          </w:p>
        </w:tc>
      </w:tr>
      <w:tr w:rsidR="0016253B" w14:paraId="2362F79D" w14:textId="77777777" w:rsidTr="005D752D">
        <w:tc>
          <w:tcPr>
            <w:tcW w:w="1915" w:type="dxa"/>
          </w:tcPr>
          <w:p w14:paraId="7D9D27F6" w14:textId="77777777" w:rsidR="0016253B" w:rsidRDefault="0016253B" w:rsidP="0016253B">
            <w:pPr>
              <w:pStyle w:val="TAC"/>
              <w:rPr>
                <w:lang w:eastAsia="ko-KR"/>
              </w:rPr>
            </w:pPr>
          </w:p>
        </w:tc>
        <w:tc>
          <w:tcPr>
            <w:tcW w:w="2049" w:type="dxa"/>
          </w:tcPr>
          <w:p w14:paraId="1113134A" w14:textId="77777777" w:rsidR="0016253B" w:rsidRDefault="0016253B" w:rsidP="0016253B">
            <w:pPr>
              <w:pStyle w:val="TAC"/>
              <w:rPr>
                <w:lang w:eastAsia="ko-KR"/>
              </w:rPr>
            </w:pPr>
          </w:p>
        </w:tc>
        <w:tc>
          <w:tcPr>
            <w:tcW w:w="5665" w:type="dxa"/>
          </w:tcPr>
          <w:p w14:paraId="23D7A85F" w14:textId="77777777" w:rsidR="0016253B" w:rsidRDefault="0016253B" w:rsidP="0016253B">
            <w:pPr>
              <w:pStyle w:val="TAL"/>
              <w:rPr>
                <w:lang w:eastAsia="ko-KR"/>
              </w:rPr>
            </w:pPr>
          </w:p>
        </w:tc>
      </w:tr>
      <w:tr w:rsidR="0016253B" w14:paraId="6AE35A7A" w14:textId="77777777" w:rsidTr="005D752D">
        <w:tc>
          <w:tcPr>
            <w:tcW w:w="1915" w:type="dxa"/>
          </w:tcPr>
          <w:p w14:paraId="26C2173B" w14:textId="77777777" w:rsidR="0016253B" w:rsidRDefault="0016253B" w:rsidP="0016253B">
            <w:pPr>
              <w:pStyle w:val="TAC"/>
              <w:rPr>
                <w:lang w:eastAsia="ko-KR"/>
              </w:rPr>
            </w:pPr>
          </w:p>
        </w:tc>
        <w:tc>
          <w:tcPr>
            <w:tcW w:w="2049" w:type="dxa"/>
          </w:tcPr>
          <w:p w14:paraId="7F01FA10" w14:textId="77777777" w:rsidR="0016253B" w:rsidRDefault="0016253B" w:rsidP="0016253B">
            <w:pPr>
              <w:pStyle w:val="TAC"/>
              <w:rPr>
                <w:lang w:eastAsia="ko-KR"/>
              </w:rPr>
            </w:pPr>
          </w:p>
        </w:tc>
        <w:tc>
          <w:tcPr>
            <w:tcW w:w="5665" w:type="dxa"/>
          </w:tcPr>
          <w:p w14:paraId="09E32A88" w14:textId="77777777" w:rsidR="0016253B" w:rsidRDefault="0016253B" w:rsidP="0016253B">
            <w:pPr>
              <w:pStyle w:val="TAL"/>
              <w:rPr>
                <w:lang w:eastAsia="ko-KR"/>
              </w:rPr>
            </w:pPr>
          </w:p>
        </w:tc>
      </w:tr>
      <w:tr w:rsidR="0016253B" w14:paraId="73D860B3" w14:textId="77777777" w:rsidTr="005D752D">
        <w:tc>
          <w:tcPr>
            <w:tcW w:w="1915" w:type="dxa"/>
          </w:tcPr>
          <w:p w14:paraId="2F12E791" w14:textId="77777777" w:rsidR="0016253B" w:rsidRDefault="0016253B" w:rsidP="0016253B">
            <w:pPr>
              <w:pStyle w:val="TAC"/>
              <w:rPr>
                <w:lang w:eastAsia="ko-KR"/>
              </w:rPr>
            </w:pPr>
          </w:p>
        </w:tc>
        <w:tc>
          <w:tcPr>
            <w:tcW w:w="2049" w:type="dxa"/>
          </w:tcPr>
          <w:p w14:paraId="034A793A" w14:textId="77777777" w:rsidR="0016253B" w:rsidRDefault="0016253B" w:rsidP="0016253B">
            <w:pPr>
              <w:pStyle w:val="TAC"/>
              <w:rPr>
                <w:lang w:eastAsia="ko-KR"/>
              </w:rPr>
            </w:pPr>
          </w:p>
        </w:tc>
        <w:tc>
          <w:tcPr>
            <w:tcW w:w="5665" w:type="dxa"/>
          </w:tcPr>
          <w:p w14:paraId="5B19477D" w14:textId="77777777" w:rsidR="0016253B" w:rsidRDefault="0016253B" w:rsidP="0016253B">
            <w:pPr>
              <w:pStyle w:val="TAL"/>
              <w:rPr>
                <w:lang w:eastAsia="ko-KR"/>
              </w:rPr>
            </w:pPr>
          </w:p>
        </w:tc>
      </w:tr>
      <w:tr w:rsidR="0016253B" w14:paraId="7544474C" w14:textId="77777777" w:rsidTr="005D752D">
        <w:tc>
          <w:tcPr>
            <w:tcW w:w="1915" w:type="dxa"/>
          </w:tcPr>
          <w:p w14:paraId="4F029F26" w14:textId="77777777" w:rsidR="0016253B" w:rsidRDefault="0016253B" w:rsidP="0016253B">
            <w:pPr>
              <w:pStyle w:val="TAC"/>
              <w:rPr>
                <w:lang w:eastAsia="ko-KR"/>
              </w:rPr>
            </w:pPr>
          </w:p>
        </w:tc>
        <w:tc>
          <w:tcPr>
            <w:tcW w:w="2049" w:type="dxa"/>
          </w:tcPr>
          <w:p w14:paraId="32A052D7" w14:textId="77777777" w:rsidR="0016253B" w:rsidRDefault="0016253B" w:rsidP="0016253B">
            <w:pPr>
              <w:pStyle w:val="TAC"/>
              <w:rPr>
                <w:lang w:eastAsia="ko-KR"/>
              </w:rPr>
            </w:pPr>
          </w:p>
        </w:tc>
        <w:tc>
          <w:tcPr>
            <w:tcW w:w="5665" w:type="dxa"/>
          </w:tcPr>
          <w:p w14:paraId="4B96DA5F" w14:textId="77777777" w:rsidR="0016253B" w:rsidRDefault="0016253B" w:rsidP="0016253B">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43686A" w:rsidP="00A377B3">
      <w:pPr>
        <w:pStyle w:val="Doc-title"/>
      </w:pPr>
      <w:hyperlink r:id="rId20"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lastRenderedPageBreak/>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proofErr w:type="gramStart"/>
            <w:r>
              <w:rPr>
                <w:rFonts w:eastAsia="SimSun" w:hint="eastAsia"/>
                <w:lang w:val="en-US" w:eastAsia="zh-CN"/>
              </w:rPr>
              <w:t>Thus</w:t>
            </w:r>
            <w:proofErr w:type="gramEnd"/>
            <w:r>
              <w:rPr>
                <w:rFonts w:eastAsia="SimSun" w:hint="eastAsia"/>
                <w:lang w:val="en-US" w:eastAsia="zh-CN"/>
              </w:rPr>
              <w:t xml:space="preserve">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w:t>
            </w:r>
            <w:proofErr w:type="gramStart"/>
            <w:r w:rsidRPr="00B07C4B">
              <w:rPr>
                <w:rFonts w:ascii="Arial" w:hAnsi="Arial" w:cs="Arial"/>
                <w:sz w:val="18"/>
                <w:szCs w:val="18"/>
                <w:lang w:eastAsia="ko-KR"/>
              </w:rPr>
              <w:t>needed</w:t>
            </w:r>
            <w:proofErr w:type="gramEnd"/>
            <w:r w:rsidRPr="00B07C4B">
              <w:rPr>
                <w:rFonts w:ascii="Arial" w:hAnsi="Arial" w:cs="Arial"/>
                <w:sz w:val="18"/>
                <w:szCs w:val="18"/>
                <w:lang w:eastAsia="ko-KR"/>
              </w:rPr>
              <w:t xml:space="preserve">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DA7A01" w14:paraId="45386259" w14:textId="77777777" w:rsidTr="005D752D">
        <w:tc>
          <w:tcPr>
            <w:tcW w:w="1915" w:type="dxa"/>
          </w:tcPr>
          <w:p w14:paraId="4095DF65" w14:textId="77777777" w:rsidR="00DA7A01" w:rsidRDefault="00DA7A01" w:rsidP="00DA7A01">
            <w:pPr>
              <w:pStyle w:val="TAC"/>
              <w:rPr>
                <w:lang w:eastAsia="ko-KR"/>
              </w:rPr>
            </w:pPr>
          </w:p>
        </w:tc>
        <w:tc>
          <w:tcPr>
            <w:tcW w:w="2049" w:type="dxa"/>
          </w:tcPr>
          <w:p w14:paraId="50A7EDEC" w14:textId="77777777" w:rsidR="00DA7A01" w:rsidRDefault="00DA7A01" w:rsidP="00DA7A01">
            <w:pPr>
              <w:pStyle w:val="TAC"/>
              <w:rPr>
                <w:lang w:eastAsia="ko-KR"/>
              </w:rPr>
            </w:pPr>
          </w:p>
        </w:tc>
        <w:tc>
          <w:tcPr>
            <w:tcW w:w="5665" w:type="dxa"/>
          </w:tcPr>
          <w:p w14:paraId="555F5478" w14:textId="77777777" w:rsidR="00DA7A01" w:rsidRDefault="00DA7A01" w:rsidP="00DA7A01">
            <w:pPr>
              <w:pStyle w:val="TAL"/>
              <w:rPr>
                <w:lang w:eastAsia="ko-KR"/>
              </w:rPr>
            </w:pPr>
          </w:p>
        </w:tc>
      </w:tr>
      <w:tr w:rsidR="00DA7A01" w14:paraId="3175184E" w14:textId="77777777" w:rsidTr="005D752D">
        <w:tc>
          <w:tcPr>
            <w:tcW w:w="1915" w:type="dxa"/>
          </w:tcPr>
          <w:p w14:paraId="1F21D99C" w14:textId="77777777" w:rsidR="00DA7A01" w:rsidRDefault="00DA7A01" w:rsidP="00DA7A01">
            <w:pPr>
              <w:pStyle w:val="TAC"/>
              <w:rPr>
                <w:lang w:eastAsia="ko-KR"/>
              </w:rPr>
            </w:pPr>
          </w:p>
        </w:tc>
        <w:tc>
          <w:tcPr>
            <w:tcW w:w="2049" w:type="dxa"/>
          </w:tcPr>
          <w:p w14:paraId="70A5F103" w14:textId="77777777" w:rsidR="00DA7A01" w:rsidRDefault="00DA7A01" w:rsidP="00DA7A01">
            <w:pPr>
              <w:pStyle w:val="TAC"/>
              <w:rPr>
                <w:lang w:eastAsia="ko-KR"/>
              </w:rPr>
            </w:pPr>
          </w:p>
        </w:tc>
        <w:tc>
          <w:tcPr>
            <w:tcW w:w="5665" w:type="dxa"/>
          </w:tcPr>
          <w:p w14:paraId="291BFAE6" w14:textId="77777777" w:rsidR="00DA7A01" w:rsidRDefault="00DA7A01" w:rsidP="00DA7A01">
            <w:pPr>
              <w:pStyle w:val="TAL"/>
              <w:rPr>
                <w:lang w:eastAsia="ko-KR"/>
              </w:rPr>
            </w:pPr>
          </w:p>
        </w:tc>
      </w:tr>
      <w:tr w:rsidR="00DA7A01" w14:paraId="645A346A" w14:textId="77777777" w:rsidTr="005D752D">
        <w:tc>
          <w:tcPr>
            <w:tcW w:w="1915" w:type="dxa"/>
          </w:tcPr>
          <w:p w14:paraId="74323E80" w14:textId="77777777" w:rsidR="00DA7A01" w:rsidRDefault="00DA7A01" w:rsidP="00DA7A01">
            <w:pPr>
              <w:pStyle w:val="TAC"/>
              <w:rPr>
                <w:lang w:eastAsia="ko-KR"/>
              </w:rPr>
            </w:pPr>
          </w:p>
        </w:tc>
        <w:tc>
          <w:tcPr>
            <w:tcW w:w="2049" w:type="dxa"/>
          </w:tcPr>
          <w:p w14:paraId="4694B05B" w14:textId="77777777" w:rsidR="00DA7A01" w:rsidRDefault="00DA7A01" w:rsidP="00DA7A01">
            <w:pPr>
              <w:pStyle w:val="TAC"/>
              <w:rPr>
                <w:lang w:eastAsia="ko-KR"/>
              </w:rPr>
            </w:pPr>
          </w:p>
        </w:tc>
        <w:tc>
          <w:tcPr>
            <w:tcW w:w="5665" w:type="dxa"/>
          </w:tcPr>
          <w:p w14:paraId="513E76A3" w14:textId="77777777" w:rsidR="00DA7A01" w:rsidRDefault="00DA7A01" w:rsidP="00DA7A01">
            <w:pPr>
              <w:pStyle w:val="TAL"/>
              <w:rPr>
                <w:lang w:eastAsia="ko-KR"/>
              </w:rPr>
            </w:pPr>
          </w:p>
        </w:tc>
      </w:tr>
      <w:tr w:rsidR="00DA7A01" w14:paraId="1A676784" w14:textId="77777777" w:rsidTr="005D752D">
        <w:tc>
          <w:tcPr>
            <w:tcW w:w="1915" w:type="dxa"/>
          </w:tcPr>
          <w:p w14:paraId="7399A13E" w14:textId="77777777" w:rsidR="00DA7A01" w:rsidRDefault="00DA7A01" w:rsidP="00DA7A01">
            <w:pPr>
              <w:pStyle w:val="TAC"/>
              <w:rPr>
                <w:lang w:eastAsia="ko-KR"/>
              </w:rPr>
            </w:pPr>
          </w:p>
        </w:tc>
        <w:tc>
          <w:tcPr>
            <w:tcW w:w="2049" w:type="dxa"/>
          </w:tcPr>
          <w:p w14:paraId="67CBC673" w14:textId="77777777" w:rsidR="00DA7A01" w:rsidRDefault="00DA7A01" w:rsidP="00DA7A01">
            <w:pPr>
              <w:pStyle w:val="TAC"/>
              <w:rPr>
                <w:lang w:eastAsia="ko-KR"/>
              </w:rPr>
            </w:pPr>
          </w:p>
        </w:tc>
        <w:tc>
          <w:tcPr>
            <w:tcW w:w="5665" w:type="dxa"/>
          </w:tcPr>
          <w:p w14:paraId="0F891E98" w14:textId="77777777" w:rsidR="00DA7A01" w:rsidRDefault="00DA7A01" w:rsidP="00DA7A01">
            <w:pPr>
              <w:pStyle w:val="TAL"/>
              <w:rPr>
                <w:lang w:eastAsia="ko-KR"/>
              </w:rPr>
            </w:pPr>
          </w:p>
        </w:tc>
      </w:tr>
      <w:tr w:rsidR="00DA7A01" w14:paraId="410E6C99" w14:textId="77777777" w:rsidTr="005D752D">
        <w:tc>
          <w:tcPr>
            <w:tcW w:w="1915" w:type="dxa"/>
          </w:tcPr>
          <w:p w14:paraId="0BFAF292" w14:textId="77777777" w:rsidR="00DA7A01" w:rsidRDefault="00DA7A01" w:rsidP="00DA7A01">
            <w:pPr>
              <w:pStyle w:val="TAC"/>
              <w:rPr>
                <w:lang w:eastAsia="ko-KR"/>
              </w:rPr>
            </w:pPr>
          </w:p>
        </w:tc>
        <w:tc>
          <w:tcPr>
            <w:tcW w:w="2049" w:type="dxa"/>
          </w:tcPr>
          <w:p w14:paraId="353886AF" w14:textId="77777777" w:rsidR="00DA7A01" w:rsidRDefault="00DA7A01" w:rsidP="00DA7A01">
            <w:pPr>
              <w:pStyle w:val="TAC"/>
              <w:rPr>
                <w:lang w:eastAsia="ko-KR"/>
              </w:rPr>
            </w:pPr>
          </w:p>
        </w:tc>
        <w:tc>
          <w:tcPr>
            <w:tcW w:w="5665" w:type="dxa"/>
          </w:tcPr>
          <w:p w14:paraId="5493B187" w14:textId="77777777" w:rsidR="00DA7A01" w:rsidRDefault="00DA7A01" w:rsidP="00DA7A01">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43686A" w:rsidP="00A377B3">
      <w:pPr>
        <w:pStyle w:val="Doc-title"/>
      </w:pPr>
      <w:hyperlink r:id="rId21"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43686A" w:rsidP="00A377B3">
      <w:pPr>
        <w:pStyle w:val="Doc-title"/>
      </w:pPr>
      <w:hyperlink r:id="rId22"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77777777" w:rsidR="00295D5D" w:rsidRDefault="00295D5D" w:rsidP="00B07C4B">
            <w:pPr>
              <w:pStyle w:val="TAL"/>
              <w:rPr>
                <w:rFonts w:eastAsia="SimSun"/>
                <w:lang w:eastAsia="zh-CN"/>
              </w:rPr>
            </w:pPr>
          </w:p>
          <w:p w14:paraId="40C569FE" w14:textId="058F3AD7"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5BA401E3" w14:textId="77777777" w:rsidR="00FB1E56" w:rsidRDefault="00FB1E56" w:rsidP="00B07C4B">
            <w:pPr>
              <w:pStyle w:val="TAL"/>
              <w:rPr>
                <w:rFonts w:eastAsia="SimSun"/>
                <w:lang w:eastAsia="zh-CN"/>
              </w:rPr>
            </w:pPr>
          </w:p>
          <w:p w14:paraId="6D62E891" w14:textId="77777777"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the double RACH can be avoided if network uses blind UL grants - this was already discussed during LTE and is widely used within deployed networks. So that shouldn't be a big issue in NR, either.</w:t>
            </w:r>
          </w:p>
          <w:p w14:paraId="5F0813CC" w14:textId="7BFF961D" w:rsidR="002958B2" w:rsidRPr="00632231"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1A0FFB37" w:rsidR="00BD6E11"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w:t>
            </w:r>
            <w:proofErr w:type="gramStart"/>
            <w:r>
              <w:rPr>
                <w:lang w:eastAsia="ko-KR"/>
              </w:rPr>
              <w:t>or</w:t>
            </w:r>
            <w:proofErr w:type="gramEnd"/>
            <w:r>
              <w:rPr>
                <w:lang w:eastAsia="ko-KR"/>
              </w:rPr>
              <w:t xml:space="preserve">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BD6E11" w14:paraId="5E3CFFD1" w14:textId="77777777" w:rsidTr="005D752D">
        <w:tc>
          <w:tcPr>
            <w:tcW w:w="1915" w:type="dxa"/>
          </w:tcPr>
          <w:p w14:paraId="526783FC" w14:textId="77777777" w:rsidR="00BD6E11" w:rsidRDefault="00BD6E11" w:rsidP="00BD6E11">
            <w:pPr>
              <w:pStyle w:val="TAC"/>
              <w:rPr>
                <w:lang w:eastAsia="ko-KR"/>
              </w:rPr>
            </w:pPr>
          </w:p>
        </w:tc>
        <w:tc>
          <w:tcPr>
            <w:tcW w:w="2049" w:type="dxa"/>
          </w:tcPr>
          <w:p w14:paraId="683F2AA5" w14:textId="77777777" w:rsidR="00BD6E11" w:rsidRDefault="00BD6E11" w:rsidP="00BD6E11">
            <w:pPr>
              <w:pStyle w:val="TAC"/>
              <w:rPr>
                <w:lang w:eastAsia="ko-KR"/>
              </w:rPr>
            </w:pPr>
          </w:p>
        </w:tc>
        <w:tc>
          <w:tcPr>
            <w:tcW w:w="5665" w:type="dxa"/>
          </w:tcPr>
          <w:p w14:paraId="5A53DC73" w14:textId="77777777" w:rsidR="00BD6E11" w:rsidRDefault="00BD6E11" w:rsidP="00BD6E11">
            <w:pPr>
              <w:pStyle w:val="TAL"/>
              <w:rPr>
                <w:lang w:eastAsia="ko-KR"/>
              </w:rPr>
            </w:pPr>
          </w:p>
        </w:tc>
      </w:tr>
      <w:tr w:rsidR="00BD6E11" w14:paraId="4F7501D5" w14:textId="77777777" w:rsidTr="005D752D">
        <w:tc>
          <w:tcPr>
            <w:tcW w:w="1915" w:type="dxa"/>
          </w:tcPr>
          <w:p w14:paraId="652EDF2C" w14:textId="77777777" w:rsidR="00BD6E11" w:rsidRDefault="00BD6E11" w:rsidP="00BD6E11">
            <w:pPr>
              <w:pStyle w:val="TAC"/>
              <w:rPr>
                <w:lang w:eastAsia="ko-KR"/>
              </w:rPr>
            </w:pPr>
          </w:p>
        </w:tc>
        <w:tc>
          <w:tcPr>
            <w:tcW w:w="2049" w:type="dxa"/>
          </w:tcPr>
          <w:p w14:paraId="52348A8D" w14:textId="77777777" w:rsidR="00BD6E11" w:rsidRDefault="00BD6E11" w:rsidP="00BD6E11">
            <w:pPr>
              <w:pStyle w:val="TAC"/>
              <w:rPr>
                <w:lang w:eastAsia="ko-KR"/>
              </w:rPr>
            </w:pPr>
          </w:p>
        </w:tc>
        <w:tc>
          <w:tcPr>
            <w:tcW w:w="5665" w:type="dxa"/>
          </w:tcPr>
          <w:p w14:paraId="44B42ED2" w14:textId="77777777" w:rsidR="00BD6E11" w:rsidRDefault="00BD6E11" w:rsidP="00BD6E11">
            <w:pPr>
              <w:pStyle w:val="TAL"/>
              <w:rPr>
                <w:lang w:eastAsia="ko-KR"/>
              </w:rPr>
            </w:pPr>
          </w:p>
        </w:tc>
      </w:tr>
      <w:tr w:rsidR="00BD6E11" w14:paraId="14FE8DA6" w14:textId="77777777" w:rsidTr="005D752D">
        <w:tc>
          <w:tcPr>
            <w:tcW w:w="1915" w:type="dxa"/>
          </w:tcPr>
          <w:p w14:paraId="56D43686" w14:textId="77777777" w:rsidR="00BD6E11" w:rsidRDefault="00BD6E11" w:rsidP="00BD6E11">
            <w:pPr>
              <w:pStyle w:val="TAC"/>
              <w:rPr>
                <w:lang w:eastAsia="ko-KR"/>
              </w:rPr>
            </w:pPr>
          </w:p>
        </w:tc>
        <w:tc>
          <w:tcPr>
            <w:tcW w:w="2049" w:type="dxa"/>
          </w:tcPr>
          <w:p w14:paraId="263C8CF8" w14:textId="77777777" w:rsidR="00BD6E11" w:rsidRDefault="00BD6E11" w:rsidP="00BD6E11">
            <w:pPr>
              <w:pStyle w:val="TAC"/>
              <w:rPr>
                <w:lang w:eastAsia="ko-KR"/>
              </w:rPr>
            </w:pPr>
          </w:p>
        </w:tc>
        <w:tc>
          <w:tcPr>
            <w:tcW w:w="5665" w:type="dxa"/>
          </w:tcPr>
          <w:p w14:paraId="7BF8DB35" w14:textId="77777777" w:rsidR="00BD6E11" w:rsidRDefault="00BD6E11" w:rsidP="00BD6E11">
            <w:pPr>
              <w:pStyle w:val="TAL"/>
              <w:rPr>
                <w:lang w:eastAsia="ko-KR"/>
              </w:rPr>
            </w:pPr>
          </w:p>
        </w:tc>
      </w:tr>
      <w:tr w:rsidR="00BD6E11" w14:paraId="7CCAA25C" w14:textId="77777777" w:rsidTr="005D752D">
        <w:tc>
          <w:tcPr>
            <w:tcW w:w="1915" w:type="dxa"/>
          </w:tcPr>
          <w:p w14:paraId="048CC37E" w14:textId="77777777" w:rsidR="00BD6E11" w:rsidRDefault="00BD6E11" w:rsidP="00BD6E11">
            <w:pPr>
              <w:pStyle w:val="TAC"/>
              <w:rPr>
                <w:lang w:eastAsia="ko-KR"/>
              </w:rPr>
            </w:pPr>
          </w:p>
        </w:tc>
        <w:tc>
          <w:tcPr>
            <w:tcW w:w="2049" w:type="dxa"/>
          </w:tcPr>
          <w:p w14:paraId="2734765E" w14:textId="77777777" w:rsidR="00BD6E11" w:rsidRDefault="00BD6E11" w:rsidP="00BD6E11">
            <w:pPr>
              <w:pStyle w:val="TAC"/>
              <w:rPr>
                <w:lang w:eastAsia="ko-KR"/>
              </w:rPr>
            </w:pPr>
          </w:p>
        </w:tc>
        <w:tc>
          <w:tcPr>
            <w:tcW w:w="5665" w:type="dxa"/>
          </w:tcPr>
          <w:p w14:paraId="22ADB377" w14:textId="77777777" w:rsidR="00BD6E11" w:rsidRDefault="00BD6E11" w:rsidP="00BD6E11">
            <w:pPr>
              <w:pStyle w:val="TAL"/>
              <w:rPr>
                <w:lang w:eastAsia="ko-KR"/>
              </w:rPr>
            </w:pPr>
          </w:p>
        </w:tc>
      </w:tr>
      <w:tr w:rsidR="00BD6E11" w14:paraId="2B5D593D" w14:textId="77777777" w:rsidTr="005D752D">
        <w:tc>
          <w:tcPr>
            <w:tcW w:w="1915" w:type="dxa"/>
          </w:tcPr>
          <w:p w14:paraId="04C3A43A" w14:textId="77777777" w:rsidR="00BD6E11" w:rsidRDefault="00BD6E11" w:rsidP="00BD6E11">
            <w:pPr>
              <w:pStyle w:val="TAC"/>
              <w:rPr>
                <w:lang w:eastAsia="ko-KR"/>
              </w:rPr>
            </w:pPr>
          </w:p>
        </w:tc>
        <w:tc>
          <w:tcPr>
            <w:tcW w:w="2049" w:type="dxa"/>
          </w:tcPr>
          <w:p w14:paraId="608001D6" w14:textId="77777777" w:rsidR="00BD6E11" w:rsidRDefault="00BD6E11" w:rsidP="00BD6E11">
            <w:pPr>
              <w:pStyle w:val="TAC"/>
              <w:rPr>
                <w:lang w:eastAsia="ko-KR"/>
              </w:rPr>
            </w:pPr>
          </w:p>
        </w:tc>
        <w:tc>
          <w:tcPr>
            <w:tcW w:w="5665" w:type="dxa"/>
          </w:tcPr>
          <w:p w14:paraId="29D3547F" w14:textId="77777777" w:rsidR="00BD6E11" w:rsidRDefault="00BD6E11" w:rsidP="00BD6E11">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86860" w14:textId="77777777" w:rsidR="0043686A" w:rsidRDefault="0043686A">
      <w:r>
        <w:separator/>
      </w:r>
    </w:p>
  </w:endnote>
  <w:endnote w:type="continuationSeparator" w:id="0">
    <w:p w14:paraId="280D0F62" w14:textId="77777777" w:rsidR="0043686A" w:rsidRDefault="0043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7084" w14:textId="77777777" w:rsidR="0043686A" w:rsidRDefault="0043686A">
      <w:r>
        <w:separator/>
      </w:r>
    </w:p>
  </w:footnote>
  <w:footnote w:type="continuationSeparator" w:id="0">
    <w:p w14:paraId="541CF63F" w14:textId="77777777" w:rsidR="0043686A" w:rsidRDefault="0043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4BBA"/>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3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5.zip" TargetMode="External"/><Relationship Id="rId3" Type="http://schemas.openxmlformats.org/officeDocument/2006/relationships/customXml" Target="../customXml/item2.xml"/><Relationship Id="rId21" Type="http://schemas.openxmlformats.org/officeDocument/2006/relationships/hyperlink" Target="file:///C:\evutukuri\work\5G\RAN2\docs\R2-210346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D:\Documents\3GPP\tsg_ran\WG2\TSGR2_113bis-e\Docs\R2-2103044.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tsg_ran\WG2\TSGR2_113bis-e\Docs\R2-210362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4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F73E2-6509-4AA4-8575-E7F18592830A}">
  <ds:schemaRefs>
    <ds:schemaRef ds:uri="http://schemas.openxmlformats.org/officeDocument/2006/bibliography"/>
  </ds:schemaRefs>
</ds:datastoreItem>
</file>

<file path=customXml/itemProps2.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3.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4.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5.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1551</Words>
  <Characters>8844</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[Mouaffac]</cp:lastModifiedBy>
  <cp:revision>7</cp:revision>
  <cp:lastPrinted>1900-12-31T22:00:00Z</cp:lastPrinted>
  <dcterms:created xsi:type="dcterms:W3CDTF">2021-04-13T10:53:00Z</dcterms:created>
  <dcterms:modified xsi:type="dcterms:W3CDTF">2021-04-13T12:33:00Z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