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R2-2102248</w:t>
      </w:r>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summarized:</w:t>
      </w:r>
    </w:p>
    <w:p w14:paraId="6B187A08"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8">
        <w:r w:rsidR="00CD08BE">
          <w:rPr>
            <w:rFonts w:eastAsia="Times New Roman"/>
            <w:color w:val="0000FF"/>
            <w:sz w:val="22"/>
            <w:szCs w:val="22"/>
            <w:u w:val="single"/>
          </w:rPr>
          <w:t>R2-2100166</w:t>
        </w:r>
      </w:hyperlink>
      <w:r w:rsidR="00CD08BE">
        <w:rPr>
          <w:rFonts w:eastAsia="Times New Roman"/>
          <w:color w:val="000000"/>
          <w:sz w:val="22"/>
          <w:szCs w:val="22"/>
        </w:rPr>
        <w:t>, Discussion on connected mode mobility for IoT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R2-2100167</w:t>
        </w:r>
      </w:hyperlink>
      <w:r w:rsidR="00CD08BE">
        <w:rPr>
          <w:rFonts w:eastAsia="Times New Roman"/>
          <w:color w:val="000000"/>
          <w:sz w:val="22"/>
          <w:szCs w:val="22"/>
        </w:rPr>
        <w:t>, Discussion on idle mode procedure for IoT over NTN, OPPO</w:t>
      </w:r>
      <w:r w:rsidR="00CD08BE">
        <w:rPr>
          <w:rFonts w:eastAsia="Times New Roman"/>
          <w:color w:val="000000"/>
          <w:sz w:val="22"/>
          <w:szCs w:val="22"/>
        </w:rPr>
        <w:tab/>
      </w:r>
    </w:p>
    <w:p w14:paraId="6B187A0A"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R2-2100257</w:t>
        </w:r>
      </w:hyperlink>
      <w:r w:rsidR="00CD08BE">
        <w:rPr>
          <w:rFonts w:eastAsia="Times New Roman"/>
          <w:color w:val="000000"/>
          <w:sz w:val="22"/>
          <w:szCs w:val="22"/>
        </w:rPr>
        <w:t>, IoT NTN Observations and Proposals, Lockheed Martin.</w:t>
      </w:r>
      <w:r w:rsidR="00CD08BE">
        <w:rPr>
          <w:rFonts w:eastAsia="Times New Roman"/>
          <w:color w:val="000000"/>
          <w:sz w:val="22"/>
          <w:szCs w:val="22"/>
        </w:rPr>
        <w:tab/>
      </w:r>
    </w:p>
    <w:p w14:paraId="6B187A0B"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R2-2100263</w:t>
        </w:r>
      </w:hyperlink>
      <w:r w:rsidR="00CD08BE">
        <w:rPr>
          <w:rFonts w:eastAsia="Times New Roman"/>
          <w:color w:val="000000"/>
          <w:sz w:val="22"/>
          <w:szCs w:val="22"/>
        </w:rPr>
        <w:t>, Improving Tracking Area Updates in IoT NTN,</w:t>
      </w:r>
      <w:r w:rsidR="00CD08BE">
        <w:rPr>
          <w:rFonts w:eastAsia="Times New Roman"/>
          <w:color w:val="000000"/>
          <w:sz w:val="22"/>
          <w:szCs w:val="22"/>
        </w:rPr>
        <w:tab/>
        <w:t>MediaTek Inc, Eutelsat</w:t>
      </w:r>
    </w:p>
    <w:p w14:paraId="6B187A0C" w14:textId="77777777" w:rsidR="00506C90" w:rsidRDefault="000D2CBC">
      <w:pPr>
        <w:numPr>
          <w:ilvl w:val="0"/>
          <w:numId w:val="4"/>
        </w:numPr>
        <w:pBdr>
          <w:top w:val="nil"/>
          <w:left w:val="nil"/>
          <w:bottom w:val="nil"/>
          <w:right w:val="nil"/>
          <w:between w:val="nil"/>
        </w:pBdr>
        <w:spacing w:before="60" w:after="0"/>
      </w:pPr>
      <w:hyperlink r:id="rId12">
        <w:r w:rsidR="00CD08BE">
          <w:rPr>
            <w:rFonts w:eastAsia="Times New Roman"/>
            <w:color w:val="0000FF"/>
            <w:sz w:val="22"/>
            <w:szCs w:val="22"/>
            <w:u w:val="single"/>
          </w:rPr>
          <w:t>R2-2100264</w:t>
        </w:r>
      </w:hyperlink>
      <w:r w:rsidR="00CD08BE">
        <w:rPr>
          <w:rFonts w:eastAsia="Times New Roman"/>
          <w:color w:val="000000"/>
          <w:sz w:val="22"/>
          <w:szCs w:val="22"/>
        </w:rPr>
        <w:t>, On Cell Re-selection in IoT-NTN, MediaTek Inc, Eutelsat</w:t>
      </w:r>
    </w:p>
    <w:p w14:paraId="6B187A0D"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13">
        <w:r w:rsidR="00CD08BE">
          <w:rPr>
            <w:rFonts w:eastAsia="Times New Roman"/>
            <w:color w:val="0000FF"/>
            <w:sz w:val="22"/>
            <w:szCs w:val="22"/>
            <w:u w:val="single"/>
          </w:rPr>
          <w:t>R2-2100266</w:t>
        </w:r>
      </w:hyperlink>
      <w:r w:rsidR="00CD08BE">
        <w:rPr>
          <w:rFonts w:eastAsia="Times New Roman"/>
          <w:color w:val="000000"/>
          <w:sz w:val="22"/>
          <w:szCs w:val="22"/>
        </w:rPr>
        <w:t>, Connected Mode Mobility in IoT-NTN,</w:t>
      </w:r>
      <w:r w:rsidR="00CD08BE">
        <w:rPr>
          <w:rFonts w:eastAsia="Times New Roman"/>
          <w:color w:val="000000"/>
          <w:sz w:val="22"/>
          <w:szCs w:val="22"/>
        </w:rPr>
        <w:tab/>
        <w:t>MediaTek Inc, Eutelsat</w:t>
      </w:r>
    </w:p>
    <w:p w14:paraId="6B187A0E"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R2-2100338</w:t>
        </w:r>
      </w:hyperlink>
      <w:r w:rsidR="00CD08BE">
        <w:rPr>
          <w:rFonts w:eastAsia="Times New Roman"/>
          <w:color w:val="000000"/>
          <w:sz w:val="22"/>
          <w:szCs w:val="22"/>
        </w:rPr>
        <w:t>, Consideration on the control plane of IoT over NTN, ZTE Corp, Sanechips</w:t>
      </w:r>
    </w:p>
    <w:p w14:paraId="6B187A0F"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R2-2100541</w:t>
        </w:r>
      </w:hyperlink>
      <w:r w:rsidR="00CD08BE">
        <w:rPr>
          <w:rFonts w:eastAsia="Times New Roman"/>
          <w:color w:val="000000"/>
          <w:sz w:val="22"/>
          <w:szCs w:val="22"/>
        </w:rPr>
        <w:t>, Discussion on the service link discontinuity and affected procedures for NB-IoT NTN, Gatehouse, Sateliot</w:t>
      </w:r>
      <w:r w:rsidR="00CD08BE">
        <w:rPr>
          <w:rFonts w:eastAsia="Times New Roman"/>
          <w:color w:val="000000"/>
          <w:sz w:val="22"/>
          <w:szCs w:val="22"/>
        </w:rPr>
        <w:tab/>
      </w:r>
    </w:p>
    <w:p w14:paraId="6B187A10"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R2-2100807</w:t>
        </w:r>
      </w:hyperlink>
      <w:r w:rsidR="00CD08BE">
        <w:rPr>
          <w:rFonts w:eastAsia="Times New Roman"/>
          <w:color w:val="000000"/>
          <w:sz w:val="22"/>
          <w:szCs w:val="22"/>
        </w:rPr>
        <w:t>, Discussion on connected mode mobility in NB-IoT and eMTC NTN, Xiomi</w:t>
      </w:r>
    </w:p>
    <w:p w14:paraId="6B187A12"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R2-2100808</w:t>
        </w:r>
      </w:hyperlink>
      <w:r w:rsidR="00CD08BE">
        <w:rPr>
          <w:rFonts w:eastAsia="Times New Roman"/>
          <w:color w:val="000000"/>
          <w:sz w:val="22"/>
          <w:szCs w:val="22"/>
        </w:rPr>
        <w:t>, Cell selection and reselection for IoT NTN, Xiomi</w:t>
      </w:r>
    </w:p>
    <w:p w14:paraId="6B187A13" w14:textId="77777777" w:rsidR="00506C90" w:rsidRDefault="000D2CBC">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R2-2101054</w:t>
        </w:r>
      </w:hyperlink>
      <w:r w:rsidR="00CD08BE">
        <w:rPr>
          <w:rFonts w:eastAsia="Times New Roman"/>
          <w:color w:val="000000"/>
          <w:sz w:val="22"/>
          <w:szCs w:val="22"/>
        </w:rPr>
        <w:t>, Discussion on Mobility and TA for NTN NB-IoT, Huawei, HiSilicon</w:t>
      </w:r>
    </w:p>
    <w:p w14:paraId="6B187A14" w14:textId="77777777" w:rsidR="00506C90" w:rsidRDefault="000D2CBC">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0">
        <w:r w:rsidR="00CD08BE">
          <w:rPr>
            <w:rFonts w:eastAsia="Times New Roman"/>
            <w:color w:val="0000FF"/>
            <w:sz w:val="22"/>
            <w:szCs w:val="22"/>
            <w:u w:val="single"/>
          </w:rPr>
          <w:t>R2-2101131</w:t>
        </w:r>
      </w:hyperlink>
      <w:r w:rsidR="00CD08BE">
        <w:rPr>
          <w:rFonts w:eastAsia="Times New Roman"/>
          <w:color w:val="000000"/>
          <w:sz w:val="22"/>
          <w:szCs w:val="22"/>
        </w:rPr>
        <w:t>, Discontinuous coverage for IoT NTN, Lenovo, Motorola Mobility</w:t>
      </w:r>
    </w:p>
    <w:p w14:paraId="6B187A15" w14:textId="77777777" w:rsidR="00506C90" w:rsidRDefault="000D2CBC">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R2-2101132</w:t>
        </w:r>
      </w:hyperlink>
      <w:r w:rsidR="00CD08BE">
        <w:rPr>
          <w:rFonts w:eastAsia="Times New Roman"/>
          <w:color w:val="000000"/>
          <w:sz w:val="22"/>
          <w:szCs w:val="22"/>
        </w:rPr>
        <w:t>, RLF-based mobility for NB-IoT in NTN, Lenovo, Motorola Mobility</w:t>
      </w:r>
    </w:p>
    <w:p w14:paraId="6B187A16" w14:textId="77777777" w:rsidR="00506C90" w:rsidRDefault="000D2CBC">
      <w:pPr>
        <w:numPr>
          <w:ilvl w:val="0"/>
          <w:numId w:val="4"/>
        </w:numPr>
        <w:pBdr>
          <w:top w:val="nil"/>
          <w:left w:val="nil"/>
          <w:bottom w:val="nil"/>
          <w:right w:val="nil"/>
          <w:between w:val="nil"/>
        </w:pBdr>
        <w:spacing w:before="60" w:after="120"/>
        <w:jc w:val="both"/>
      </w:pPr>
      <w:hyperlink r:id="rId22">
        <w:r w:rsidR="00CD08BE">
          <w:rPr>
            <w:rFonts w:eastAsia="Times New Roman"/>
            <w:color w:val="0000FF"/>
            <w:sz w:val="22"/>
            <w:szCs w:val="22"/>
            <w:u w:val="single"/>
          </w:rPr>
          <w:t>R2-2101248</w:t>
        </w:r>
      </w:hyperlink>
      <w:r w:rsidR="00CD08BE">
        <w:rPr>
          <w:rFonts w:eastAsia="Times New Roman"/>
          <w:color w:val="000000"/>
          <w:sz w:val="22"/>
          <w:szCs w:val="22"/>
        </w:rPr>
        <w:t>, Discussion on the service link discontinuity and affected procedures for NB-IoT NTN, Gatehouse, Sateliot, Thales</w:t>
      </w:r>
    </w:p>
    <w:p w14:paraId="6B187A17" w14:textId="77777777" w:rsidR="00506C90" w:rsidRDefault="000D2CBC">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3">
        <w:r w:rsidR="00CD08BE">
          <w:rPr>
            <w:rFonts w:eastAsia="Times New Roman"/>
            <w:color w:val="0000FF"/>
            <w:sz w:val="22"/>
            <w:szCs w:val="22"/>
            <w:u w:val="single"/>
          </w:rPr>
          <w:t>R2-2101555</w:t>
        </w:r>
      </w:hyperlink>
      <w:r w:rsidR="00CD08BE">
        <w:rPr>
          <w:rFonts w:eastAsia="Times New Roman"/>
          <w:color w:val="000000"/>
          <w:sz w:val="22"/>
          <w:szCs w:val="22"/>
        </w:rPr>
        <w:t>, Idle and connected mode mobility for IoT NTN, Ericsson</w:t>
      </w:r>
    </w:p>
    <w:p w14:paraId="6B187A18" w14:textId="77777777" w:rsidR="00506C90" w:rsidRDefault="000D2CBC">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NB-IoT/eMTC support for NTN was discussed over email discussion, and the following agreements were made regarding the Connected Mode mobility:</w:t>
      </w:r>
    </w:p>
    <w:p w14:paraId="6B187A1D"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17: RAN2 will wait until agreements regarding handover, including Conditional Handover, solutions are made in the NR-NTN WI, discuss if it would be beneficial for eMTC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eMTC/NB-IoT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As the handover process in NB-IoT and eMTC based NTN is quite different in the remaining part of this section, we summarize the contributions separately for eMTC-based NTN and NB-IoT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2.1 Connected Mode Mobility for eMTC based NTN</w:t>
      </w:r>
    </w:p>
    <w:p w14:paraId="6B187A27" w14:textId="77777777" w:rsidR="00506C90" w:rsidRDefault="00CD08BE">
      <w:pPr>
        <w:rPr>
          <w:rFonts w:ascii="Arial" w:eastAsia="Arial" w:hAnsi="Arial" w:cs="Arial"/>
          <w:sz w:val="24"/>
          <w:szCs w:val="24"/>
        </w:rPr>
      </w:pPr>
      <w:r>
        <w:rPr>
          <w:rFonts w:ascii="Arial" w:eastAsia="Arial" w:hAnsi="Arial" w:cs="Arial"/>
          <w:color w:val="000000"/>
        </w:rPr>
        <w:t>In RAN2#112-e, handover trigger enhancements in NR NTN was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The Location-based measurement event, in combination with the existing measurement event in NR, should be supported in NTN for both moving cell and fixed cell scenarios. FFS on how to configure the location based measurement event.</w:t>
      </w:r>
    </w:p>
    <w:p w14:paraId="6B187A2D" w14:textId="77777777" w:rsidR="00506C90" w:rsidRDefault="00506C90">
      <w:pPr>
        <w:rPr>
          <w:rFonts w:ascii="宋体" w:eastAsia="宋体" w:hAnsi="宋体" w:cs="宋体"/>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location based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center in NR NTN. The contributions in R2-2100166 [1], R2-2100266 [6], R2-2100338 [7], R2-2100807 [10] and R2-2100510 [17] support these agreements and also proposed to use these agreements for enhancing connected mode mobility in eMTC. However, the contribution in R2-2101555 [16] suggested not to include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eMTC-based NTN.  Among these 5 contributions, 5 contributions are in favor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2"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Proposal 1</w:t>
      </w:r>
      <w:r>
        <w:rPr>
          <w:rFonts w:ascii="Arial" w:eastAsia="Arial" w:hAnsi="Arial" w:cs="Arial"/>
          <w:color w:val="000000"/>
        </w:rPr>
        <w:t xml:space="preserve">: </w:t>
      </w:r>
      <w:r>
        <w:rPr>
          <w:rFonts w:ascii="Arial" w:eastAsia="Arial" w:hAnsi="Arial" w:cs="Arial"/>
          <w:b/>
          <w:color w:val="000000"/>
        </w:rPr>
        <w:t>eMTC based NTN will use the following connected mode mobility agreements made in NR-NTN:</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A34"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A35"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commentRangeStart w:id="3"/>
        </w:sdtContent>
      </w:sdt>
      <w:r>
        <w:rPr>
          <w:rFonts w:ascii="Arial" w:eastAsia="Arial" w:hAnsi="Arial" w:cs="Arial"/>
          <w:b/>
          <w:color w:val="000000"/>
        </w:rPr>
        <w:t>Location based</w:t>
      </w:r>
      <w:commentRangeEnd w:id="3"/>
      <w:r>
        <w:commentReference w:id="3"/>
      </w:r>
      <w:r>
        <w:rPr>
          <w:rFonts w:ascii="Arial" w:eastAsia="Arial" w:hAnsi="Arial" w:cs="Arial"/>
          <w:b/>
          <w:color w:val="000000"/>
        </w:rPr>
        <w:t xml:space="preserve"> CHO triggering event, in combination with the existing R16 CHO measurement based event, should be introduced for both moving cell and fixed cell scenario.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A37" w14:textId="77777777" w:rsidR="00506C90" w:rsidRDefault="00506C90">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2.2 Connected Mode Mobility for NB-IoT based NTN</w:t>
      </w:r>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NB-IoT mobility as a baseline for mobility in NB-IoT over NTN. Enhancements on RLF-based mobility is already under discussions in Rel-17.</w:t>
      </w:r>
      <w:r>
        <w:t xml:space="preserve"> </w:t>
      </w:r>
      <w:r>
        <w:rPr>
          <w:rFonts w:ascii="Arial" w:eastAsia="Arial" w:hAnsi="Arial" w:cs="Arial"/>
          <w:color w:val="000000"/>
        </w:rPr>
        <w:t>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handover based mobility management, R2-2100338 [7] and R2-2100807[10] mention enhancement of RLF by using satellite assistance information, broadcast by network. In a line similar to CHO, triggering of conditional RRC re-establishment before RLF is also suggested in R2-2101132 [14]. As traditional NB-IoT and eMTC transmission repetition increases link robustness, but generally requires a stable UE-eNB link (in terms of delay variation), the contribution in R2-2100257 [3] urges to discuss supporting simultaneous connected mode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favor of using RLF enhancements for RLF-based mobility in NB-IoT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A3E" w14:textId="77777777" w:rsidR="00506C90" w:rsidRDefault="00CD08BE">
      <w:pPr>
        <w:pStyle w:val="1"/>
      </w:pPr>
      <w:r>
        <w:t>3 Tracking Area Update in IoT-NTN</w:t>
      </w:r>
    </w:p>
    <w:p w14:paraId="6B187A3F" w14:textId="77777777" w:rsidR="00506C90" w:rsidRDefault="00CD08BE">
      <w:r>
        <w:rPr>
          <w:rFonts w:ascii="Arial" w:eastAsia="Arial" w:hAnsi="Arial" w:cs="Arial"/>
        </w:rPr>
        <w:t xml:space="preserve">Idle mode mobility in IoT-NTN is broadly divided into two major parts: (1) Tracking Area Update (TAU) and (2) Cell Selection/Re-selection. As shown in the Table below, earth-fixed Tracking Area concept of NR-NTN was agreed for eMTC/NB-IoT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[035] 14: RAN2 will use earth-fixed Tracking Area concept of NR-NTN in eMTC/NB-IoT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15: RAN2 should wait until agreements regarding TAU are made in the NR-NTN WI, and use those for eMTC/NB-IoT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lastRenderedPageBreak/>
        <w:t xml:space="preserve">Regarding the solutions for Tracking Area Update (TAU), R2-2100263 [4] suggests to use “soft-switch” method, with network maintaining a list of Tracking Area Codes (TAC). On the other hand, R2-2100338 [7] has proposed to use satellite-fixed tracking area. Finally, as NR NTN has not concluded yet on any solution, R2-2101054 [12] proposes to 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77777777" w:rsidR="00506C90" w:rsidRDefault="00CD08BE">
      <w:pPr>
        <w:jc w:val="both"/>
        <w:rPr>
          <w:rFonts w:ascii="Arial" w:eastAsia="Arial" w:hAnsi="Arial" w:cs="Arial"/>
          <w:color w:val="000000"/>
        </w:rPr>
      </w:pPr>
      <w:r>
        <w:rPr>
          <w:rFonts w:ascii="Arial" w:eastAsia="Arial" w:hAnsi="Arial" w:cs="Arial"/>
          <w:color w:val="000000"/>
        </w:rPr>
        <w:t xml:space="preserve">(3/16) contributions have provided proposals on Tracking Area Update in IoT-NTN. Among these 3 contributions, one contributions are in favor of using multiple TACs (soft-switch), one is in favor of satellite-fixed TA and the last one suggests capturing all the solutions and wait for further progress in NR-NTN. As paging capacity of the network is closely related to tracking rea sizes, the paging capacity needs to be evaluated to confirm that it can support large TA in GEO-NTN. As there is no clear preference, for the sake of progress of the SI, the rapporteur suggests the following proposal (for discussion/agreement in online session): </w:t>
      </w:r>
    </w:p>
    <w:p w14:paraId="6B187A46" w14:textId="77777777" w:rsidR="00506C90" w:rsidRDefault="00CD08BE">
      <w:pPr>
        <w:jc w:val="both"/>
        <w:rPr>
          <w:rFonts w:ascii="Arial" w:eastAsia="Arial" w:hAnsi="Arial" w:cs="Arial"/>
        </w:rPr>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A47" w14:textId="77777777" w:rsidR="00506C90" w:rsidRDefault="00CD08BE">
      <w:pPr>
        <w:pStyle w:val="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In this section, we intend to discuss the remaining control plane contributions in the form of an email discussion. The following agreements were agreed on eMTC/NB-IoT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11: RAN2 will discuss on providing satellite ephemeris data and other information using System Information (SI) message for eMTC/NB-IoT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[035] 12: RAN2 will use cell selection/reselection for NR-NTN as the baseline and discuss further about the detailed solutions in eMTC/NB-IoT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While it was agreed in RAN2#112-e that RAN2 will use cell selection/reselection for NR-NTN as the baseline and discuss further about the detailed solutions in eMTC/NB-IoT NTN, R2-2101054 [12] has called for an revision of the agreement by mentioning that cell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f"/>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Huawei, HiSilicon</w:t>
            </w:r>
          </w:p>
        </w:tc>
        <w:tc>
          <w:tcPr>
            <w:tcW w:w="2009" w:type="dxa"/>
          </w:tcPr>
          <w:p w14:paraId="6B187A53" w14:textId="77777777" w:rsidR="00506C90" w:rsidRDefault="00CD08BE">
            <w:r>
              <w:t>Agree</w:t>
            </w:r>
          </w:p>
        </w:tc>
        <w:tc>
          <w:tcPr>
            <w:tcW w:w="6210" w:type="dxa"/>
          </w:tcPr>
          <w:p w14:paraId="6B187A54" w14:textId="77777777" w:rsidR="00506C90" w:rsidRDefault="00CD08BE">
            <w:r>
              <w:t>There are 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Moreover, besides evaluating the enhancements discussed in NR-NTN, the enhancements that are only needed by/applicable to IoT NTN (especially for NB-IoT over NTN) but not needed by NR-NTN should not be excluded.</w:t>
            </w:r>
          </w:p>
        </w:tc>
      </w:tr>
      <w:tr w:rsidR="00506C90" w14:paraId="6B187A5E" w14:textId="77777777">
        <w:tc>
          <w:tcPr>
            <w:tcW w:w="1496" w:type="dxa"/>
          </w:tcPr>
          <w:p w14:paraId="6B187A5B" w14:textId="77777777" w:rsidR="00506C90" w:rsidRDefault="00CD08BE">
            <w:r>
              <w:t>Lenovo</w:t>
            </w:r>
          </w:p>
        </w:tc>
        <w:tc>
          <w:tcPr>
            <w:tcW w:w="2009" w:type="dxa"/>
          </w:tcPr>
          <w:p w14:paraId="6B187A5C" w14:textId="77777777" w:rsidR="00506C90" w:rsidRDefault="00CD08BE">
            <w:r>
              <w:t>Agree</w:t>
            </w:r>
          </w:p>
        </w:tc>
        <w:tc>
          <w:tcPr>
            <w:tcW w:w="6210" w:type="dxa"/>
          </w:tcPr>
          <w:p w14:paraId="6B187A5D" w14:textId="77777777" w:rsidR="00506C90" w:rsidRDefault="00CD08BE">
            <w:r>
              <w:t xml:space="preserve">The revised version is more reasonable as cell (re)selection for NB-IoT and NR are different. Meanwhile enhancement for cell (re)selection in NR </w:t>
            </w:r>
            <w:r>
              <w:lastRenderedPageBreak/>
              <w:t>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lastRenderedPageBreak/>
              <w:t>Xiaomi</w:t>
            </w:r>
          </w:p>
        </w:tc>
        <w:tc>
          <w:tcPr>
            <w:tcW w:w="2009" w:type="dxa"/>
          </w:tcPr>
          <w:p w14:paraId="6B187A60" w14:textId="77777777" w:rsidR="00506C90" w:rsidRDefault="00CD08BE">
            <w:r>
              <w:t>Agree</w:t>
            </w:r>
          </w:p>
        </w:tc>
        <w:tc>
          <w:tcPr>
            <w:tcW w:w="6210" w:type="dxa"/>
          </w:tcPr>
          <w:p w14:paraId="6B187A61" w14:textId="77777777" w:rsidR="00506C90" w:rsidRDefault="00CD08BE">
            <w:r>
              <w:t>Since NB-IoT don’t support cell reselection frequency priority, the selection/reselection mechanism for NR-NTN couldn’t be reused simply for NB-IoT NTN. So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t xml:space="preserve">[035] 12: RAN2 will use cell selection/reselection </w:t>
            </w:r>
            <w:r>
              <w:rPr>
                <w:color w:val="FF0000"/>
                <w:highlight w:val="yellow"/>
              </w:rPr>
              <w:t xml:space="preserve">enhancement introduced </w:t>
            </w:r>
            <w:r>
              <w:rPr>
                <w:highlight w:val="yellow"/>
              </w:rPr>
              <w:t>f</w:t>
            </w:r>
            <w:r>
              <w:t>or NR-NTN as the baseline and discuss further about the detailed solutions in eMTC/NB-IoT NTN.</w:t>
            </w:r>
          </w:p>
          <w:p w14:paraId="6B187A6B" w14:textId="77777777" w:rsidR="00506C90" w:rsidRDefault="00CD08BE">
            <w:r>
              <w:rPr>
                <w:color w:val="FF0000"/>
                <w:highlight w:val="yellow"/>
              </w:rPr>
              <w:t>🡪existing cell selection/reselection procedures are applicable to eMTC/NB-IoT in NTN.</w:t>
            </w:r>
          </w:p>
        </w:tc>
      </w:tr>
      <w:tr w:rsidR="00506C90" w14:paraId="6B187A70" w14:textId="77777777">
        <w:tc>
          <w:tcPr>
            <w:tcW w:w="1496" w:type="dxa"/>
          </w:tcPr>
          <w:p w14:paraId="6B187A6D" w14:textId="77777777" w:rsidR="00506C90" w:rsidRDefault="00CD08BE">
            <w:r>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Gatehouse, Sateliot</w:t>
            </w:r>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NB-IoT TN is considered as the baseline for cell selection/re-selection of NB-IoT for NTN.</w:t>
            </w:r>
          </w:p>
          <w:p w14:paraId="6B187A74" w14:textId="64410061" w:rsidR="00506C90" w:rsidRDefault="00CD08BE">
            <w:r>
              <w:t>Agree that enhancements introduced by NR NTN should be considered when applicable to NB.IoT NTN.</w:t>
            </w:r>
          </w:p>
          <w:p w14:paraId="6B187A75" w14:textId="77777777" w:rsidR="00506C90" w:rsidRDefault="00CD08BE">
            <w:r>
              <w:t>Further to the above, additional enhancements may be needed, at least to efficiently support a NB-IoT NTN system under discontinuous service link coverage.</w:t>
            </w:r>
          </w:p>
        </w:tc>
      </w:tr>
      <w:tr w:rsidR="00617813" w14:paraId="6B187A7A" w14:textId="77777777">
        <w:tc>
          <w:tcPr>
            <w:tcW w:w="1496" w:type="dxa"/>
          </w:tcPr>
          <w:p w14:paraId="6B187A77" w14:textId="555175CA" w:rsidR="00617813" w:rsidRDefault="00617813" w:rsidP="00617813">
            <w:ins w:id="4"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5"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6" w:author="cmcc" w:date="2021-02-01T09:43:00Z">
              <w:r>
                <w:rPr>
                  <w:rFonts w:eastAsiaTheme="minorEastAsia" w:hint="eastAsia"/>
                </w:rPr>
                <w:t>A</w:t>
              </w:r>
              <w:r>
                <w:rPr>
                  <w:rFonts w:eastAsiaTheme="minorEastAsia"/>
                </w:rPr>
                <w:t xml:space="preserve">s we all know, cell reselection for NB-IoT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Therefore the revision is more reasonable.</w:t>
              </w:r>
            </w:ins>
          </w:p>
        </w:tc>
      </w:tr>
    </w:tbl>
    <w:p w14:paraId="6B187A7B" w14:textId="77777777" w:rsidR="00506C90" w:rsidRDefault="00506C90">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f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Huawei, HiSilicon</w:t>
            </w:r>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ask “Do companies agree that using satellite assistance information can be considered for cell selection/re-selection procedure enhancement in IoT-NTN?” </w:t>
            </w:r>
          </w:p>
          <w:p w14:paraId="6B187A89" w14:textId="77777777" w:rsidR="00506C90" w:rsidRDefault="00CD08BE">
            <w:pPr>
              <w:spacing w:after="120"/>
            </w:pPr>
            <w:r>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 xml:space="preserve">System information content related to satellite information needs to be concluded which is needed for other purpose such as timing alignment. Once concluded, whether additional information for cell selection assistance is needed can be considered. For this consideration RAN2 also </w:t>
            </w:r>
            <w:r>
              <w:lastRenderedPageBreak/>
              <w:t>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lastRenderedPageBreak/>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or NR-NTN as the baseline and discuss further about the detailed solutions in eMTC/NB-IoT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We think ephemeris should be used combined with  UE location information to help UE perform cell selection/reselection.</w:t>
            </w:r>
          </w:p>
        </w:tc>
      </w:tr>
      <w:tr w:rsidR="00506C90" w14:paraId="6B187AA3" w14:textId="77777777">
        <w:tc>
          <w:tcPr>
            <w:tcW w:w="1496" w:type="dxa"/>
          </w:tcPr>
          <w:p w14:paraId="6B187AA0" w14:textId="77777777" w:rsidR="00506C90" w:rsidRDefault="00CD08BE">
            <w:r>
              <w:t>Gatehouse, Sateliot</w:t>
            </w:r>
          </w:p>
        </w:tc>
        <w:tc>
          <w:tcPr>
            <w:tcW w:w="2009" w:type="dxa"/>
          </w:tcPr>
          <w:p w14:paraId="6B187AA1" w14:textId="77777777" w:rsidR="00506C90" w:rsidRDefault="00CD08BE">
            <w:r>
              <w:t>Agree</w:t>
            </w:r>
          </w:p>
        </w:tc>
        <w:tc>
          <w:tcPr>
            <w:tcW w:w="6210" w:type="dxa"/>
          </w:tcPr>
          <w:p w14:paraId="6B187AA2" w14:textId="77777777" w:rsidR="00506C90" w:rsidRDefault="00CD08BE">
            <w:r>
              <w:t>Satellite assistance information, including satellite ephemeris, is needed to enhance the NB-IoT cell (re)selection as well as other idle mode mechanisms such as eDRX/PSM.</w:t>
            </w:r>
          </w:p>
        </w:tc>
      </w:tr>
      <w:tr w:rsidR="00E13712" w14:paraId="6B187AA7" w14:textId="77777777">
        <w:tc>
          <w:tcPr>
            <w:tcW w:w="1496" w:type="dxa"/>
          </w:tcPr>
          <w:p w14:paraId="6B187AA4" w14:textId="5714EE68" w:rsidR="00E13712" w:rsidRDefault="00E13712" w:rsidP="00E13712">
            <w:ins w:id="7"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8"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9" w:author="cmcc" w:date="2021-02-01T09:43:00Z">
              <w:r>
                <w:rPr>
                  <w:rFonts w:eastAsiaTheme="minorEastAsia" w:hint="eastAsia"/>
                </w:rPr>
                <w:t>S</w:t>
              </w:r>
              <w:r>
                <w:rPr>
                  <w:rFonts w:eastAsiaTheme="minorEastAsia"/>
                </w:rPr>
                <w:t>atellite assistance information(e.g. satellite ephemeris) is benefit for cell (re)sele</w:t>
              </w:r>
            </w:ins>
            <w:ins w:id="10" w:author="cmcc" w:date="2021-02-01T09:46:00Z">
              <w:r w:rsidR="00396C6A">
                <w:rPr>
                  <w:rFonts w:eastAsiaTheme="minorEastAsia"/>
                </w:rPr>
                <w:t>c</w:t>
              </w:r>
            </w:ins>
            <w:bookmarkStart w:id="11" w:name="_GoBack"/>
            <w:bookmarkEnd w:id="11"/>
            <w:ins w:id="12" w:author="cmcc" w:date="2021-02-01T09:43:00Z">
              <w:r>
                <w:rPr>
                  <w:rFonts w:eastAsiaTheme="minorEastAsia"/>
                </w:rPr>
                <w:t>tion procedure.</w:t>
              </w:r>
            </w:ins>
          </w:p>
        </w:tc>
      </w:tr>
    </w:tbl>
    <w:p w14:paraId="6B187AA8" w14:textId="77777777" w:rsidR="00506C90" w:rsidRDefault="00506C90">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R2-2101248 [15] mention the effect of coverage holes or discontinuous coverage in cell selection/re-selection in IoT-NTN. R2-2100264 [5] also suggests the usage of satellite assistance (e.g.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Question 3(a): Do companies agree that RAN2 should study the effect of discontinuous coverage of IoT-NTN over cell re-selection?</w:t>
      </w:r>
    </w:p>
    <w:tbl>
      <w:tblPr>
        <w:tblStyle w:val="af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Huawei, HiSilicon</w:t>
            </w:r>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Our understanding is that “Set-4” (i.e., cubesats)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t>ZTE</w:t>
            </w:r>
          </w:p>
        </w:tc>
        <w:tc>
          <w:tcPr>
            <w:tcW w:w="2009" w:type="dxa"/>
          </w:tcPr>
          <w:p w14:paraId="6B187AB8" w14:textId="77777777" w:rsidR="00506C90" w:rsidRDefault="00CD08BE">
            <w:r>
              <w:t>Postpone</w:t>
            </w:r>
          </w:p>
        </w:tc>
        <w:tc>
          <w:tcPr>
            <w:tcW w:w="6210" w:type="dxa"/>
          </w:tcPr>
          <w:p w14:paraId="6B187AB9" w14:textId="77777777" w:rsidR="00506C90" w:rsidRDefault="00CD08BE">
            <w:r>
              <w:t>Generally agree with Huawei and we can wait to see RAN1 formal agreements.</w:t>
            </w:r>
          </w:p>
        </w:tc>
      </w:tr>
      <w:tr w:rsidR="00506C90" w14:paraId="6B187ABE" w14:textId="77777777">
        <w:tc>
          <w:tcPr>
            <w:tcW w:w="1496" w:type="dxa"/>
          </w:tcPr>
          <w:p w14:paraId="6B187ABB" w14:textId="77777777" w:rsidR="00506C90" w:rsidRDefault="00CD08BE">
            <w:r>
              <w:t>Lenovo</w:t>
            </w:r>
          </w:p>
        </w:tc>
        <w:tc>
          <w:tcPr>
            <w:tcW w:w="2009" w:type="dxa"/>
          </w:tcPr>
          <w:p w14:paraId="6B187ABC" w14:textId="77777777" w:rsidR="00506C90" w:rsidRDefault="00CD08BE">
            <w:r>
              <w:t>Agree</w:t>
            </w:r>
          </w:p>
        </w:tc>
        <w:tc>
          <w:tcPr>
            <w:tcW w:w="6210" w:type="dxa"/>
          </w:tcPr>
          <w:p w14:paraId="6B187ABD" w14:textId="77777777" w:rsidR="00506C90" w:rsidRDefault="00CD08BE">
            <w:r>
              <w:t>Discontinuous coverage could be a scenario for IoT NTN and can be considered as a special case of LEO. Regarding RAN1’s discussion it is expected to study its effect and potential issues. Moreover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t>Xiaomi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The basic scenario for discontinuous coverage in RAN1. Also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Gatehouse, Sateliot</w:t>
            </w:r>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 xml:space="preserve">Even in the case of a LEO constellation intended to achieve continuous coverage in the long term, discontinuous coverage could be the normal </w:t>
            </w:r>
            <w:r>
              <w:lastRenderedPageBreak/>
              <w:t>operation condition at initial stages, because of a gradual build-up of the constellation.</w:t>
            </w:r>
          </w:p>
          <w:p w14:paraId="6B187AD3" w14:textId="183452B4" w:rsidR="00506C90" w:rsidRDefault="00CD08BE">
            <w:r>
              <w:t>Moreover, as ESA points out, in the IoT market, a continuous, full coverage, satellite constellation might not even be a cost-effective solution for the market, especially for delay tolerant IoT services. In particular, there is a wide range of IoT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13" w:author="cmcc" w:date="2021-02-01T09:44:00Z">
              <w:r>
                <w:rPr>
                  <w:rFonts w:eastAsiaTheme="minorEastAsia" w:hint="eastAsia"/>
                </w:rPr>
                <w:lastRenderedPageBreak/>
                <w:t>C</w:t>
              </w:r>
              <w:r>
                <w:rPr>
                  <w:rFonts w:eastAsiaTheme="minorEastAsia"/>
                </w:rPr>
                <w:t>MCC</w:t>
              </w:r>
            </w:ins>
          </w:p>
        </w:tc>
        <w:tc>
          <w:tcPr>
            <w:tcW w:w="2009" w:type="dxa"/>
          </w:tcPr>
          <w:p w14:paraId="6B187AD6" w14:textId="73F4BB64" w:rsidR="00F01FC5" w:rsidRDefault="00F01FC5" w:rsidP="00F01FC5">
            <w:ins w:id="14"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15"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bl>
    <w:p w14:paraId="6B187AD9" w14:textId="77777777" w:rsidR="00506C90" w:rsidRDefault="00506C90">
      <w:pPr>
        <w:jc w:val="both"/>
        <w:rPr>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companies agree that satellite assistance (e.g. ephemeris) could be used as a possible solution to inform the UE about possible coverage discontinuity?</w:t>
      </w:r>
    </w:p>
    <w:tbl>
      <w:tblPr>
        <w:tblStyle w:val="af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Huawei, HiSilicon</w:t>
            </w:r>
          </w:p>
        </w:tc>
        <w:tc>
          <w:tcPr>
            <w:tcW w:w="2009" w:type="dxa"/>
          </w:tcPr>
          <w:p w14:paraId="6B187AE0" w14:textId="77777777" w:rsidR="00506C90" w:rsidRDefault="00CD08BE">
            <w:r>
              <w:t>postpone</w:t>
            </w:r>
          </w:p>
        </w:tc>
        <w:tc>
          <w:tcPr>
            <w:tcW w:w="6210" w:type="dxa"/>
          </w:tcPr>
          <w:p w14:paraId="6B187AE1" w14:textId="77777777" w:rsidR="00506C90" w:rsidRDefault="00CD08BE">
            <w:r>
              <w:t>At first the ephemeris format needs to be determined by RAN1, i.e.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r>
              <w:t>Generally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Gatehouse, Sateliot</w:t>
            </w:r>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16" w:author="cmcc" w:date="2021-02-01T09:44:00Z"/>
        </w:trPr>
        <w:tc>
          <w:tcPr>
            <w:tcW w:w="1496" w:type="dxa"/>
          </w:tcPr>
          <w:p w14:paraId="361A6D1D" w14:textId="473CA5C0" w:rsidR="001B6C3E" w:rsidRDefault="001B6C3E" w:rsidP="001B6C3E">
            <w:pPr>
              <w:rPr>
                <w:ins w:id="17" w:author="cmcc" w:date="2021-02-01T09:44:00Z"/>
              </w:rPr>
            </w:pPr>
            <w:ins w:id="18" w:author="cmcc" w:date="2021-02-01T09:44:00Z">
              <w:r>
                <w:rPr>
                  <w:rFonts w:eastAsiaTheme="minorEastAsia" w:hint="eastAsia"/>
                </w:rPr>
                <w:t>C</w:t>
              </w:r>
              <w:r>
                <w:rPr>
                  <w:rFonts w:eastAsiaTheme="minorEastAsia"/>
                </w:rPr>
                <w:t>MCC</w:t>
              </w:r>
            </w:ins>
          </w:p>
        </w:tc>
        <w:tc>
          <w:tcPr>
            <w:tcW w:w="2009" w:type="dxa"/>
          </w:tcPr>
          <w:p w14:paraId="2ED8B592" w14:textId="77777777" w:rsidR="001B6C3E" w:rsidRDefault="001B6C3E" w:rsidP="001B6C3E">
            <w:pPr>
              <w:rPr>
                <w:ins w:id="19" w:author="cmcc" w:date="2021-02-01T09:44:00Z"/>
              </w:rPr>
            </w:pPr>
          </w:p>
        </w:tc>
        <w:tc>
          <w:tcPr>
            <w:tcW w:w="6210" w:type="dxa"/>
          </w:tcPr>
          <w:p w14:paraId="4ABA792E" w14:textId="7CAF9C33" w:rsidR="001B6C3E" w:rsidRDefault="001B6C3E" w:rsidP="001B6C3E">
            <w:pPr>
              <w:rPr>
                <w:ins w:id="20" w:author="cmcc" w:date="2021-02-01T09:44:00Z"/>
              </w:rPr>
            </w:pPr>
            <w:ins w:id="21" w:author="cmcc" w:date="2021-02-01T09:44:00Z">
              <w:r>
                <w:rPr>
                  <w:rFonts w:eastAsiaTheme="minorEastAsia" w:hint="eastAsia"/>
                </w:rPr>
                <w:t>P</w:t>
              </w:r>
              <w:r>
                <w:rPr>
                  <w:rFonts w:eastAsiaTheme="minorEastAsia"/>
                </w:rPr>
                <w:t>lease see our comments to Q3(a).</w:t>
              </w:r>
            </w:ins>
          </w:p>
        </w:tc>
      </w:tr>
    </w:tbl>
    <w:p w14:paraId="6B187B03" w14:textId="77777777" w:rsidR="00506C90" w:rsidRDefault="00506C90">
      <w:pPr>
        <w:jc w:val="both"/>
        <w:rPr>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eMTC priorities and/or NB-IoT </w:t>
      </w:r>
      <w:r>
        <w:rPr>
          <w:rFonts w:ascii="Arial" w:eastAsia="Arial" w:hAnsi="Arial" w:cs="Arial"/>
          <w:i/>
        </w:rPr>
        <w:t>Qoffset</w:t>
      </w:r>
      <w:r>
        <w:rPr>
          <w:rFonts w:ascii="Arial" w:eastAsia="Arial" w:hAnsi="Arial" w:cs="Arial"/>
        </w:rPr>
        <w:t xml:space="preserve"> to control cell re-selection between TN-NTN cells, LEO-GEO cells and 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Question 4(a): Do companies agree that legacy eMTC priorities could be used to prioritize cell re-selection between LEO-GEO cells and earth fixed-earth moving cells?</w:t>
      </w:r>
    </w:p>
    <w:tbl>
      <w:tblPr>
        <w:tblStyle w:val="af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Huawei, HiSilicon</w:t>
            </w:r>
          </w:p>
        </w:tc>
        <w:tc>
          <w:tcPr>
            <w:tcW w:w="2009" w:type="dxa"/>
          </w:tcPr>
          <w:p w14:paraId="6B187B0B" w14:textId="77777777" w:rsidR="00506C90" w:rsidRDefault="00CD08BE">
            <w:r>
              <w:t>Disagree</w:t>
            </w:r>
          </w:p>
        </w:tc>
        <w:tc>
          <w:tcPr>
            <w:tcW w:w="6210" w:type="dxa"/>
          </w:tcPr>
          <w:p w14:paraId="6B187B0C" w14:textId="77777777" w:rsidR="00506C90" w:rsidRDefault="00CD08BE">
            <w:r>
              <w:t>We are not sure if this scenario really exist, i.e. a mixed deployment with both LEO and GEO satellites, and both earth fixed-earth moving cells. In our opinion, the satellite type in a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for more progress.</w:t>
            </w:r>
          </w:p>
          <w:p w14:paraId="6B187B11" w14:textId="77777777" w:rsidR="00506C90" w:rsidRDefault="00CD08BE">
            <w:pPr>
              <w:spacing w:after="120"/>
            </w:pPr>
            <w:r>
              <w:lastRenderedPageBreak/>
              <w:t>But we think TN-NTN mixed deployment would be general as one of the purposes of introducing NTN is to compensate coverage in some remote areas and to fulfil anywhere connectivity. Therefore, idle mode mobility scenario between TN and NTN cannot be excluded.</w:t>
            </w:r>
          </w:p>
          <w:p w14:paraId="6B187B12" w14:textId="77777777" w:rsidR="00506C90" w:rsidRDefault="00CD08BE">
            <w:r>
              <w:t>For eMTC over NTN, priority based cell reselection mechanism can be re-used in this scenario, e.g., to guarantee TN cell is with higher priority and more easily to be selected when it exists. For NB-IoT over NTN, a simple method based on cell Qoffset may be feasible, e.g., to decrease the order of a NTN cell in the ranking list by using an offset.</w:t>
            </w:r>
          </w:p>
        </w:tc>
      </w:tr>
      <w:tr w:rsidR="00506C90" w14:paraId="6B187B17" w14:textId="77777777">
        <w:tc>
          <w:tcPr>
            <w:tcW w:w="1496" w:type="dxa"/>
          </w:tcPr>
          <w:p w14:paraId="6B187B14" w14:textId="77777777" w:rsidR="00506C90" w:rsidRDefault="00CD08BE">
            <w:r>
              <w:lastRenderedPageBreak/>
              <w:t>Lenovo</w:t>
            </w:r>
          </w:p>
        </w:tc>
        <w:tc>
          <w:tcPr>
            <w:tcW w:w="2009" w:type="dxa"/>
          </w:tcPr>
          <w:p w14:paraId="6B187B15" w14:textId="77777777" w:rsidR="00506C90" w:rsidRDefault="00CD08BE">
            <w:r>
              <w:t>Postpone</w:t>
            </w:r>
          </w:p>
        </w:tc>
        <w:tc>
          <w:tcPr>
            <w:tcW w:w="6210" w:type="dxa"/>
          </w:tcPr>
          <w:p w14:paraId="6B187B16" w14:textId="77777777" w:rsidR="00506C90" w:rsidRDefault="00CD08BE">
            <w:r>
              <w:t>We need to wait for the progress for fixed/moving cell in NR NTN and possibly further discussion on scenarios in IoT NTN, to see if mixed deployment in NTN is a common or a rare case. Besides at least for TN-NTN scenario we think legacy eMTC priorities could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We think legacy eMTC cell reselection priorities could be used as baseline for eMTC-NTN.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LEO and GEO are different RATs as per NR NTN solution. Therefore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eMTC, the legacy priorities could be used to control cell reselection between different cell type. </w:t>
            </w:r>
          </w:p>
        </w:tc>
      </w:tr>
      <w:tr w:rsidR="00245C18" w14:paraId="0EDFCF47" w14:textId="77777777">
        <w:trPr>
          <w:ins w:id="22" w:author="cmcc" w:date="2021-02-01T09:44:00Z"/>
        </w:trPr>
        <w:tc>
          <w:tcPr>
            <w:tcW w:w="1496" w:type="dxa"/>
          </w:tcPr>
          <w:p w14:paraId="7E06850B" w14:textId="702518AB" w:rsidR="00245C18" w:rsidRDefault="00245C18" w:rsidP="00245C18">
            <w:pPr>
              <w:rPr>
                <w:ins w:id="23" w:author="cmcc" w:date="2021-02-01T09:44:00Z"/>
              </w:rPr>
            </w:pPr>
            <w:ins w:id="24"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25" w:author="cmcc" w:date="2021-02-01T09:44:00Z"/>
              </w:rPr>
            </w:pPr>
          </w:p>
        </w:tc>
        <w:tc>
          <w:tcPr>
            <w:tcW w:w="6210" w:type="dxa"/>
          </w:tcPr>
          <w:p w14:paraId="1C233CCA" w14:textId="5A305733" w:rsidR="00245C18" w:rsidRDefault="00245C18" w:rsidP="00245C18">
            <w:pPr>
              <w:rPr>
                <w:ins w:id="26" w:author="cmcc" w:date="2021-02-01T09:44:00Z"/>
              </w:rPr>
            </w:pPr>
            <w:ins w:id="27" w:author="cmcc" w:date="2021-02-01T09:44:00Z">
              <w:r>
                <w:rPr>
                  <w:rFonts w:eastAsiaTheme="minorEastAsia"/>
                </w:rPr>
                <w:t>Whether the mixed deployment is a common case may be studied firstly.</w:t>
              </w:r>
            </w:ins>
          </w:p>
        </w:tc>
      </w:tr>
    </w:tbl>
    <w:p w14:paraId="6B187B28" w14:textId="77777777" w:rsidR="00506C90" w:rsidRDefault="00506C90"/>
    <w:p w14:paraId="6B187B29" w14:textId="77777777" w:rsidR="00506C90" w:rsidRDefault="00CD08BE">
      <w:pPr>
        <w:jc w:val="both"/>
        <w:rPr>
          <w:rFonts w:ascii="Arial" w:eastAsia="Arial" w:hAnsi="Arial" w:cs="Arial"/>
          <w:b/>
          <w:color w:val="000000"/>
        </w:rPr>
      </w:pPr>
      <w:r>
        <w:rPr>
          <w:rFonts w:ascii="Arial" w:eastAsia="Arial" w:hAnsi="Arial" w:cs="Arial"/>
          <w:b/>
          <w:color w:val="000000"/>
        </w:rPr>
        <w:t>Question 4(b): Do companies agree that Qoffset based method could be used for NB-IoT to prioritize cell re-selection between LEO-GEO cells and earth fixed-earth moving cells?</w:t>
      </w:r>
    </w:p>
    <w:tbl>
      <w:tblPr>
        <w:tblStyle w:val="af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Huawei, HiSilicon</w:t>
            </w:r>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(e.g.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The Qoffset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The cell specific Qoffset can be used to control cell reselection between different cell type.</w:t>
            </w:r>
          </w:p>
        </w:tc>
      </w:tr>
      <w:tr w:rsidR="007D5E9B" w14:paraId="4C9AE996" w14:textId="77777777">
        <w:trPr>
          <w:ins w:id="28" w:author="cmcc" w:date="2021-02-01T09:45:00Z"/>
        </w:trPr>
        <w:tc>
          <w:tcPr>
            <w:tcW w:w="1496" w:type="dxa"/>
          </w:tcPr>
          <w:p w14:paraId="59969D94" w14:textId="63F5657F" w:rsidR="007D5E9B" w:rsidRDefault="007D5E9B" w:rsidP="007D5E9B">
            <w:pPr>
              <w:rPr>
                <w:ins w:id="29" w:author="cmcc" w:date="2021-02-01T09:45:00Z"/>
              </w:rPr>
            </w:pPr>
            <w:ins w:id="30"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31" w:author="cmcc" w:date="2021-02-01T09:45:00Z"/>
              </w:rPr>
            </w:pPr>
            <w:ins w:id="32"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33" w:author="cmcc" w:date="2021-02-01T09:45:00Z"/>
              </w:rPr>
            </w:pPr>
            <w:ins w:id="34" w:author="cmcc" w:date="2021-02-01T09:45:00Z">
              <w:r>
                <w:rPr>
                  <w:rFonts w:eastAsiaTheme="minorEastAsia" w:hint="eastAsia"/>
                </w:rPr>
                <w:t>T</w:t>
              </w:r>
              <w:r>
                <w:rPr>
                  <w:rFonts w:eastAsiaTheme="minorEastAsia"/>
                </w:rPr>
                <w:t>his issue is too early to discuss.</w:t>
              </w:r>
            </w:ins>
          </w:p>
        </w:tc>
      </w:tr>
    </w:tbl>
    <w:p w14:paraId="6B187B4C" w14:textId="77777777" w:rsidR="00506C90" w:rsidRDefault="00506C90"/>
    <w:p w14:paraId="6B187B4D" w14:textId="77777777" w:rsidR="00506C90" w:rsidRDefault="00506C90"/>
    <w:p w14:paraId="6B187B4E" w14:textId="77777777" w:rsidR="00506C90" w:rsidRDefault="00506C90"/>
    <w:p w14:paraId="6B187B4F" w14:textId="77777777" w:rsidR="00506C90" w:rsidRDefault="00CD08BE">
      <w:pPr>
        <w:jc w:val="both"/>
        <w:rPr>
          <w:rFonts w:ascii="Arial" w:eastAsia="Arial" w:hAnsi="Arial" w:cs="Arial"/>
        </w:rPr>
      </w:pPr>
      <w:r>
        <w:rPr>
          <w:rFonts w:ascii="Arial" w:eastAsia="Arial" w:hAnsi="Arial" w:cs="Arial"/>
        </w:rPr>
        <w:t xml:space="preserve">The effects of eDRX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to trigger cell selection procedure immediately at the beginning of PTW in an eDRX cycle, R2-2100808 [11] mentions usage of satellite assistance information, R2-2100541 [8] and R2-2101248 [15] propose study of eDRX and its effects with </w:t>
      </w:r>
      <w:r>
        <w:rPr>
          <w:rFonts w:ascii="Arial" w:eastAsia="Arial" w:hAnsi="Arial" w:cs="Arial"/>
        </w:rPr>
        <w:lastRenderedPageBreak/>
        <w:t xml:space="preserve">discontinuous coverage. On the other hand, R2-2100738 [9] suggests to wait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Question 5(a): Do companies agree that RAN2 should evaluate eDRX with additional considerations of possible discontinuous coverage?</w:t>
      </w:r>
    </w:p>
    <w:tbl>
      <w:tblPr>
        <w:tblStyle w:val="af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Huawei, HiSilicon</w:t>
            </w:r>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We agree to discuss the effect of eDRX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According to our comments to Q3(a) and Q3(b), before getting more progress from RAN1, we will mainly focus on the eDRX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Compared to TN mobility for eDRX scenarios, the power consumption for eDRX scenario even for stationary UE considering satellite mobility will be higher. So additional consideration needed for eDRX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The possible issue due to amount of time UE will be in long eDRX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Gatehouse, Sateliot</w:t>
            </w:r>
          </w:p>
        </w:tc>
        <w:tc>
          <w:tcPr>
            <w:tcW w:w="2009" w:type="dxa"/>
          </w:tcPr>
          <w:p w14:paraId="6B187B76" w14:textId="77777777" w:rsidR="00506C90" w:rsidRDefault="00CD08BE">
            <w:r>
              <w:t>Agree</w:t>
            </w:r>
          </w:p>
        </w:tc>
        <w:tc>
          <w:tcPr>
            <w:tcW w:w="6210" w:type="dxa"/>
          </w:tcPr>
          <w:p w14:paraId="6B187B77" w14:textId="77777777" w:rsidR="00506C90" w:rsidRDefault="00CD08BE">
            <w:r>
              <w:t>Devices need to be able to re-synchronize to the network and regain coverage, also in scenarios considering eDRX and discontinuous coverage. Satellite constellations servicing intended discontinuous coverage, likely have devices connected with focus on low power usage, and thus eDRX/PSM.</w:t>
            </w:r>
          </w:p>
        </w:tc>
      </w:tr>
      <w:tr w:rsidR="00D76266" w14:paraId="6B187B7C" w14:textId="77777777">
        <w:tc>
          <w:tcPr>
            <w:tcW w:w="1496" w:type="dxa"/>
          </w:tcPr>
          <w:p w14:paraId="6B187B79" w14:textId="791F9E32" w:rsidR="00D76266" w:rsidRDefault="00D76266" w:rsidP="00D76266">
            <w:ins w:id="35"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36" w:author="cmcc" w:date="2021-02-01T09:45:00Z">
              <w:r>
                <w:rPr>
                  <w:rFonts w:eastAsiaTheme="minorEastAsia"/>
                </w:rPr>
                <w:t>It could be discussed until a clear progress on discontinuous coverage has made.</w:t>
              </w:r>
            </w:ins>
          </w:p>
        </w:tc>
      </w:tr>
    </w:tbl>
    <w:p w14:paraId="6B187B7D" w14:textId="77777777" w:rsidR="00506C90" w:rsidRDefault="00506C90"/>
    <w:p w14:paraId="6B187B7E" w14:textId="77777777" w:rsidR="00506C90" w:rsidRDefault="00CD08BE">
      <w:pPr>
        <w:jc w:val="both"/>
        <w:rPr>
          <w:rFonts w:ascii="Arial" w:eastAsia="Arial" w:hAnsi="Arial" w:cs="Arial"/>
          <w:b/>
          <w:color w:val="000000"/>
        </w:rPr>
      </w:pPr>
      <w:r>
        <w:rPr>
          <w:rFonts w:ascii="Arial" w:eastAsia="Arial" w:hAnsi="Arial" w:cs="Arial"/>
          <w:b/>
          <w:color w:val="000000"/>
        </w:rPr>
        <w:t>Question 5(b): If the answer to Question 5(a) is “Agree”, suggest possible improvements for cell re-selection during eDRX cycle?</w:t>
      </w:r>
    </w:p>
    <w:tbl>
      <w:tblPr>
        <w:tblStyle w:val="af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For IoT UE configured with (long) eDRX cycle, the neighbour cells in an eDRX cycle may stop serving this area in the further eDRX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More stringent condition for triggering the neighbor cell measurement for UE configured with eDRX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It can be considered that UE configured with eDRX cycle can perform the cell selection procedure immediately at the beginning of PTW in an eDRX cycle.</w:t>
            </w:r>
          </w:p>
        </w:tc>
      </w:tr>
      <w:tr w:rsidR="00506C90" w14:paraId="6B187B8C" w14:textId="77777777">
        <w:tc>
          <w:tcPr>
            <w:tcW w:w="1496" w:type="dxa"/>
          </w:tcPr>
          <w:p w14:paraId="6B187B89" w14:textId="77777777" w:rsidR="00506C90" w:rsidRDefault="00CD08BE">
            <w:r>
              <w:t>Xiaomi</w:t>
            </w:r>
          </w:p>
        </w:tc>
        <w:tc>
          <w:tcPr>
            <w:tcW w:w="2009" w:type="dxa"/>
          </w:tcPr>
          <w:p w14:paraId="6B187B8A" w14:textId="77777777" w:rsidR="00506C90" w:rsidRDefault="00506C90"/>
        </w:tc>
        <w:tc>
          <w:tcPr>
            <w:tcW w:w="6210" w:type="dxa"/>
          </w:tcPr>
          <w:p w14:paraId="6B187B8B" w14:textId="77777777" w:rsidR="00506C90" w:rsidRDefault="00CD08BE">
            <w:r>
              <w:t>The assistance information of target cells can be provide to UE in advance for UE performing cell selection/reselection when UE wakes from eDRX cycle. For example, the frequency and PCI of target cell can be provide to UE.</w:t>
            </w:r>
          </w:p>
        </w:tc>
      </w:tr>
      <w:tr w:rsidR="00506C90" w14:paraId="6B187B90" w14:textId="77777777">
        <w:tc>
          <w:tcPr>
            <w:tcW w:w="1496" w:type="dxa"/>
          </w:tcPr>
          <w:p w14:paraId="6B187B8D" w14:textId="77777777" w:rsidR="00506C90" w:rsidRDefault="00CD08BE">
            <w:r>
              <w:t>Nokia</w:t>
            </w:r>
          </w:p>
        </w:tc>
        <w:tc>
          <w:tcPr>
            <w:tcW w:w="2009" w:type="dxa"/>
          </w:tcPr>
          <w:p w14:paraId="6B187B8E" w14:textId="77777777" w:rsidR="00506C90" w:rsidRDefault="00506C90"/>
        </w:tc>
        <w:tc>
          <w:tcPr>
            <w:tcW w:w="6210" w:type="dxa"/>
          </w:tcPr>
          <w:p w14:paraId="6B187B8F" w14:textId="77777777" w:rsidR="00506C90" w:rsidRDefault="00CD08BE">
            <w:r>
              <w:t>Enhancements to minimise the overall power consumption on UE waking up in eDRX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t>Qualcomm</w:t>
            </w:r>
          </w:p>
        </w:tc>
        <w:tc>
          <w:tcPr>
            <w:tcW w:w="2009" w:type="dxa"/>
          </w:tcPr>
          <w:p w14:paraId="6B187B92" w14:textId="77777777" w:rsidR="00506C90" w:rsidRDefault="00CD08BE">
            <w:r>
              <w:t>--</w:t>
            </w:r>
          </w:p>
        </w:tc>
        <w:tc>
          <w:tcPr>
            <w:tcW w:w="6210" w:type="dxa"/>
          </w:tcPr>
          <w:p w14:paraId="6B187B93" w14:textId="77777777" w:rsidR="00506C90" w:rsidRDefault="00CD08BE">
            <w:r>
              <w:t>It is not clear what it meant by “during eDRX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lastRenderedPageBreak/>
              <w:t>Gatehouse, Sateliot</w:t>
            </w:r>
          </w:p>
        </w:tc>
        <w:tc>
          <w:tcPr>
            <w:tcW w:w="2009" w:type="dxa"/>
          </w:tcPr>
          <w:p w14:paraId="6B187B97" w14:textId="77777777" w:rsidR="00506C90" w:rsidRDefault="00506C90"/>
        </w:tc>
        <w:tc>
          <w:tcPr>
            <w:tcW w:w="6210" w:type="dxa"/>
          </w:tcPr>
          <w:p w14:paraId="6B187B98" w14:textId="77777777" w:rsidR="00506C90" w:rsidRDefault="00CD08BE">
            <w:r>
              <w:t>The device’s eDRX cycle will need to be synchronized with satellite coverage, for example by using constellation ephemeris information.</w:t>
            </w:r>
          </w:p>
        </w:tc>
      </w:tr>
      <w:tr w:rsidR="00506C90" w14:paraId="6B187B9D" w14:textId="77777777">
        <w:tc>
          <w:tcPr>
            <w:tcW w:w="1496" w:type="dxa"/>
          </w:tcPr>
          <w:p w14:paraId="6B187B9A" w14:textId="77777777" w:rsidR="00506C90" w:rsidRDefault="00506C90"/>
        </w:tc>
        <w:tc>
          <w:tcPr>
            <w:tcW w:w="2009" w:type="dxa"/>
          </w:tcPr>
          <w:p w14:paraId="6B187B9B" w14:textId="77777777" w:rsidR="00506C90" w:rsidRDefault="00506C90"/>
        </w:tc>
        <w:tc>
          <w:tcPr>
            <w:tcW w:w="6210" w:type="dxa"/>
          </w:tcPr>
          <w:p w14:paraId="6B187B9C" w14:textId="77777777" w:rsidR="00506C90" w:rsidRDefault="00506C90"/>
        </w:tc>
      </w:tr>
      <w:tr w:rsidR="00506C90" w14:paraId="6B187BA1" w14:textId="77777777">
        <w:tc>
          <w:tcPr>
            <w:tcW w:w="1496" w:type="dxa"/>
          </w:tcPr>
          <w:p w14:paraId="6B187B9E" w14:textId="77777777" w:rsidR="00506C90" w:rsidRDefault="00506C90"/>
        </w:tc>
        <w:tc>
          <w:tcPr>
            <w:tcW w:w="2009" w:type="dxa"/>
          </w:tcPr>
          <w:p w14:paraId="6B187B9F" w14:textId="77777777" w:rsidR="00506C90" w:rsidRDefault="00506C90"/>
        </w:tc>
        <w:tc>
          <w:tcPr>
            <w:tcW w:w="6210" w:type="dxa"/>
          </w:tcPr>
          <w:p w14:paraId="6B187BA0" w14:textId="77777777" w:rsidR="00506C90" w:rsidRDefault="00506C90"/>
        </w:tc>
      </w:tr>
    </w:tbl>
    <w:p w14:paraId="6B187BA2" w14:textId="77777777" w:rsidR="00506C90" w:rsidRDefault="00506C90"/>
    <w:p w14:paraId="6B187BA3" w14:textId="77777777" w:rsidR="00506C90" w:rsidRDefault="00506C90"/>
    <w:p w14:paraId="6B187BA4" w14:textId="77777777" w:rsidR="00506C90" w:rsidRDefault="00506C90"/>
    <w:p w14:paraId="6B187BA5" w14:textId="77777777" w:rsidR="00506C90" w:rsidRDefault="00CD08BE">
      <w:pPr>
        <w:pStyle w:val="1"/>
      </w:pPr>
      <w:r>
        <w:t xml:space="preserve">6 Conclusion </w:t>
      </w:r>
      <w:r>
        <w:rPr>
          <w:highlight w:val="yellow"/>
        </w:rPr>
        <w:t>&lt; will be updated after Email discussion &gt;</w:t>
      </w:r>
    </w:p>
    <w:p w14:paraId="6B187BA6" w14:textId="77777777"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r>
        <w:rPr>
          <w:rFonts w:ascii="Arial" w:eastAsia="Arial" w:hAnsi="Arial" w:cs="Arial"/>
          <w:b/>
          <w:color w:val="000000"/>
        </w:rPr>
        <w:t>eMTC based NTN will use the following connected mode mobility agreements made in NR-NTN:</w:t>
      </w:r>
    </w:p>
    <w:p w14:paraId="6B187BA7"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BA8"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BA9"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Location based CHO triggering event, in combination with the existing R16 CHO measurement based event, should be introduced for both moving cell and fixed cell scenario.  </w:t>
      </w:r>
    </w:p>
    <w:p w14:paraId="6B187BAA" w14:textId="77777777" w:rsidR="00506C90" w:rsidRDefault="00CD08BE">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BAB" w14:textId="77777777" w:rsidR="00506C90" w:rsidRDefault="00506C90">
      <w:pPr>
        <w:rPr>
          <w:sz w:val="4"/>
          <w:szCs w:val="4"/>
        </w:rPr>
      </w:pPr>
    </w:p>
    <w:p w14:paraId="6B187BAC"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BAD" w14:textId="77777777" w:rsidR="00506C90" w:rsidRDefault="00506C90">
      <w:pPr>
        <w:rPr>
          <w:sz w:val="2"/>
          <w:szCs w:val="2"/>
        </w:rPr>
      </w:pPr>
    </w:p>
    <w:p w14:paraId="6B187BAE" w14:textId="77777777" w:rsidR="00506C90" w:rsidRDefault="00CD08BE">
      <w:pPr>
        <w:jc w:val="both"/>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BAF" w14:textId="77777777" w:rsidR="00506C90" w:rsidRDefault="00506C90">
      <w:pPr>
        <w:jc w:val="both"/>
      </w:pPr>
    </w:p>
    <w:p w14:paraId="6B187BB0" w14:textId="77777777" w:rsidR="00506C90" w:rsidRDefault="00CD08BE">
      <w:pPr>
        <w:jc w:val="both"/>
        <w:rPr>
          <w:rFonts w:ascii="Arial" w:eastAsia="Arial" w:hAnsi="Arial" w:cs="Arial"/>
          <w:color w:val="0000CC"/>
        </w:rPr>
      </w:pPr>
      <w:r>
        <w:rPr>
          <w:rFonts w:ascii="Arial" w:eastAsia="Arial" w:hAnsi="Arial" w:cs="Arial"/>
          <w:color w:val="0000CC"/>
          <w:highlight w:val="yellow"/>
        </w:rPr>
        <w:t>Remaining Proposals will be made based on rapporteur’s summary from the email discussions.</w:t>
      </w:r>
    </w:p>
    <w:p w14:paraId="6B187BB1" w14:textId="77777777" w:rsidR="00506C90" w:rsidRDefault="00506C90">
      <w:pPr>
        <w:jc w:val="both"/>
        <w:rPr>
          <w:rFonts w:ascii="Arial" w:eastAsia="Arial" w:hAnsi="Arial" w:cs="Arial"/>
        </w:rPr>
      </w:pPr>
    </w:p>
    <w:p w14:paraId="6B187BB2" w14:textId="77777777" w:rsidR="00506C90" w:rsidRDefault="00CD08BE">
      <w:pPr>
        <w:pStyle w:val="1"/>
      </w:pPr>
      <w:r>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t>[4]</w:t>
      </w:r>
      <w:r>
        <w:tab/>
        <w:t>R2-2100263, Improving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R2-2100266, Connected Mode Mobility in IoT-NTN,</w:t>
      </w:r>
      <w:r>
        <w:tab/>
        <w:t>MediaTek Inc, Eutelsat.</w:t>
      </w:r>
    </w:p>
    <w:p w14:paraId="6B187BB9" w14:textId="77777777" w:rsidR="00506C90" w:rsidRDefault="00CD08BE">
      <w:r>
        <w:lastRenderedPageBreak/>
        <w:t>[7]</w:t>
      </w:r>
      <w:r>
        <w:tab/>
        <w:t>R2-2100338, Consideration on the control plane of IoT over NTN, ZTE Corp, Sanechips.</w:t>
      </w:r>
    </w:p>
    <w:p w14:paraId="6B187BBA" w14:textId="77777777" w:rsidR="00506C90" w:rsidRDefault="00CD08BE">
      <w:r>
        <w:t>[8]</w:t>
      </w:r>
      <w:r>
        <w:tab/>
        <w:t>R2-2100541, Discussion on the service link discontinuity and affected procedures for NB-IoT NTN, Gatehouse, Sateliot.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R2-2100807, Discussion on connected mode mobility in NB-IoT and eMTC NTN, Xiomi.</w:t>
      </w:r>
    </w:p>
    <w:p w14:paraId="6B187BBD" w14:textId="77777777" w:rsidR="00506C90" w:rsidRDefault="00CD08BE">
      <w:r>
        <w:t>[11]</w:t>
      </w:r>
      <w:r>
        <w:tab/>
        <w:t>R2-2100808, Cell selection and reselection for IoT NTN, Xiomi.</w:t>
      </w:r>
    </w:p>
    <w:p w14:paraId="6B187BBE" w14:textId="77777777" w:rsidR="00506C90" w:rsidRDefault="00CD08BE">
      <w:r>
        <w:t>[12]</w:t>
      </w:r>
      <w:r>
        <w:tab/>
        <w:t>R2-2101054, Discussion on Mobility and TA for NTN NB-IoT, Huawei, HiSilicon.</w:t>
      </w:r>
    </w:p>
    <w:p w14:paraId="6B187BBF" w14:textId="77777777" w:rsidR="00506C90" w:rsidRDefault="00CD08BE">
      <w:r>
        <w:t>[13]</w:t>
      </w:r>
      <w:r>
        <w:tab/>
        <w:t>R2-2101131, Discontinuous coverage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t>R2-2101248, Discussion on the service link discontinuity and affected procedures for NB-IoT NTN, Gatehouse, Sateliot, Thales.</w:t>
      </w:r>
    </w:p>
    <w:p w14:paraId="6B187BC2" w14:textId="77777777" w:rsidR="00506C90" w:rsidRDefault="00CD08BE">
      <w:r>
        <w:t>[16]</w:t>
      </w:r>
      <w:r>
        <w:tab/>
        <w:t>R2-2101555, Idle and connected mode mobility for IoT NTN, Ericsson.</w:t>
      </w:r>
    </w:p>
    <w:sectPr w:rsidR="00506C9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w:date="2021-01-28T22:24:00Z" w:initials="">
    <w:p w14:paraId="6B187BC3" w14:textId="77777777" w:rsidR="00506C90" w:rsidRDefault="00CD08B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IoT over NTN as the moving speed of IoT UE is usually not high. So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187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187BC3" w16cid:durableId="23BE68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17DE2" w14:textId="77777777" w:rsidR="000D2CBC" w:rsidRDefault="000D2CBC" w:rsidP="00617813">
      <w:pPr>
        <w:spacing w:after="0"/>
      </w:pPr>
      <w:r>
        <w:separator/>
      </w:r>
    </w:p>
  </w:endnote>
  <w:endnote w:type="continuationSeparator" w:id="0">
    <w:p w14:paraId="02144388" w14:textId="77777777" w:rsidR="000D2CBC" w:rsidRDefault="000D2CBC"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52480" w14:textId="77777777" w:rsidR="000D2CBC" w:rsidRDefault="000D2CBC" w:rsidP="00617813">
      <w:pPr>
        <w:spacing w:after="0"/>
      </w:pPr>
      <w:r>
        <w:separator/>
      </w:r>
    </w:p>
  </w:footnote>
  <w:footnote w:type="continuationSeparator" w:id="0">
    <w:p w14:paraId="43E8A705" w14:textId="77777777" w:rsidR="000D2CBC" w:rsidRDefault="000D2CBC"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D2CBC"/>
    <w:rsid w:val="001B6C3E"/>
    <w:rsid w:val="00245C18"/>
    <w:rsid w:val="00396C6A"/>
    <w:rsid w:val="00506C90"/>
    <w:rsid w:val="00617813"/>
    <w:rsid w:val="007D5E9B"/>
    <w:rsid w:val="00CD08BE"/>
    <w:rsid w:val="00D76266"/>
    <w:rsid w:val="00E13712"/>
    <w:rsid w:val="00F01F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79FF"/>
  <w15:docId w15:val="{5F51A865-91EB-47CE-B8E6-C3ED6A1E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1C"/>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Pr>
  </w:style>
  <w:style w:type="table" w:customStyle="1" w:styleId="af0">
    <w:basedOn w:val="a1"/>
    <w:pPr>
      <w:spacing w:after="0"/>
    </w:pPr>
    <w:tblPr>
      <w:tblStyleRowBandSize w:val="1"/>
      <w:tblStyleColBandSize w:val="1"/>
    </w:tblPr>
  </w:style>
  <w:style w:type="table" w:customStyle="1" w:styleId="af1">
    <w:basedOn w:val="a1"/>
    <w:pPr>
      <w:spacing w:after="0"/>
    </w:pPr>
    <w:tblPr>
      <w:tblStyleRowBandSize w:val="1"/>
      <w:tblStyleColBandSize w:val="1"/>
    </w:tblPr>
  </w:style>
  <w:style w:type="table" w:customStyle="1" w:styleId="af2">
    <w:basedOn w:val="a1"/>
    <w:pPr>
      <w:spacing w:after="0"/>
    </w:pPr>
    <w:tblPr>
      <w:tblStyleRowBandSize w:val="1"/>
      <w:tblStyleColBandSize w:val="1"/>
    </w:tblPr>
  </w:style>
  <w:style w:type="table" w:customStyle="1" w:styleId="af3">
    <w:basedOn w:val="a1"/>
    <w:pPr>
      <w:spacing w:after="0"/>
    </w:pPr>
    <w:tblPr>
      <w:tblStyleRowBandSize w:val="1"/>
      <w:tblStyleColBandSize w:val="1"/>
    </w:tblPr>
  </w:style>
  <w:style w:type="table" w:customStyle="1" w:styleId="af4">
    <w:basedOn w:val="a1"/>
    <w:pPr>
      <w:spacing w:after="0"/>
    </w:pPr>
    <w:tblPr>
      <w:tblStyleRowBandSize w:val="1"/>
      <w:tblStyleColBandSize w:val="1"/>
    </w:tbl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microsoft.com/office/2011/relationships/people" Target="people.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4755</Words>
  <Characters>27107</Characters>
  <Application>Microsoft Office Word</Application>
  <DocSecurity>0</DocSecurity>
  <Lines>225</Lines>
  <Paragraphs>63</Paragraphs>
  <ScaleCrop>false</ScaleCrop>
  <Company/>
  <LinksUpToDate>false</LinksUpToDate>
  <CharactersWithSpaces>31799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cmcc</cp:lastModifiedBy>
  <cp:revision>9</cp:revision>
  <dcterms:created xsi:type="dcterms:W3CDTF">2021-02-01T01:43:00Z</dcterms:created>
  <dcterms:modified xsi:type="dcterms:W3CDTF">2021-02-01T01:46:00Z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