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sz w:val="22"/>
        </w:rPr>
      </w:pPr>
      <w:r w:rsidRPr="00E103D1">
        <w:rPr>
          <w:rFonts w:cs="Arial"/>
          <w:sz w:val="22"/>
        </w:rPr>
        <w:t>Agenda Item:</w:t>
      </w:r>
      <w:r w:rsidRPr="00E103D1">
        <w:rPr>
          <w:rFonts w:cs="Arial"/>
          <w:sz w:val="22"/>
        </w:rPr>
        <w:tab/>
      </w:r>
      <w:r w:rsidR="006B4E9D" w:rsidRPr="00E103D1">
        <w:rPr>
          <w:rFonts w:cs="Arial"/>
          <w:sz w:val="22"/>
        </w:rPr>
        <w:t>5.4.1</w:t>
      </w:r>
      <w:r w:rsidR="00AE2BE0" w:rsidRPr="00E103D1">
        <w:rPr>
          <w:rFonts w:cs="Arial"/>
          <w:sz w:val="22"/>
        </w:rPr>
        <w:t>.</w:t>
      </w:r>
      <w:r w:rsidR="00773EF0" w:rsidRPr="00E103D1">
        <w:rPr>
          <w:rFonts w:cs="Arial"/>
          <w:sz w:val="22"/>
        </w:rPr>
        <w:t>1</w:t>
      </w:r>
    </w:p>
    <w:p w14:paraId="0F8DDB14" w14:textId="51E7B9A9" w:rsidR="00E90E49" w:rsidRPr="00E103D1" w:rsidRDefault="003D3C45" w:rsidP="00F64C2B">
      <w:pPr>
        <w:pStyle w:val="3GPPHeader"/>
        <w:rPr>
          <w:rFonts w:cs="Arial"/>
          <w:sz w:val="22"/>
        </w:rPr>
      </w:pPr>
      <w:r w:rsidRPr="00E103D1">
        <w:rPr>
          <w:rFonts w:cs="Arial"/>
          <w:sz w:val="22"/>
        </w:rPr>
        <w:t>Source:</w:t>
      </w:r>
      <w:r w:rsidR="00E90E49" w:rsidRPr="00E103D1">
        <w:rPr>
          <w:rFonts w:cs="Arial"/>
          <w:sz w:val="22"/>
        </w:rPr>
        <w:tab/>
      </w:r>
      <w:r w:rsidR="00D43874" w:rsidRPr="00E103D1">
        <w:rPr>
          <w:rFonts w:cs="Arial"/>
          <w:sz w:val="22"/>
        </w:rPr>
        <w:t>ZTE Corporation</w:t>
      </w:r>
    </w:p>
    <w:p w14:paraId="501A5A8B" w14:textId="375A8078" w:rsidR="00E90E49" w:rsidRPr="00E103D1" w:rsidRDefault="003D3C45" w:rsidP="00311702">
      <w:pPr>
        <w:pStyle w:val="3GPPHeader"/>
        <w:rPr>
          <w:rFonts w:cs="Arial"/>
          <w:sz w:val="22"/>
        </w:rPr>
      </w:pPr>
      <w:r w:rsidRPr="00E103D1">
        <w:rPr>
          <w:rFonts w:cs="Arial"/>
          <w:sz w:val="22"/>
        </w:rPr>
        <w:t>Title:</w:t>
      </w:r>
      <w:r w:rsidR="00E90E49" w:rsidRPr="00E103D1">
        <w:rPr>
          <w:rFonts w:cs="Arial"/>
          <w:sz w:val="22"/>
        </w:rPr>
        <w:tab/>
      </w:r>
      <w:r w:rsidR="00AE2BE0" w:rsidRPr="00E103D1">
        <w:rPr>
          <w:rFonts w:cs="Arial"/>
          <w:sz w:val="22"/>
        </w:rPr>
        <w:t>[AT11</w:t>
      </w:r>
      <w:r w:rsidR="000F5758" w:rsidRPr="00E103D1">
        <w:rPr>
          <w:rFonts w:cs="Arial"/>
          <w:sz w:val="22"/>
        </w:rPr>
        <w:t>3</w:t>
      </w:r>
      <w:r w:rsidR="00AE2BE0" w:rsidRPr="00E103D1">
        <w:rPr>
          <w:rFonts w:cs="Arial"/>
          <w:sz w:val="22"/>
        </w:rPr>
        <w:t>-</w:t>
      </w:r>
      <w:proofErr w:type="gramStart"/>
      <w:r w:rsidR="00AE2BE0" w:rsidRPr="00E103D1">
        <w:rPr>
          <w:rFonts w:cs="Arial"/>
          <w:sz w:val="22"/>
        </w:rPr>
        <w:t>e][</w:t>
      </w:r>
      <w:proofErr w:type="gramEnd"/>
      <w:r w:rsidR="00AE2BE0" w:rsidRPr="00E103D1">
        <w:rPr>
          <w:rFonts w:cs="Arial"/>
          <w:sz w:val="22"/>
        </w:rPr>
        <w:t>00</w:t>
      </w:r>
      <w:r w:rsidR="000F5758" w:rsidRPr="00E103D1">
        <w:rPr>
          <w:rFonts w:cs="Arial"/>
          <w:sz w:val="22"/>
        </w:rPr>
        <w:t>4</w:t>
      </w:r>
      <w:r w:rsidR="00AE2BE0" w:rsidRPr="00E103D1">
        <w:rPr>
          <w:rFonts w:cs="Arial"/>
          <w:sz w:val="22"/>
        </w:rPr>
        <w:t xml:space="preserve">][NR15] </w:t>
      </w:r>
      <w:r w:rsidR="00773EF0" w:rsidRPr="00E103D1">
        <w:rPr>
          <w:rFonts w:cs="Arial"/>
          <w:sz w:val="22"/>
        </w:rPr>
        <w:t>Conn</w:t>
      </w:r>
      <w:r w:rsidR="000F5758" w:rsidRPr="00E103D1">
        <w:rPr>
          <w:rFonts w:cs="Arial"/>
          <w:sz w:val="22"/>
        </w:rPr>
        <w:t xml:space="preserve">ection Control </w:t>
      </w:r>
      <w:r w:rsidR="00773EF0" w:rsidRPr="00E103D1">
        <w:rPr>
          <w:rFonts w:cs="Arial"/>
          <w:sz w:val="22"/>
        </w:rPr>
        <w:t>I</w:t>
      </w:r>
      <w:r w:rsidR="00AE2BE0" w:rsidRPr="00E103D1">
        <w:rPr>
          <w:rFonts w:cs="Arial"/>
          <w:sz w:val="22"/>
        </w:rPr>
        <w:t xml:space="preserve"> (</w:t>
      </w:r>
      <w:r w:rsidR="00D43874" w:rsidRPr="00E103D1">
        <w:rPr>
          <w:rFonts w:cs="Arial"/>
          <w:sz w:val="22"/>
        </w:rPr>
        <w:t>ZTE</w:t>
      </w:r>
      <w:r w:rsidR="00AE2BE0" w:rsidRPr="00E103D1">
        <w:rPr>
          <w:rFonts w:cs="Arial"/>
          <w:sz w:val="22"/>
        </w:rPr>
        <w:t>)</w:t>
      </w:r>
      <w:r w:rsidR="00AE2BE0" w:rsidRPr="00E103D1">
        <w:rPr>
          <w:rFonts w:cs="Arial"/>
          <w:sz w:val="22"/>
        </w:rPr>
        <w:tab/>
      </w:r>
      <w:r w:rsidR="00AE2BE0" w:rsidRPr="00E103D1">
        <w:rPr>
          <w:rFonts w:cs="Arial"/>
          <w:sz w:val="22"/>
        </w:rPr>
        <w:tab/>
      </w:r>
    </w:p>
    <w:p w14:paraId="1E105CE4" w14:textId="77777777" w:rsidR="00E90E49" w:rsidRPr="00E103D1" w:rsidRDefault="00E90E49" w:rsidP="00D546FF">
      <w:pPr>
        <w:pStyle w:val="3GPPHeader"/>
        <w:rPr>
          <w:rFonts w:cs="Arial"/>
          <w:sz w:val="22"/>
        </w:rPr>
      </w:pPr>
      <w:r w:rsidRPr="00E103D1">
        <w:rPr>
          <w:rFonts w:cs="Arial"/>
          <w:sz w:val="22"/>
        </w:rPr>
        <w:t>Document for:</w:t>
      </w:r>
      <w:r w:rsidRPr="00E103D1">
        <w:rPr>
          <w:rFonts w:cs="Arial"/>
          <w:sz w:val="22"/>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7777777" w:rsidR="000F5758" w:rsidRDefault="000F5758" w:rsidP="000F5758">
      <w:pPr>
        <w:pStyle w:val="EmailDiscussion2"/>
      </w:pPr>
      <w:r>
        <w:tab/>
        <w:t>Scope: Treat R2-2100551, R2-2100552,</w:t>
      </w:r>
      <w:r w:rsidRPr="00B609C4">
        <w:t xml:space="preserve"> </w:t>
      </w:r>
      <w:r>
        <w:t>R2-2100553,</w:t>
      </w:r>
      <w:r w:rsidRPr="00B609C4">
        <w:t xml:space="preserve"> </w:t>
      </w:r>
      <w:r>
        <w:t>R2-2100554,</w:t>
      </w:r>
      <w:r w:rsidRPr="00B609C4">
        <w:t xml:space="preserve"> </w:t>
      </w:r>
      <w:r>
        <w:t>R2-2100555,</w:t>
      </w:r>
      <w:r w:rsidRPr="00B609C4">
        <w:t xml:space="preserve"> </w:t>
      </w:r>
      <w:r>
        <w:t>R2-2100556,</w:t>
      </w:r>
      <w:r w:rsidRPr="00B609C4">
        <w:t xml:space="preserve"> </w:t>
      </w:r>
      <w:r>
        <w:t>R2-2100765, R2-2100771,</w:t>
      </w:r>
      <w:r w:rsidRPr="00B609C4">
        <w:t xml:space="preserve"> </w:t>
      </w:r>
      <w:r>
        <w:t>R2-2101732, R2-2100557, R2-2100558,</w:t>
      </w:r>
      <w:r w:rsidRPr="00527C63">
        <w:t xml:space="preserve"> </w:t>
      </w:r>
      <w:r>
        <w:t>R2-2100559,</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Heading1"/>
        <w:numPr>
          <w:ilvl w:val="0"/>
          <w:numId w:val="0"/>
        </w:numPr>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A042E1">
        <w:tc>
          <w:tcPr>
            <w:tcW w:w="3114"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515"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A042E1">
        <w:tc>
          <w:tcPr>
            <w:tcW w:w="3114"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515"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A042E1">
        <w:tc>
          <w:tcPr>
            <w:tcW w:w="3114" w:type="dxa"/>
            <w:vAlign w:val="bottom"/>
          </w:tcPr>
          <w:p w14:paraId="63E03494" w14:textId="700CAED9"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Google</w:t>
            </w:r>
          </w:p>
        </w:tc>
        <w:tc>
          <w:tcPr>
            <w:tcW w:w="6515" w:type="dxa"/>
            <w:vAlign w:val="bottom"/>
          </w:tcPr>
          <w:p w14:paraId="2B4DF054" w14:textId="69B75C47"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frankwu@google.com</w:t>
            </w:r>
          </w:p>
        </w:tc>
      </w:tr>
      <w:tr w:rsidR="00A042E1" w14:paraId="3F32057D" w14:textId="77777777" w:rsidTr="00A042E1">
        <w:tc>
          <w:tcPr>
            <w:tcW w:w="3114" w:type="dxa"/>
            <w:vAlign w:val="bottom"/>
          </w:tcPr>
          <w:p w14:paraId="4FED07AF"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534CAA67" w14:textId="77777777" w:rsidR="00A042E1" w:rsidRPr="00A042E1" w:rsidRDefault="00A042E1" w:rsidP="00A042E1">
            <w:pPr>
              <w:snapToGrid w:val="0"/>
              <w:spacing w:before="120" w:after="120"/>
              <w:rPr>
                <w:rFonts w:ascii="Arial" w:hAnsi="Arial" w:cs="Arial"/>
                <w:lang w:val="en-GB" w:eastAsia="ja-JP"/>
              </w:rPr>
            </w:pPr>
          </w:p>
        </w:tc>
      </w:tr>
      <w:tr w:rsidR="00A042E1" w14:paraId="3CA2B04E" w14:textId="77777777" w:rsidTr="00A042E1">
        <w:tc>
          <w:tcPr>
            <w:tcW w:w="3114" w:type="dxa"/>
            <w:vAlign w:val="bottom"/>
          </w:tcPr>
          <w:p w14:paraId="4D44425D"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4EB2CE57" w14:textId="77777777" w:rsidR="00A042E1" w:rsidRPr="00A042E1" w:rsidRDefault="00A042E1" w:rsidP="00A042E1">
            <w:pPr>
              <w:snapToGrid w:val="0"/>
              <w:spacing w:before="120" w:after="120"/>
              <w:rPr>
                <w:rFonts w:ascii="Arial" w:hAnsi="Arial" w:cs="Arial"/>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524517D6" w:rsidR="00773EF0" w:rsidRDefault="005C6D5C" w:rsidP="00773EF0">
      <w:pPr>
        <w:pStyle w:val="Heading2"/>
      </w:pPr>
      <w:r>
        <w:t>First Active BWP</w:t>
      </w:r>
    </w:p>
    <w:p w14:paraId="38BB1806" w14:textId="77777777" w:rsidR="00A96FEE" w:rsidRPr="00A96FEE" w:rsidRDefault="00E05A12" w:rsidP="00A96FEE">
      <w:pPr>
        <w:spacing w:before="60"/>
        <w:ind w:left="1259" w:hanging="1259"/>
        <w:rPr>
          <w:rFonts w:ascii="Arial" w:eastAsia="MS Mincho" w:hAnsi="Arial" w:cs="Times New Roman"/>
          <w:noProof/>
          <w:sz w:val="20"/>
          <w:lang w:val="en-GB" w:eastAsia="en-GB"/>
        </w:rPr>
      </w:pPr>
      <w:hyperlink r:id="rId11" w:history="1">
        <w:r w:rsidR="00A96FEE" w:rsidRPr="00A96FEE">
          <w:rPr>
            <w:rFonts w:ascii="Arial" w:eastAsia="MS Mincho" w:hAnsi="Arial" w:cs="Times New Roman"/>
            <w:noProof/>
            <w:color w:val="0000FF"/>
            <w:sz w:val="20"/>
            <w:u w:val="single"/>
            <w:lang w:val="en-GB" w:eastAsia="en-GB"/>
          </w:rPr>
          <w:t>R2-2100551</w:t>
        </w:r>
      </w:hyperlink>
      <w:r w:rsidR="00A96FEE" w:rsidRPr="00A96FEE">
        <w:rPr>
          <w:rFonts w:ascii="Arial" w:eastAsia="MS Mincho" w:hAnsi="Arial" w:cs="Times New Roman"/>
          <w:noProof/>
          <w:sz w:val="20"/>
          <w:lang w:val="en-GB" w:eastAsia="en-GB"/>
        </w:rPr>
        <w:tab/>
        <w:t>Report of Email discussion[061][NR15] Configuration of First Active BWP</w:t>
      </w:r>
      <w:r w:rsidR="00A96FEE" w:rsidRPr="00A96FEE">
        <w:rPr>
          <w:rFonts w:ascii="Arial" w:eastAsia="MS Mincho" w:hAnsi="Arial" w:cs="Times New Roman"/>
          <w:noProof/>
          <w:sz w:val="20"/>
          <w:lang w:val="en-GB" w:eastAsia="en-GB"/>
        </w:rPr>
        <w:tab/>
        <w:t>ZTE Corporation, Sanechips</w:t>
      </w:r>
      <w:r w:rsidR="00A96FEE" w:rsidRPr="00A96FEE">
        <w:rPr>
          <w:rFonts w:ascii="Arial" w:eastAsia="MS Mincho" w:hAnsi="Arial" w:cs="Times New Roman"/>
          <w:noProof/>
          <w:sz w:val="20"/>
          <w:lang w:val="en-GB" w:eastAsia="en-GB"/>
        </w:rPr>
        <w:tab/>
        <w:t>discussion</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NR_newRAT-Core</w:t>
      </w:r>
    </w:p>
    <w:p w14:paraId="7C9565CF" w14:textId="77777777" w:rsidR="00A96FEE" w:rsidRPr="00A96FEE" w:rsidRDefault="00E05A12" w:rsidP="00A96FEE">
      <w:pPr>
        <w:spacing w:before="60"/>
        <w:ind w:left="1259" w:hanging="1259"/>
        <w:rPr>
          <w:rFonts w:ascii="Arial" w:eastAsia="MS Mincho" w:hAnsi="Arial" w:cs="Times New Roman"/>
          <w:noProof/>
          <w:sz w:val="20"/>
          <w:lang w:val="en-GB" w:eastAsia="en-GB"/>
        </w:rPr>
      </w:pPr>
      <w:hyperlink r:id="rId12" w:history="1">
        <w:r w:rsidR="00A96FEE" w:rsidRPr="00A96FEE">
          <w:rPr>
            <w:rFonts w:ascii="Arial" w:eastAsia="MS Mincho" w:hAnsi="Arial" w:cs="Times New Roman"/>
            <w:noProof/>
            <w:color w:val="0000FF"/>
            <w:sz w:val="20"/>
            <w:u w:val="single"/>
            <w:lang w:val="en-GB" w:eastAsia="en-GB"/>
          </w:rPr>
          <w:t>R2-2100552</w:t>
        </w:r>
      </w:hyperlink>
      <w:r w:rsidR="00A96FEE" w:rsidRPr="00A96FEE">
        <w:rPr>
          <w:rFonts w:ascii="Arial" w:eastAsia="MS Mincho" w:hAnsi="Arial" w:cs="Times New Roman"/>
          <w:noProof/>
          <w:sz w:val="20"/>
          <w:lang w:val="en-GB" w:eastAsia="en-GB"/>
        </w:rPr>
        <w:tab/>
        <w:t>CR on condition of SyncAndCellAdd</w:t>
      </w:r>
      <w:r w:rsidR="00A96FEE" w:rsidRPr="00A96FEE">
        <w:rPr>
          <w:rFonts w:ascii="Arial" w:eastAsia="MS Mincho" w:hAnsi="Arial" w:cs="Times New Roman"/>
          <w:noProof/>
          <w:sz w:val="20"/>
          <w:lang w:val="en-GB" w:eastAsia="en-GB"/>
        </w:rPr>
        <w:tab/>
        <w:t>ZTE Corporation, Sanechips, Huawei, HiSilicon</w:t>
      </w:r>
      <w:r w:rsidR="00A96FEE" w:rsidRPr="00A96FEE">
        <w:rPr>
          <w:rFonts w:ascii="Arial" w:eastAsia="MS Mincho" w:hAnsi="Arial" w:cs="Times New Roman"/>
          <w:noProof/>
          <w:sz w:val="20"/>
          <w:lang w:val="en-GB" w:eastAsia="en-GB"/>
        </w:rPr>
        <w:tab/>
        <w:t>CR</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38.331</w:t>
      </w:r>
      <w:r w:rsidR="00A96FEE" w:rsidRPr="00A96FEE">
        <w:rPr>
          <w:rFonts w:ascii="Arial" w:eastAsia="MS Mincho" w:hAnsi="Arial" w:cs="Times New Roman"/>
          <w:noProof/>
          <w:sz w:val="20"/>
          <w:lang w:val="en-GB" w:eastAsia="en-GB"/>
        </w:rPr>
        <w:tab/>
        <w:t>15.12.0</w:t>
      </w:r>
      <w:r w:rsidR="00A96FEE" w:rsidRPr="00A96FEE">
        <w:rPr>
          <w:rFonts w:ascii="Arial" w:eastAsia="MS Mincho" w:hAnsi="Arial" w:cs="Times New Roman"/>
          <w:noProof/>
          <w:sz w:val="20"/>
          <w:lang w:val="en-GB" w:eastAsia="en-GB"/>
        </w:rPr>
        <w:tab/>
        <w:t>2332</w:t>
      </w:r>
      <w:r w:rsidR="00A96FEE" w:rsidRPr="00A96FEE">
        <w:rPr>
          <w:rFonts w:ascii="Arial" w:eastAsia="MS Mincho" w:hAnsi="Arial" w:cs="Times New Roman"/>
          <w:noProof/>
          <w:sz w:val="20"/>
          <w:lang w:val="en-GB" w:eastAsia="en-GB"/>
        </w:rPr>
        <w:tab/>
        <w:t>-</w:t>
      </w:r>
      <w:r w:rsidR="00A96FEE" w:rsidRPr="00A96FEE">
        <w:rPr>
          <w:rFonts w:ascii="Arial" w:eastAsia="MS Mincho" w:hAnsi="Arial" w:cs="Times New Roman"/>
          <w:noProof/>
          <w:sz w:val="20"/>
          <w:lang w:val="en-GB" w:eastAsia="en-GB"/>
        </w:rPr>
        <w:tab/>
        <w:t>F</w:t>
      </w:r>
      <w:r w:rsidR="00A96FEE" w:rsidRPr="00A96FEE">
        <w:rPr>
          <w:rFonts w:ascii="Arial" w:eastAsia="MS Mincho" w:hAnsi="Arial" w:cs="Times New Roman"/>
          <w:noProof/>
          <w:sz w:val="20"/>
          <w:lang w:val="en-GB" w:eastAsia="en-GB"/>
        </w:rPr>
        <w:tab/>
        <w:t>NR_newRAT-Core</w:t>
      </w:r>
    </w:p>
    <w:p w14:paraId="0A6FA8EB" w14:textId="77777777" w:rsidR="00A96FEE" w:rsidRPr="00A96FEE" w:rsidRDefault="00E05A12" w:rsidP="00A96FEE">
      <w:pPr>
        <w:spacing w:before="60"/>
        <w:ind w:left="1259" w:hanging="1259"/>
        <w:rPr>
          <w:rFonts w:ascii="Arial" w:eastAsia="MS Mincho" w:hAnsi="Arial" w:cs="Times New Roman"/>
          <w:noProof/>
          <w:sz w:val="20"/>
          <w:lang w:val="en-GB" w:eastAsia="en-GB"/>
        </w:rPr>
      </w:pPr>
      <w:hyperlink r:id="rId13" w:history="1">
        <w:r w:rsidR="00A96FEE" w:rsidRPr="00A96FEE">
          <w:rPr>
            <w:rFonts w:ascii="Arial" w:eastAsia="MS Mincho" w:hAnsi="Arial" w:cs="Times New Roman"/>
            <w:noProof/>
            <w:color w:val="0000FF"/>
            <w:sz w:val="20"/>
            <w:u w:val="single"/>
            <w:lang w:val="en-GB" w:eastAsia="en-GB"/>
          </w:rPr>
          <w:t>R2-2100553</w:t>
        </w:r>
      </w:hyperlink>
      <w:r w:rsidR="00A96FEE" w:rsidRPr="00A96FEE">
        <w:rPr>
          <w:rFonts w:ascii="Arial" w:eastAsia="MS Mincho" w:hAnsi="Arial" w:cs="Times New Roman"/>
          <w:noProof/>
          <w:sz w:val="20"/>
          <w:lang w:val="en-GB" w:eastAsia="en-GB"/>
        </w:rPr>
        <w:tab/>
        <w:t>CR on condition of SyncAndCellAdd</w:t>
      </w:r>
      <w:r w:rsidR="00A96FEE" w:rsidRPr="00A96FEE">
        <w:rPr>
          <w:rFonts w:ascii="Arial" w:eastAsia="MS Mincho" w:hAnsi="Arial" w:cs="Times New Roman"/>
          <w:noProof/>
          <w:sz w:val="20"/>
          <w:lang w:val="en-GB" w:eastAsia="en-GB"/>
        </w:rPr>
        <w:tab/>
        <w:t>ZTE Corporation, Sanechips, Huawei, HiSilicon</w:t>
      </w:r>
      <w:r w:rsidR="00A96FEE" w:rsidRPr="00A96FEE">
        <w:rPr>
          <w:rFonts w:ascii="Arial" w:eastAsia="MS Mincho" w:hAnsi="Arial" w:cs="Times New Roman"/>
          <w:noProof/>
          <w:sz w:val="20"/>
          <w:lang w:val="en-GB" w:eastAsia="en-GB"/>
        </w:rPr>
        <w:tab/>
        <w:t>CR</w:t>
      </w:r>
      <w:r w:rsidR="00A96FEE" w:rsidRPr="00A96FEE">
        <w:rPr>
          <w:rFonts w:ascii="Arial" w:eastAsia="MS Mincho" w:hAnsi="Arial" w:cs="Times New Roman"/>
          <w:noProof/>
          <w:sz w:val="20"/>
          <w:lang w:val="en-GB" w:eastAsia="en-GB"/>
        </w:rPr>
        <w:tab/>
        <w:t>Rel-16</w:t>
      </w:r>
      <w:r w:rsidR="00A96FEE" w:rsidRPr="00A96FEE">
        <w:rPr>
          <w:rFonts w:ascii="Arial" w:eastAsia="MS Mincho" w:hAnsi="Arial" w:cs="Times New Roman"/>
          <w:noProof/>
          <w:sz w:val="20"/>
          <w:lang w:val="en-GB" w:eastAsia="en-GB"/>
        </w:rPr>
        <w:tab/>
        <w:t>38.331</w:t>
      </w:r>
      <w:r w:rsidR="00A96FEE" w:rsidRPr="00A96FEE">
        <w:rPr>
          <w:rFonts w:ascii="Arial" w:eastAsia="MS Mincho" w:hAnsi="Arial" w:cs="Times New Roman"/>
          <w:noProof/>
          <w:sz w:val="20"/>
          <w:lang w:val="en-GB" w:eastAsia="en-GB"/>
        </w:rPr>
        <w:tab/>
        <w:t>16.3.1</w:t>
      </w:r>
      <w:r w:rsidR="00A96FEE" w:rsidRPr="00A96FEE">
        <w:rPr>
          <w:rFonts w:ascii="Arial" w:eastAsia="MS Mincho" w:hAnsi="Arial" w:cs="Times New Roman"/>
          <w:noProof/>
          <w:sz w:val="20"/>
          <w:lang w:val="en-GB" w:eastAsia="en-GB"/>
        </w:rPr>
        <w:tab/>
        <w:t>2333</w:t>
      </w:r>
      <w:r w:rsidR="00A96FEE" w:rsidRPr="00A96FEE">
        <w:rPr>
          <w:rFonts w:ascii="Arial" w:eastAsia="MS Mincho" w:hAnsi="Arial" w:cs="Times New Roman"/>
          <w:noProof/>
          <w:sz w:val="20"/>
          <w:lang w:val="en-GB" w:eastAsia="en-GB"/>
        </w:rPr>
        <w:tab/>
        <w:t>-</w:t>
      </w:r>
      <w:r w:rsidR="00A96FEE" w:rsidRPr="00A96FEE">
        <w:rPr>
          <w:rFonts w:ascii="Arial" w:eastAsia="MS Mincho" w:hAnsi="Arial" w:cs="Times New Roman"/>
          <w:noProof/>
          <w:sz w:val="20"/>
          <w:lang w:val="en-GB" w:eastAsia="en-GB"/>
        </w:rPr>
        <w:tab/>
        <w:t>A</w:t>
      </w:r>
      <w:r w:rsidR="00A96FEE" w:rsidRPr="00A96FEE">
        <w:rPr>
          <w:rFonts w:ascii="Arial" w:eastAsia="MS Mincho" w:hAnsi="Arial" w:cs="Times New Roman"/>
          <w:noProof/>
          <w:sz w:val="20"/>
          <w:lang w:val="en-GB"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7298DD89" w:rsidR="00773EF0" w:rsidRPr="00A96FEE" w:rsidRDefault="005C6D5C" w:rsidP="00DC7D99">
      <w:pPr>
        <w:pStyle w:val="BodyText"/>
        <w:spacing w:before="120"/>
        <w:rPr>
          <w:sz w:val="20"/>
          <w:szCs w:val="20"/>
        </w:rPr>
      </w:pPr>
      <w:r w:rsidRPr="00A96FEE">
        <w:rPr>
          <w:sz w:val="20"/>
          <w:szCs w:val="20"/>
        </w:rPr>
        <w:t xml:space="preserve">The first paper R2-2100551 is the outcome of email discussion [061], </w:t>
      </w:r>
      <w:r w:rsidR="00A96FEE">
        <w:rPr>
          <w:sz w:val="20"/>
          <w:szCs w:val="20"/>
        </w:rPr>
        <w:t xml:space="preserve">it </w:t>
      </w:r>
      <w:r w:rsidRPr="00A96FEE">
        <w:rPr>
          <w:sz w:val="20"/>
          <w:szCs w:val="20"/>
        </w:rPr>
        <w:t xml:space="preserve">mainly discussing whether </w:t>
      </w:r>
      <w:r w:rsidR="00A96FEE">
        <w:rPr>
          <w:sz w:val="20"/>
          <w:szCs w:val="20"/>
        </w:rPr>
        <w:t xml:space="preserve">the </w:t>
      </w:r>
      <w:r w:rsidRPr="00A96FEE">
        <w:rPr>
          <w:sz w:val="20"/>
          <w:szCs w:val="20"/>
        </w:rPr>
        <w:t xml:space="preserve">network should mandatory include </w:t>
      </w:r>
      <w:proofErr w:type="spellStart"/>
      <w:r w:rsidRPr="00A96FEE">
        <w:rPr>
          <w:sz w:val="20"/>
          <w:szCs w:val="20"/>
        </w:rPr>
        <w:t>firstActiveDownlinkBWP</w:t>
      </w:r>
      <w:proofErr w:type="spellEnd"/>
      <w:r w:rsidRPr="00A96FEE">
        <w:rPr>
          <w:sz w:val="20"/>
          <w:szCs w:val="20"/>
        </w:rPr>
        <w:t xml:space="preserve">-Id and </w:t>
      </w:r>
      <w:proofErr w:type="spellStart"/>
      <w:r w:rsidRPr="00A96FEE">
        <w:rPr>
          <w:sz w:val="20"/>
          <w:szCs w:val="20"/>
        </w:rPr>
        <w:t>firstActiveUplinkBWP</w:t>
      </w:r>
      <w:proofErr w:type="spellEnd"/>
      <w:r w:rsidRPr="00A96FEE">
        <w:rPr>
          <w:sz w:val="20"/>
          <w:szCs w:val="20"/>
        </w:rPr>
        <w:t>-Id</w:t>
      </w:r>
      <w:r w:rsidR="00A96FEE">
        <w:rPr>
          <w:sz w:val="20"/>
          <w:szCs w:val="20"/>
        </w:rPr>
        <w:t xml:space="preserve"> fields</w:t>
      </w:r>
      <w:r w:rsidRPr="00A96FEE">
        <w:rPr>
          <w:sz w:val="20"/>
          <w:szCs w:val="20"/>
        </w:rPr>
        <w:t xml:space="preserve"> upon </w:t>
      </w:r>
      <w:proofErr w:type="spellStart"/>
      <w:r w:rsidRPr="00A96FEE">
        <w:rPr>
          <w:sz w:val="20"/>
          <w:szCs w:val="20"/>
        </w:rPr>
        <w:t>reconfigurationWithSync</w:t>
      </w:r>
      <w:proofErr w:type="spellEnd"/>
      <w:r w:rsidRPr="00A96FEE">
        <w:rPr>
          <w:sz w:val="20"/>
          <w:szCs w:val="20"/>
        </w:rPr>
        <w:t xml:space="preserve"> to the same </w:t>
      </w:r>
      <w:proofErr w:type="spellStart"/>
      <w:r w:rsidRPr="00A96FEE">
        <w:rPr>
          <w:sz w:val="20"/>
          <w:szCs w:val="20"/>
        </w:rPr>
        <w:t>SpCell</w:t>
      </w:r>
      <w:proofErr w:type="spellEnd"/>
      <w:r w:rsidRPr="00A96FEE">
        <w:rPr>
          <w:sz w:val="20"/>
          <w:szCs w:val="20"/>
        </w:rPr>
        <w:t xml:space="preserve">.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 w:val="20"/>
          <w:szCs w:val="20"/>
        </w:rPr>
      </w:pPr>
      <w:r w:rsidRPr="005C6D5C">
        <w:rPr>
          <w:rFonts w:ascii="Arial" w:eastAsia="SimSun" w:hAnsi="Arial" w:cs="Arial"/>
          <w:b/>
          <w:sz w:val="20"/>
          <w:szCs w:val="20"/>
        </w:rPr>
        <w:t xml:space="preserve">Proposal 1: </w:t>
      </w:r>
      <w:r w:rsidRPr="005C6D5C">
        <w:rPr>
          <w:rFonts w:ascii="Arial" w:eastAsia="SimSun" w:hAnsi="Arial" w:cs="Arial"/>
          <w:b/>
          <w:sz w:val="20"/>
          <w:szCs w:val="20"/>
        </w:rPr>
        <w:tab/>
      </w:r>
      <w:proofErr w:type="spellStart"/>
      <w:r w:rsidRPr="005C6D5C">
        <w:rPr>
          <w:rFonts w:ascii="Arial" w:eastAsia="SimSun" w:hAnsi="Arial" w:cs="Arial"/>
          <w:b/>
          <w:i/>
          <w:sz w:val="20"/>
          <w:szCs w:val="20"/>
        </w:rPr>
        <w:t>firstActiveDownlinkBWP</w:t>
      </w:r>
      <w:proofErr w:type="spellEnd"/>
      <w:r w:rsidRPr="005C6D5C">
        <w:rPr>
          <w:rFonts w:ascii="Arial" w:eastAsia="SimSun" w:hAnsi="Arial" w:cs="Arial"/>
          <w:b/>
          <w:i/>
          <w:sz w:val="20"/>
          <w:szCs w:val="20"/>
        </w:rPr>
        <w:t>-Id</w:t>
      </w:r>
      <w:r w:rsidRPr="005C6D5C">
        <w:rPr>
          <w:rFonts w:ascii="Arial" w:eastAsia="SimSun" w:hAnsi="Arial" w:cs="Arial"/>
          <w:b/>
          <w:sz w:val="20"/>
          <w:szCs w:val="20"/>
        </w:rPr>
        <w:t xml:space="preserve"> and </w:t>
      </w:r>
      <w:proofErr w:type="spellStart"/>
      <w:r w:rsidRPr="005C6D5C">
        <w:rPr>
          <w:rFonts w:ascii="Arial" w:eastAsia="SimSun" w:hAnsi="Arial" w:cs="Arial"/>
          <w:b/>
          <w:i/>
          <w:sz w:val="20"/>
          <w:szCs w:val="20"/>
        </w:rPr>
        <w:t>firstActiveUplinkBWP</w:t>
      </w:r>
      <w:proofErr w:type="spellEnd"/>
      <w:r w:rsidRPr="005C6D5C">
        <w:rPr>
          <w:rFonts w:ascii="Arial" w:eastAsia="SimSun" w:hAnsi="Arial" w:cs="Arial"/>
          <w:b/>
          <w:i/>
          <w:sz w:val="20"/>
          <w:szCs w:val="20"/>
        </w:rPr>
        <w:t>-Id</w:t>
      </w:r>
      <w:r w:rsidRPr="005C6D5C">
        <w:rPr>
          <w:rFonts w:ascii="Arial" w:eastAsia="SimSun" w:hAnsi="Arial" w:cs="Arial"/>
          <w:b/>
          <w:sz w:val="20"/>
          <w:szCs w:val="20"/>
        </w:rPr>
        <w:t xml:space="preserve"> should be mandatory configured upon </w:t>
      </w:r>
      <w:proofErr w:type="spellStart"/>
      <w:r w:rsidRPr="005C6D5C">
        <w:rPr>
          <w:rFonts w:ascii="Arial" w:eastAsia="SimSun" w:hAnsi="Arial" w:cs="Arial"/>
          <w:b/>
          <w:sz w:val="20"/>
          <w:szCs w:val="20"/>
        </w:rPr>
        <w:t>reconfigurationWithSync</w:t>
      </w:r>
      <w:proofErr w:type="spellEnd"/>
      <w:r w:rsidRPr="005C6D5C">
        <w:rPr>
          <w:rFonts w:ascii="Arial" w:eastAsia="SimSun" w:hAnsi="Arial" w:cs="Arial"/>
          <w:b/>
          <w:sz w:val="20"/>
          <w:szCs w:val="20"/>
        </w:rPr>
        <w:t xml:space="preserve"> to the same </w:t>
      </w:r>
      <w:proofErr w:type="spellStart"/>
      <w:r w:rsidRPr="005C6D5C">
        <w:rPr>
          <w:rFonts w:ascii="Arial" w:eastAsia="SimSun" w:hAnsi="Arial" w:cs="Arial"/>
          <w:b/>
          <w:sz w:val="20"/>
          <w:szCs w:val="20"/>
        </w:rPr>
        <w:t>SpCell</w:t>
      </w:r>
      <w:proofErr w:type="spellEnd"/>
      <w:r w:rsidRPr="005C6D5C">
        <w:rPr>
          <w:rFonts w:ascii="Arial" w:eastAsia="SimSun" w:hAnsi="Arial" w:cs="Arial"/>
          <w:b/>
          <w:sz w:val="20"/>
          <w:szCs w:val="20"/>
        </w:rPr>
        <w:t xml:space="preserve"> (i.e. intra-cell handover). </w:t>
      </w:r>
    </w:p>
    <w:p w14:paraId="6CAAA77B" w14:textId="5112D435" w:rsidR="00A96FEE" w:rsidRPr="00A96FEE" w:rsidRDefault="005C6D5C" w:rsidP="00DC7D99">
      <w:pPr>
        <w:pStyle w:val="BodyText"/>
        <w:spacing w:before="120"/>
        <w:rPr>
          <w:sz w:val="20"/>
          <w:szCs w:val="20"/>
        </w:rPr>
      </w:pPr>
      <w:r w:rsidRPr="00A96FEE">
        <w:rPr>
          <w:sz w:val="20"/>
          <w:szCs w:val="20"/>
        </w:rPr>
        <w:t>In the corresponding CR</w:t>
      </w:r>
      <w:r w:rsidR="00A96FEE" w:rsidRPr="00A96FEE">
        <w:rPr>
          <w:sz w:val="20"/>
          <w:szCs w:val="20"/>
        </w:rPr>
        <w:t>s</w:t>
      </w:r>
      <w:r w:rsidRPr="00A96FEE">
        <w:rPr>
          <w:sz w:val="20"/>
          <w:szCs w:val="20"/>
        </w:rPr>
        <w:t xml:space="preserve">, it also capture the changes of in-principle agreed CR R2-2011131, which haven’t been implemented in </w:t>
      </w:r>
      <w:r w:rsidR="00A96FEE" w:rsidRPr="00A96FEE">
        <w:rPr>
          <w:sz w:val="20"/>
          <w:szCs w:val="20"/>
        </w:rPr>
        <w:t xml:space="preserve">the </w:t>
      </w:r>
      <w:r w:rsidRPr="00A96FEE">
        <w:rPr>
          <w:sz w:val="20"/>
          <w:szCs w:val="20"/>
        </w:rPr>
        <w:t xml:space="preserve">latest spec. Although </w:t>
      </w:r>
      <w:r w:rsidR="00A96FEE" w:rsidRPr="00A96FEE">
        <w:rPr>
          <w:sz w:val="20"/>
          <w:szCs w:val="20"/>
        </w:rPr>
        <w:t>these CRs ha</w:t>
      </w:r>
      <w:r w:rsidR="00A96FEE">
        <w:rPr>
          <w:sz w:val="20"/>
          <w:szCs w:val="20"/>
        </w:rPr>
        <w:t>d</w:t>
      </w:r>
      <w:r w:rsidR="00A96FEE" w:rsidRPr="00A96FEE">
        <w:rPr>
          <w:sz w:val="20"/>
          <w:szCs w:val="20"/>
        </w:rPr>
        <w:t xml:space="preserve"> been discussed </w:t>
      </w:r>
      <w:r w:rsidR="00A96FEE">
        <w:rPr>
          <w:sz w:val="20"/>
          <w:szCs w:val="20"/>
        </w:rPr>
        <w:t>in</w:t>
      </w:r>
      <w:r w:rsidR="00A96FEE" w:rsidRPr="00A96FEE">
        <w:rPr>
          <w:sz w:val="20"/>
          <w:szCs w:val="20"/>
        </w:rPr>
        <w:t xml:space="preserve"> email discussion [061], companies are welcome to show your views if any problem</w:t>
      </w:r>
      <w:r w:rsidRPr="00A96FEE">
        <w:rPr>
          <w:sz w:val="20"/>
          <w:szCs w:val="20"/>
        </w:rPr>
        <w:t xml:space="preserve"> </w:t>
      </w:r>
      <w:r w:rsidR="00A96FEE">
        <w:rPr>
          <w:sz w:val="20"/>
          <w:szCs w:val="20"/>
        </w:rPr>
        <w:t>is</w:t>
      </w:r>
      <w:r w:rsidR="00A96FEE" w:rsidRPr="00A96FEE">
        <w:rPr>
          <w:sz w:val="20"/>
          <w:szCs w:val="20"/>
        </w:rPr>
        <w:t xml:space="preserve"> identified. </w:t>
      </w:r>
    </w:p>
    <w:p w14:paraId="1A64F0ED" w14:textId="069211E0" w:rsidR="005C6D5C" w:rsidRPr="00A96FEE" w:rsidRDefault="00A96FEE" w:rsidP="00773EF0">
      <w:pPr>
        <w:pStyle w:val="BodyText"/>
        <w:rPr>
          <w:b/>
          <w:sz w:val="20"/>
          <w:szCs w:val="20"/>
        </w:rPr>
      </w:pPr>
      <w:r w:rsidRPr="00A96FEE">
        <w:rPr>
          <w:b/>
          <w:sz w:val="20"/>
          <w:szCs w:val="20"/>
        </w:rPr>
        <w:t>Q1: Do companies agree with above Proposal 1 and the changes in R2-2100552,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A96FE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A96FEE">
        <w:tc>
          <w:tcPr>
            <w:tcW w:w="1980"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6"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503BBB25" w14:textId="4252FD9B" w:rsidR="00773EF0" w:rsidRPr="0001732F" w:rsidRDefault="00773EF0" w:rsidP="0001732F">
            <w:pPr>
              <w:rPr>
                <w:rFonts w:ascii="Arial" w:hAnsi="Arial" w:cs="Arial"/>
              </w:rPr>
            </w:pPr>
          </w:p>
        </w:tc>
      </w:tr>
      <w:tr w:rsidR="00773EF0" w14:paraId="7E3EC136" w14:textId="77777777" w:rsidTr="00A96FEE">
        <w:tc>
          <w:tcPr>
            <w:tcW w:w="1980"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373" w:type="dxa"/>
          </w:tcPr>
          <w:p w14:paraId="0463A85E" w14:textId="77777777" w:rsidR="00773EF0" w:rsidRPr="0001732F" w:rsidRDefault="00773EF0" w:rsidP="0001732F">
            <w:pPr>
              <w:rPr>
                <w:rFonts w:ascii="Arial" w:hAnsi="Arial" w:cs="Arial"/>
              </w:rPr>
            </w:pPr>
          </w:p>
        </w:tc>
      </w:tr>
      <w:tr w:rsidR="00773EF0" w14:paraId="3EA2FE67" w14:textId="77777777" w:rsidTr="00A96FEE">
        <w:tc>
          <w:tcPr>
            <w:tcW w:w="1980" w:type="dxa"/>
            <w:vAlign w:val="center"/>
          </w:tcPr>
          <w:p w14:paraId="4887351E" w14:textId="77777777" w:rsidR="00773EF0" w:rsidRPr="0001732F" w:rsidRDefault="00773EF0" w:rsidP="00906E6E">
            <w:pPr>
              <w:jc w:val="center"/>
              <w:rPr>
                <w:rFonts w:ascii="Arial" w:hAnsi="Arial" w:cs="Arial"/>
                <w:sz w:val="20"/>
                <w:szCs w:val="20"/>
              </w:rPr>
            </w:pPr>
          </w:p>
        </w:tc>
        <w:tc>
          <w:tcPr>
            <w:tcW w:w="1276" w:type="dxa"/>
            <w:vAlign w:val="center"/>
          </w:tcPr>
          <w:p w14:paraId="060DAD86" w14:textId="77777777" w:rsidR="00773EF0" w:rsidRPr="0001732F" w:rsidRDefault="00773EF0" w:rsidP="00906E6E">
            <w:pPr>
              <w:jc w:val="center"/>
              <w:rPr>
                <w:rFonts w:ascii="Arial" w:hAnsi="Arial" w:cs="Arial"/>
                <w:sz w:val="20"/>
                <w:szCs w:val="20"/>
              </w:rPr>
            </w:pPr>
          </w:p>
        </w:tc>
        <w:tc>
          <w:tcPr>
            <w:tcW w:w="6373" w:type="dxa"/>
          </w:tcPr>
          <w:p w14:paraId="55C69730" w14:textId="77777777" w:rsidR="00773EF0" w:rsidRPr="0001732F" w:rsidRDefault="00773EF0" w:rsidP="0001732F">
            <w:pPr>
              <w:rPr>
                <w:rFonts w:ascii="Arial" w:hAnsi="Arial" w:cs="Arial"/>
              </w:rPr>
            </w:pPr>
          </w:p>
        </w:tc>
      </w:tr>
      <w:tr w:rsidR="00773EF0" w14:paraId="38A7C47B" w14:textId="77777777" w:rsidTr="00A96FEE">
        <w:tc>
          <w:tcPr>
            <w:tcW w:w="1980" w:type="dxa"/>
            <w:vAlign w:val="center"/>
          </w:tcPr>
          <w:p w14:paraId="0E0699D3" w14:textId="77777777" w:rsidR="00773EF0" w:rsidRPr="0001732F" w:rsidRDefault="00773EF0" w:rsidP="00906E6E">
            <w:pPr>
              <w:jc w:val="center"/>
              <w:rPr>
                <w:rFonts w:ascii="Arial" w:hAnsi="Arial" w:cs="Arial"/>
                <w:sz w:val="20"/>
                <w:szCs w:val="20"/>
              </w:rPr>
            </w:pPr>
          </w:p>
        </w:tc>
        <w:tc>
          <w:tcPr>
            <w:tcW w:w="1276" w:type="dxa"/>
            <w:vAlign w:val="center"/>
          </w:tcPr>
          <w:p w14:paraId="2E47F66A" w14:textId="77777777" w:rsidR="00773EF0" w:rsidRPr="0001732F" w:rsidRDefault="00773EF0" w:rsidP="00906E6E">
            <w:pPr>
              <w:jc w:val="center"/>
              <w:rPr>
                <w:rFonts w:ascii="Arial" w:hAnsi="Arial" w:cs="Arial"/>
                <w:sz w:val="20"/>
                <w:szCs w:val="20"/>
              </w:rPr>
            </w:pPr>
          </w:p>
        </w:tc>
        <w:tc>
          <w:tcPr>
            <w:tcW w:w="6373" w:type="dxa"/>
          </w:tcPr>
          <w:p w14:paraId="19C51448" w14:textId="77777777" w:rsidR="00773EF0" w:rsidRPr="0001732F" w:rsidRDefault="00773EF0" w:rsidP="0001732F">
            <w:pPr>
              <w:rPr>
                <w:rFonts w:ascii="Arial" w:hAnsi="Arial" w:cs="Arial"/>
              </w:rPr>
            </w:pPr>
          </w:p>
        </w:tc>
      </w:tr>
    </w:tbl>
    <w:p w14:paraId="77925667" w14:textId="77777777" w:rsidR="00773EF0" w:rsidRDefault="00773EF0" w:rsidP="006B4E9D">
      <w:pPr>
        <w:pStyle w:val="BodyText"/>
      </w:pPr>
    </w:p>
    <w:p w14:paraId="66A2618B" w14:textId="273FCACD" w:rsidR="00AE2BE0" w:rsidRDefault="00A96FEE" w:rsidP="00D43874">
      <w:pPr>
        <w:pStyle w:val="Heading2"/>
      </w:pPr>
      <w:r>
        <w:t>Scrambling ID fields</w:t>
      </w:r>
      <w:r w:rsidR="00773EF0">
        <w:t xml:space="preserve"> </w:t>
      </w:r>
    </w:p>
    <w:p w14:paraId="7A291AA3" w14:textId="77777777" w:rsidR="00A96FEE" w:rsidRPr="00A96FEE" w:rsidRDefault="00E05A12" w:rsidP="00A96FEE">
      <w:pPr>
        <w:spacing w:before="60"/>
        <w:ind w:left="1259" w:hanging="1259"/>
        <w:rPr>
          <w:rFonts w:ascii="Arial" w:eastAsia="MS Mincho" w:hAnsi="Arial" w:cs="Times New Roman"/>
          <w:noProof/>
          <w:sz w:val="20"/>
          <w:lang w:val="en-GB" w:eastAsia="en-GB"/>
        </w:rPr>
      </w:pPr>
      <w:hyperlink r:id="rId14" w:history="1">
        <w:r w:rsidR="00A96FEE" w:rsidRPr="00A96FEE">
          <w:rPr>
            <w:rFonts w:ascii="Arial" w:eastAsia="MS Mincho" w:hAnsi="Arial" w:cs="Times New Roman"/>
            <w:noProof/>
            <w:color w:val="0000FF"/>
            <w:sz w:val="20"/>
            <w:u w:val="single"/>
            <w:lang w:val="en-GB" w:eastAsia="en-GB"/>
          </w:rPr>
          <w:t>R2-2100554</w:t>
        </w:r>
      </w:hyperlink>
      <w:r w:rsidR="00A96FEE" w:rsidRPr="00A96FEE">
        <w:rPr>
          <w:rFonts w:ascii="Arial" w:eastAsia="MS Mincho" w:hAnsi="Arial" w:cs="Times New Roman"/>
          <w:noProof/>
          <w:sz w:val="20"/>
          <w:lang w:val="en-GB" w:eastAsia="en-GB"/>
        </w:rPr>
        <w:tab/>
        <w:t>Further discussion on scrambling ID fields</w:t>
      </w:r>
      <w:r w:rsidR="00A96FEE" w:rsidRPr="00A96FEE">
        <w:rPr>
          <w:rFonts w:ascii="Arial" w:eastAsia="MS Mincho" w:hAnsi="Arial" w:cs="Times New Roman"/>
          <w:noProof/>
          <w:sz w:val="20"/>
          <w:lang w:val="en-GB" w:eastAsia="en-GB"/>
        </w:rPr>
        <w:tab/>
        <w:t>ZTE Corporation, Sanechips, CATT</w:t>
      </w:r>
      <w:r w:rsidR="00A96FEE" w:rsidRPr="00A96FEE">
        <w:rPr>
          <w:rFonts w:ascii="Arial" w:eastAsia="MS Mincho" w:hAnsi="Arial" w:cs="Times New Roman"/>
          <w:noProof/>
          <w:sz w:val="20"/>
          <w:lang w:val="en-GB" w:eastAsia="en-GB"/>
        </w:rPr>
        <w:tab/>
        <w:t>discussion</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NR_newRAT-Core</w:t>
      </w:r>
    </w:p>
    <w:p w14:paraId="5C2ADC38" w14:textId="7EEB2EE2" w:rsidR="009F4029" w:rsidRDefault="00A96FEE" w:rsidP="005B4E08">
      <w:pPr>
        <w:pStyle w:val="BodyText"/>
        <w:spacing w:before="120" w:line="276" w:lineRule="auto"/>
        <w:rPr>
          <w:sz w:val="20"/>
        </w:rPr>
      </w:pPr>
      <w:r>
        <w:rPr>
          <w:sz w:val="20"/>
        </w:rPr>
        <w:t>This</w:t>
      </w:r>
      <w:r w:rsidR="00BE6E26">
        <w:rPr>
          <w:sz w:val="20"/>
        </w:rPr>
        <w:t xml:space="preserve"> issue was discussed last</w:t>
      </w:r>
      <w:r>
        <w:rPr>
          <w:sz w:val="20"/>
        </w:rPr>
        <w:t xml:space="preserve"> </w:t>
      </w:r>
      <w:r w:rsidR="00BE6E26">
        <w:rPr>
          <w:sz w:val="20"/>
        </w:rPr>
        <w:t>meeting, and it was postponed because companies ask</w:t>
      </w:r>
      <w:r w:rsidR="00C43ED4">
        <w:rPr>
          <w:sz w:val="20"/>
        </w:rPr>
        <w:t>ed</w:t>
      </w:r>
      <w:r w:rsidR="00BE6E26">
        <w:rPr>
          <w:sz w:val="20"/>
        </w:rPr>
        <w:t xml:space="preserve"> more time to check. As </w:t>
      </w:r>
      <w:r w:rsidR="009F4029">
        <w:rPr>
          <w:sz w:val="20"/>
        </w:rPr>
        <w:t>indicated</w:t>
      </w:r>
      <w:r w:rsidR="00BE6E26">
        <w:rPr>
          <w:sz w:val="20"/>
        </w:rPr>
        <w:t xml:space="preserve"> in R2-2100554, if UE cannot support such </w:t>
      </w:r>
      <w:proofErr w:type="spellStart"/>
      <w:r w:rsidR="00BE6E26">
        <w:rPr>
          <w:sz w:val="20"/>
        </w:rPr>
        <w:t>behaviour</w:t>
      </w:r>
      <w:proofErr w:type="spellEnd"/>
      <w:r w:rsidR="00BE6E26">
        <w:rPr>
          <w:sz w:val="20"/>
        </w:rPr>
        <w:t xml:space="preserve"> (see below Proposal 1), then during handover procedure, delta configuration to parent fields </w:t>
      </w:r>
      <w:r w:rsidR="009F4029">
        <w:rPr>
          <w:sz w:val="20"/>
        </w:rPr>
        <w:t>can</w:t>
      </w:r>
      <w:r w:rsidR="00BE6E26">
        <w:rPr>
          <w:sz w:val="20"/>
        </w:rPr>
        <w:t xml:space="preserve">not be supported, because network (e.g. target cell) </w:t>
      </w:r>
      <w:r w:rsidR="009F4029">
        <w:rPr>
          <w:sz w:val="20"/>
        </w:rPr>
        <w:t>has</w:t>
      </w:r>
      <w:r w:rsidR="00BE6E26">
        <w:rPr>
          <w:sz w:val="20"/>
        </w:rPr>
        <w:t xml:space="preserve"> to signal the scrambling ID fields explicitly in </w:t>
      </w:r>
      <w:r w:rsidR="009F4029">
        <w:rPr>
          <w:sz w:val="20"/>
        </w:rPr>
        <w:t>H</w:t>
      </w:r>
      <w:r w:rsidR="00BE6E26">
        <w:rPr>
          <w:sz w:val="20"/>
        </w:rPr>
        <w:t xml:space="preserve">andover </w:t>
      </w:r>
      <w:r w:rsidR="009F4029">
        <w:rPr>
          <w:sz w:val="20"/>
        </w:rPr>
        <w:t>C</w:t>
      </w:r>
      <w:r w:rsidR="00BE6E26">
        <w:rPr>
          <w:sz w:val="20"/>
        </w:rPr>
        <w:t>ommand.</w:t>
      </w:r>
      <w:r w:rsidR="009F4029">
        <w:rPr>
          <w:sz w:val="20"/>
        </w:rPr>
        <w:t xml:space="preserve"> By doing this, network also has to include other “mandatory” or “Need R” fields to ensure the correctness of RRC configuration</w:t>
      </w:r>
      <w:r w:rsidR="00C43ED4">
        <w:rPr>
          <w:sz w:val="20"/>
        </w:rPr>
        <w:t xml:space="preserve">, this will increase the message size of handover command. In addition, </w:t>
      </w:r>
      <w:r w:rsidR="009F4029">
        <w:rPr>
          <w:sz w:val="20"/>
        </w:rPr>
        <w:t xml:space="preserve">this also violates the intention </w:t>
      </w:r>
      <w:r w:rsidR="009F4029">
        <w:rPr>
          <w:rFonts w:hint="eastAsia"/>
          <w:sz w:val="20"/>
        </w:rPr>
        <w:t>o</w:t>
      </w:r>
      <w:r w:rsidR="009F4029">
        <w:rPr>
          <w:sz w:val="20"/>
        </w:rPr>
        <w:t xml:space="preserve">f defining “Need M” </w:t>
      </w:r>
      <w:r w:rsidR="00C43ED4">
        <w:rPr>
          <w:rFonts w:hint="eastAsia"/>
          <w:sz w:val="20"/>
        </w:rPr>
        <w:t>for</w:t>
      </w:r>
      <w:r w:rsidR="009F4029">
        <w:rPr>
          <w:sz w:val="20"/>
        </w:rPr>
        <w:t xml:space="preserve"> the parent fields.  </w:t>
      </w:r>
    </w:p>
    <w:p w14:paraId="2BCBF972" w14:textId="1D7269F5" w:rsidR="00BE6E26" w:rsidRDefault="009F4029" w:rsidP="005B4E08">
      <w:pPr>
        <w:pStyle w:val="BodyText"/>
        <w:spacing w:before="120" w:line="276" w:lineRule="auto"/>
        <w:rPr>
          <w:sz w:val="20"/>
        </w:rPr>
      </w:pPr>
      <w:r>
        <w:rPr>
          <w:sz w:val="20"/>
        </w:rPr>
        <w:t xml:space="preserve">So to allow delta configuration, it is proposed to confirm the UE </w:t>
      </w:r>
      <w:proofErr w:type="spellStart"/>
      <w:r>
        <w:rPr>
          <w:sz w:val="20"/>
        </w:rPr>
        <w:t>behaviour</w:t>
      </w:r>
      <w:proofErr w:type="spellEnd"/>
      <w:r>
        <w:rPr>
          <w:sz w:val="20"/>
        </w:rPr>
        <w:t xml:space="preserve"> as below: </w:t>
      </w:r>
    </w:p>
    <w:p w14:paraId="7E849BBB" w14:textId="77777777" w:rsidR="00BE6E26" w:rsidRPr="00BE6E26" w:rsidRDefault="00BE6E26" w:rsidP="00BE6E26">
      <w:pPr>
        <w:spacing w:before="156" w:after="120" w:line="276" w:lineRule="auto"/>
        <w:ind w:left="993" w:hanging="993"/>
        <w:rPr>
          <w:rFonts w:ascii="Arial" w:eastAsia="SimSun" w:hAnsi="Arial" w:cs="Times New Roman"/>
          <w:b/>
          <w:sz w:val="20"/>
        </w:rPr>
      </w:pPr>
      <w:r w:rsidRPr="00BE6E26">
        <w:rPr>
          <w:rFonts w:ascii="Arial" w:eastAsia="SimSun" w:hAnsi="Arial" w:cs="Times New Roman"/>
          <w:b/>
          <w:sz w:val="20"/>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 w:val="20"/>
          <w:szCs w:val="20"/>
          <w:lang w:eastAsia="ja-JP"/>
        </w:rPr>
      </w:pPr>
      <w:r w:rsidRPr="00BE6E26">
        <w:rPr>
          <w:rFonts w:ascii="Arial" w:eastAsia="SimSun" w:hAnsi="Arial" w:cs="Arial"/>
          <w:b/>
          <w:sz w:val="20"/>
          <w:szCs w:val="20"/>
          <w:lang w:eastAsia="ja-JP"/>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rPr>
          <w:sz w:val="20"/>
        </w:rPr>
      </w:pPr>
      <w:r>
        <w:rPr>
          <w:sz w:val="20"/>
        </w:rPr>
        <w:t xml:space="preserve">Companies are welcome to show your views to above proposal. </w:t>
      </w:r>
    </w:p>
    <w:p w14:paraId="4957AB5A" w14:textId="220DBA5C" w:rsidR="009F4029" w:rsidRPr="00C43ED4" w:rsidRDefault="009F4029" w:rsidP="00C43ED4">
      <w:pPr>
        <w:pStyle w:val="BodyText"/>
        <w:spacing w:before="120"/>
        <w:rPr>
          <w:sz w:val="20"/>
        </w:rPr>
      </w:pPr>
      <w:r w:rsidRPr="00C43ED4">
        <w:rPr>
          <w:b/>
          <w:sz w:val="20"/>
        </w:rPr>
        <w:t>Q2.1</w:t>
      </w:r>
      <w:r w:rsidR="002D5462">
        <w:rPr>
          <w:b/>
          <w:sz w:val="20"/>
        </w:rPr>
        <w:t>:</w:t>
      </w:r>
      <w:r w:rsidRPr="00C43ED4">
        <w:rPr>
          <w:b/>
          <w:sz w:val="20"/>
        </w:rPr>
        <w:t xml:space="preserve"> Do companies agree with above proposal? </w:t>
      </w:r>
      <w:r w:rsidR="00C43ED4" w:rsidRPr="00C43ED4">
        <w:rPr>
          <w:b/>
          <w:sz w:val="20"/>
        </w:rPr>
        <w:t>I</w:t>
      </w:r>
      <w:r w:rsidRPr="00C43ED4">
        <w:rPr>
          <w:b/>
          <w:sz w:val="20"/>
        </w:rPr>
        <w:t>.e. confirm UE</w:t>
      </w:r>
      <w:r w:rsidR="00C43ED4">
        <w:rPr>
          <w:b/>
          <w:sz w:val="20"/>
        </w:rPr>
        <w:t xml:space="preserve">’s </w:t>
      </w:r>
      <w:proofErr w:type="spellStart"/>
      <w:r w:rsidR="00C43ED4">
        <w:rPr>
          <w:b/>
          <w:sz w:val="20"/>
        </w:rPr>
        <w:t>behaviour</w:t>
      </w:r>
      <w:proofErr w:type="spellEnd"/>
      <w:r w:rsidR="00C43ED4">
        <w:rPr>
          <w:b/>
          <w:sz w:val="20"/>
        </w:rPr>
        <w:t xml:space="preserve"> of handling scrambling ID related fields. </w:t>
      </w:r>
      <w:r w:rsidR="00C43ED4" w:rsidRPr="005B4E08">
        <w:rPr>
          <w:color w:val="C00000"/>
          <w:sz w:val="20"/>
        </w:rPr>
        <w:t>(If answers “No”, please provide your suggestion on how to solve this issue)</w:t>
      </w:r>
      <w:r w:rsidR="00C43ED4" w:rsidRPr="00C43ED4">
        <w:rPr>
          <w:sz w:val="20"/>
        </w:rPr>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C43ED4">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lastRenderedPageBreak/>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C43ED4">
        <w:tc>
          <w:tcPr>
            <w:tcW w:w="1980"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6"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373"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C43ED4">
        <w:tc>
          <w:tcPr>
            <w:tcW w:w="1980"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373"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5A400E" w14:paraId="52171A78" w14:textId="7AE33720" w:rsidTr="00C43ED4">
        <w:tc>
          <w:tcPr>
            <w:tcW w:w="1980" w:type="dxa"/>
            <w:vAlign w:val="center"/>
          </w:tcPr>
          <w:p w14:paraId="35C0DE65" w14:textId="77777777" w:rsidR="005A400E" w:rsidRPr="0001732F" w:rsidRDefault="005A400E" w:rsidP="00906E6E">
            <w:pPr>
              <w:jc w:val="center"/>
              <w:rPr>
                <w:rFonts w:ascii="Arial" w:hAnsi="Arial" w:cs="Arial"/>
                <w:sz w:val="20"/>
                <w:szCs w:val="20"/>
              </w:rPr>
            </w:pPr>
          </w:p>
        </w:tc>
        <w:tc>
          <w:tcPr>
            <w:tcW w:w="1276" w:type="dxa"/>
            <w:vAlign w:val="center"/>
          </w:tcPr>
          <w:p w14:paraId="4320883B" w14:textId="77777777" w:rsidR="005A400E" w:rsidRPr="0001732F" w:rsidRDefault="005A400E" w:rsidP="00906E6E">
            <w:pPr>
              <w:jc w:val="center"/>
              <w:rPr>
                <w:rFonts w:ascii="Arial" w:hAnsi="Arial" w:cs="Arial"/>
                <w:sz w:val="20"/>
                <w:szCs w:val="20"/>
              </w:rPr>
            </w:pPr>
          </w:p>
        </w:tc>
        <w:tc>
          <w:tcPr>
            <w:tcW w:w="6373" w:type="dxa"/>
          </w:tcPr>
          <w:p w14:paraId="79C6BFDB" w14:textId="77777777" w:rsidR="005A400E" w:rsidRPr="0001732F" w:rsidRDefault="005A400E" w:rsidP="0001732F">
            <w:pPr>
              <w:rPr>
                <w:rFonts w:ascii="Arial" w:hAnsi="Arial" w:cs="Arial"/>
              </w:rPr>
            </w:pPr>
          </w:p>
        </w:tc>
      </w:tr>
      <w:tr w:rsidR="005A400E" w14:paraId="4DD66D36" w14:textId="58BB30DD" w:rsidTr="00C43ED4">
        <w:tc>
          <w:tcPr>
            <w:tcW w:w="1980" w:type="dxa"/>
            <w:vAlign w:val="center"/>
          </w:tcPr>
          <w:p w14:paraId="5B5F6208" w14:textId="77777777" w:rsidR="005A400E" w:rsidRPr="0001732F" w:rsidRDefault="005A400E" w:rsidP="00906E6E">
            <w:pPr>
              <w:jc w:val="center"/>
              <w:rPr>
                <w:rFonts w:ascii="Arial" w:hAnsi="Arial" w:cs="Arial"/>
                <w:sz w:val="20"/>
                <w:szCs w:val="20"/>
              </w:rPr>
            </w:pPr>
          </w:p>
        </w:tc>
        <w:tc>
          <w:tcPr>
            <w:tcW w:w="1276" w:type="dxa"/>
            <w:vAlign w:val="center"/>
          </w:tcPr>
          <w:p w14:paraId="7540B115" w14:textId="77777777" w:rsidR="005A400E" w:rsidRPr="0001732F" w:rsidRDefault="005A400E" w:rsidP="00906E6E">
            <w:pPr>
              <w:jc w:val="center"/>
              <w:rPr>
                <w:rFonts w:ascii="Arial" w:hAnsi="Arial" w:cs="Arial"/>
                <w:sz w:val="20"/>
                <w:szCs w:val="20"/>
              </w:rPr>
            </w:pPr>
          </w:p>
        </w:tc>
        <w:tc>
          <w:tcPr>
            <w:tcW w:w="6373" w:type="dxa"/>
          </w:tcPr>
          <w:p w14:paraId="204E7550" w14:textId="77777777" w:rsidR="005A400E" w:rsidRPr="0001732F" w:rsidRDefault="005A400E" w:rsidP="0001732F">
            <w:pPr>
              <w:rPr>
                <w:rFonts w:ascii="Arial" w:hAnsi="Arial" w:cs="Arial"/>
              </w:rPr>
            </w:pPr>
          </w:p>
        </w:tc>
      </w:tr>
    </w:tbl>
    <w:p w14:paraId="14B5D985" w14:textId="1F6689C0" w:rsidR="005A400E" w:rsidRDefault="005A400E" w:rsidP="006B4E9D">
      <w:pPr>
        <w:pStyle w:val="BodyText"/>
      </w:pPr>
    </w:p>
    <w:p w14:paraId="0F0AA71A" w14:textId="449B1F53" w:rsidR="009F4029" w:rsidRPr="00C43ED4" w:rsidRDefault="00C43ED4" w:rsidP="006B4E9D">
      <w:pPr>
        <w:pStyle w:val="BodyText"/>
        <w:rPr>
          <w:sz w:val="20"/>
        </w:rPr>
      </w:pPr>
      <w:r w:rsidRPr="00C43ED4">
        <w:rPr>
          <w:sz w:val="20"/>
        </w:rPr>
        <w:t xml:space="preserve">The </w:t>
      </w:r>
      <w:r>
        <w:rPr>
          <w:sz w:val="20"/>
        </w:rPr>
        <w:t>corresponding CRs are:</w:t>
      </w:r>
    </w:p>
    <w:p w14:paraId="64F25F78" w14:textId="77777777" w:rsidR="009F4029" w:rsidRPr="00A96FEE" w:rsidRDefault="00E05A12" w:rsidP="009F4029">
      <w:pPr>
        <w:spacing w:before="60"/>
        <w:ind w:left="1259" w:hanging="1259"/>
        <w:rPr>
          <w:rFonts w:ascii="Arial" w:eastAsia="MS Mincho" w:hAnsi="Arial" w:cs="Times New Roman"/>
          <w:noProof/>
          <w:sz w:val="20"/>
          <w:lang w:val="en-GB" w:eastAsia="en-GB"/>
        </w:rPr>
      </w:pPr>
      <w:hyperlink r:id="rId15" w:history="1">
        <w:r w:rsidR="009F4029" w:rsidRPr="00A96FEE">
          <w:rPr>
            <w:rFonts w:ascii="Arial" w:eastAsia="MS Mincho" w:hAnsi="Arial" w:cs="Times New Roman"/>
            <w:noProof/>
            <w:color w:val="0000FF"/>
            <w:sz w:val="20"/>
            <w:u w:val="single"/>
            <w:lang w:val="en-GB" w:eastAsia="en-GB"/>
          </w:rPr>
          <w:t>R2-2100555</w:t>
        </w:r>
      </w:hyperlink>
      <w:r w:rsidR="009F4029" w:rsidRPr="00A96FEE">
        <w:rPr>
          <w:rFonts w:ascii="Arial" w:eastAsia="MS Mincho" w:hAnsi="Arial" w:cs="Times New Roman"/>
          <w:noProof/>
          <w:sz w:val="20"/>
          <w:lang w:val="en-GB" w:eastAsia="en-GB"/>
        </w:rPr>
        <w:tab/>
        <w:t>CR to clarify UE behaivour for scrambling ID fields</w:t>
      </w:r>
      <w:r w:rsidR="009F4029" w:rsidRPr="00A96FEE">
        <w:rPr>
          <w:rFonts w:ascii="Arial" w:eastAsia="MS Mincho" w:hAnsi="Arial" w:cs="Times New Roman"/>
          <w:noProof/>
          <w:sz w:val="20"/>
          <w:lang w:val="en-GB" w:eastAsia="en-GB"/>
        </w:rPr>
        <w:tab/>
        <w:t>ZTE Corporation, Sanechips, CATT</w:t>
      </w:r>
      <w:r w:rsidR="009F4029" w:rsidRPr="00A96FEE">
        <w:rPr>
          <w:rFonts w:ascii="Arial" w:eastAsia="MS Mincho" w:hAnsi="Arial" w:cs="Times New Roman"/>
          <w:noProof/>
          <w:sz w:val="20"/>
          <w:lang w:val="en-GB" w:eastAsia="en-GB"/>
        </w:rPr>
        <w:tab/>
        <w:t>CR</w:t>
      </w:r>
      <w:r w:rsidR="009F4029" w:rsidRPr="00A96FEE">
        <w:rPr>
          <w:rFonts w:ascii="Arial" w:eastAsia="MS Mincho" w:hAnsi="Arial" w:cs="Times New Roman"/>
          <w:noProof/>
          <w:sz w:val="20"/>
          <w:lang w:val="en-GB" w:eastAsia="en-GB"/>
        </w:rPr>
        <w:tab/>
        <w:t>Rel-15</w:t>
      </w:r>
      <w:r w:rsidR="009F4029" w:rsidRPr="00A96FEE">
        <w:rPr>
          <w:rFonts w:ascii="Arial" w:eastAsia="MS Mincho" w:hAnsi="Arial" w:cs="Times New Roman"/>
          <w:noProof/>
          <w:sz w:val="20"/>
          <w:lang w:val="en-GB" w:eastAsia="en-GB"/>
        </w:rPr>
        <w:tab/>
        <w:t>38.331</w:t>
      </w:r>
      <w:r w:rsidR="009F4029" w:rsidRPr="00A96FEE">
        <w:rPr>
          <w:rFonts w:ascii="Arial" w:eastAsia="MS Mincho" w:hAnsi="Arial" w:cs="Times New Roman"/>
          <w:noProof/>
          <w:sz w:val="20"/>
          <w:lang w:val="en-GB" w:eastAsia="en-GB"/>
        </w:rPr>
        <w:tab/>
        <w:t>15.12.0</w:t>
      </w:r>
      <w:r w:rsidR="009F4029" w:rsidRPr="00A96FEE">
        <w:rPr>
          <w:rFonts w:ascii="Arial" w:eastAsia="MS Mincho" w:hAnsi="Arial" w:cs="Times New Roman"/>
          <w:noProof/>
          <w:sz w:val="20"/>
          <w:lang w:val="en-GB" w:eastAsia="en-GB"/>
        </w:rPr>
        <w:tab/>
        <w:t>2334</w:t>
      </w:r>
      <w:r w:rsidR="009F4029" w:rsidRPr="00A96FEE">
        <w:rPr>
          <w:rFonts w:ascii="Arial" w:eastAsia="MS Mincho" w:hAnsi="Arial" w:cs="Times New Roman"/>
          <w:noProof/>
          <w:sz w:val="20"/>
          <w:lang w:val="en-GB" w:eastAsia="en-GB"/>
        </w:rPr>
        <w:tab/>
        <w:t>-</w:t>
      </w:r>
      <w:r w:rsidR="009F4029" w:rsidRPr="00A96FEE">
        <w:rPr>
          <w:rFonts w:ascii="Arial" w:eastAsia="MS Mincho" w:hAnsi="Arial" w:cs="Times New Roman"/>
          <w:noProof/>
          <w:sz w:val="20"/>
          <w:lang w:val="en-GB" w:eastAsia="en-GB"/>
        </w:rPr>
        <w:tab/>
        <w:t>F</w:t>
      </w:r>
      <w:r w:rsidR="009F4029" w:rsidRPr="00A96FEE">
        <w:rPr>
          <w:rFonts w:ascii="Arial" w:eastAsia="MS Mincho" w:hAnsi="Arial" w:cs="Times New Roman"/>
          <w:noProof/>
          <w:sz w:val="20"/>
          <w:lang w:val="en-GB" w:eastAsia="en-GB"/>
        </w:rPr>
        <w:tab/>
        <w:t>NR_newRAT-Core</w:t>
      </w:r>
    </w:p>
    <w:p w14:paraId="414574E8" w14:textId="77777777" w:rsidR="009F4029" w:rsidRPr="00A96FEE" w:rsidRDefault="00E05A12" w:rsidP="009F4029">
      <w:pPr>
        <w:spacing w:before="60"/>
        <w:ind w:left="1259" w:hanging="1259"/>
        <w:rPr>
          <w:rFonts w:ascii="Arial" w:eastAsia="MS Mincho" w:hAnsi="Arial" w:cs="Times New Roman"/>
          <w:noProof/>
          <w:sz w:val="20"/>
          <w:lang w:val="en-GB" w:eastAsia="en-GB"/>
        </w:rPr>
      </w:pPr>
      <w:hyperlink r:id="rId16" w:history="1">
        <w:r w:rsidR="009F4029" w:rsidRPr="00A96FEE">
          <w:rPr>
            <w:rFonts w:ascii="Arial" w:eastAsia="MS Mincho" w:hAnsi="Arial" w:cs="Times New Roman"/>
            <w:noProof/>
            <w:color w:val="0000FF"/>
            <w:sz w:val="20"/>
            <w:u w:val="single"/>
            <w:lang w:val="en-GB" w:eastAsia="en-GB"/>
          </w:rPr>
          <w:t>R2-2100556</w:t>
        </w:r>
      </w:hyperlink>
      <w:r w:rsidR="009F4029" w:rsidRPr="00A96FEE">
        <w:rPr>
          <w:rFonts w:ascii="Arial" w:eastAsia="MS Mincho" w:hAnsi="Arial" w:cs="Times New Roman"/>
          <w:noProof/>
          <w:sz w:val="20"/>
          <w:lang w:val="en-GB" w:eastAsia="en-GB"/>
        </w:rPr>
        <w:tab/>
        <w:t>CR to clarify UE behaivour for scrambling ID fields</w:t>
      </w:r>
      <w:r w:rsidR="009F4029" w:rsidRPr="00A96FEE">
        <w:rPr>
          <w:rFonts w:ascii="Arial" w:eastAsia="MS Mincho" w:hAnsi="Arial" w:cs="Times New Roman"/>
          <w:noProof/>
          <w:sz w:val="20"/>
          <w:lang w:val="en-GB" w:eastAsia="en-GB"/>
        </w:rPr>
        <w:tab/>
        <w:t>ZTE Corporation, Sanechips, CATT</w:t>
      </w:r>
      <w:r w:rsidR="009F4029" w:rsidRPr="00A96FEE">
        <w:rPr>
          <w:rFonts w:ascii="Arial" w:eastAsia="MS Mincho" w:hAnsi="Arial" w:cs="Times New Roman"/>
          <w:noProof/>
          <w:sz w:val="20"/>
          <w:lang w:val="en-GB" w:eastAsia="en-GB"/>
        </w:rPr>
        <w:tab/>
        <w:t>CR</w:t>
      </w:r>
      <w:r w:rsidR="009F4029" w:rsidRPr="00A96FEE">
        <w:rPr>
          <w:rFonts w:ascii="Arial" w:eastAsia="MS Mincho" w:hAnsi="Arial" w:cs="Times New Roman"/>
          <w:noProof/>
          <w:sz w:val="20"/>
          <w:lang w:val="en-GB" w:eastAsia="en-GB"/>
        </w:rPr>
        <w:tab/>
        <w:t>Rel-16</w:t>
      </w:r>
      <w:r w:rsidR="009F4029" w:rsidRPr="00A96FEE">
        <w:rPr>
          <w:rFonts w:ascii="Arial" w:eastAsia="MS Mincho" w:hAnsi="Arial" w:cs="Times New Roman"/>
          <w:noProof/>
          <w:sz w:val="20"/>
          <w:lang w:val="en-GB" w:eastAsia="en-GB"/>
        </w:rPr>
        <w:tab/>
        <w:t>38.331</w:t>
      </w:r>
      <w:r w:rsidR="009F4029" w:rsidRPr="00A96FEE">
        <w:rPr>
          <w:rFonts w:ascii="Arial" w:eastAsia="MS Mincho" w:hAnsi="Arial" w:cs="Times New Roman"/>
          <w:noProof/>
          <w:sz w:val="20"/>
          <w:lang w:val="en-GB" w:eastAsia="en-GB"/>
        </w:rPr>
        <w:tab/>
        <w:t>16.3.1</w:t>
      </w:r>
      <w:r w:rsidR="009F4029" w:rsidRPr="00A96FEE">
        <w:rPr>
          <w:rFonts w:ascii="Arial" w:eastAsia="MS Mincho" w:hAnsi="Arial" w:cs="Times New Roman"/>
          <w:noProof/>
          <w:sz w:val="20"/>
          <w:lang w:val="en-GB" w:eastAsia="en-GB"/>
        </w:rPr>
        <w:tab/>
        <w:t>2335</w:t>
      </w:r>
      <w:r w:rsidR="009F4029" w:rsidRPr="00A96FEE">
        <w:rPr>
          <w:rFonts w:ascii="Arial" w:eastAsia="MS Mincho" w:hAnsi="Arial" w:cs="Times New Roman"/>
          <w:noProof/>
          <w:sz w:val="20"/>
          <w:lang w:val="en-GB" w:eastAsia="en-GB"/>
        </w:rPr>
        <w:tab/>
        <w:t>-</w:t>
      </w:r>
      <w:r w:rsidR="009F4029" w:rsidRPr="00A96FEE">
        <w:rPr>
          <w:rFonts w:ascii="Arial" w:eastAsia="MS Mincho" w:hAnsi="Arial" w:cs="Times New Roman"/>
          <w:noProof/>
          <w:sz w:val="20"/>
          <w:lang w:val="en-GB" w:eastAsia="en-GB"/>
        </w:rPr>
        <w:tab/>
        <w:t>F</w:t>
      </w:r>
      <w:r w:rsidR="009F4029" w:rsidRPr="00A96FEE">
        <w:rPr>
          <w:rFonts w:ascii="Arial" w:eastAsia="MS Mincho" w:hAnsi="Arial" w:cs="Times New Roman"/>
          <w:noProof/>
          <w:sz w:val="20"/>
          <w:lang w:val="en-GB" w:eastAsia="en-GB"/>
        </w:rPr>
        <w:tab/>
        <w:t>NR_newRAT-Core</w:t>
      </w:r>
    </w:p>
    <w:p w14:paraId="1506DEB9" w14:textId="61BAED5D" w:rsidR="00C43ED4" w:rsidRDefault="00C43ED4" w:rsidP="005B4E08">
      <w:pPr>
        <w:pStyle w:val="BodyText"/>
        <w:spacing w:before="120" w:line="276" w:lineRule="auto"/>
        <w:rPr>
          <w:sz w:val="20"/>
        </w:rPr>
      </w:pPr>
      <w:r>
        <w:rPr>
          <w:sz w:val="20"/>
        </w:rPr>
        <w:t xml:space="preserve">Based on the comments received last </w:t>
      </w:r>
      <w:r w:rsidR="002D5462">
        <w:rPr>
          <w:sz w:val="20"/>
        </w:rPr>
        <w:t xml:space="preserve">meeting, the CRs </w:t>
      </w:r>
      <w:r w:rsidR="00DC7D99">
        <w:rPr>
          <w:sz w:val="20"/>
        </w:rPr>
        <w:t>have been</w:t>
      </w:r>
      <w:r w:rsidR="002D5462">
        <w:rPr>
          <w:sz w:val="20"/>
        </w:rPr>
        <w:t xml:space="preserve"> updated to</w:t>
      </w:r>
      <w:r>
        <w:rPr>
          <w:sz w:val="20"/>
        </w:rPr>
        <w:t xml:space="preserve"> </w:t>
      </w:r>
      <w:r w:rsidR="00617F63">
        <w:rPr>
          <w:sz w:val="20"/>
        </w:rPr>
        <w:t xml:space="preserve">only </w:t>
      </w:r>
      <w:r>
        <w:rPr>
          <w:sz w:val="20"/>
        </w:rPr>
        <w:t>modify the field description of relevant fields, clarif</w:t>
      </w:r>
      <w:r w:rsidR="00963BB4">
        <w:rPr>
          <w:sz w:val="20"/>
        </w:rPr>
        <w:t>y</w:t>
      </w:r>
      <w:r>
        <w:rPr>
          <w:sz w:val="20"/>
        </w:rPr>
        <w:t xml:space="preserve">ing the UE should apply the PCI of “current” serving cell </w:t>
      </w:r>
      <w:r w:rsidR="00617F63">
        <w:rPr>
          <w:sz w:val="20"/>
        </w:rPr>
        <w:t>when it</w:t>
      </w:r>
      <w:r>
        <w:rPr>
          <w:sz w:val="20"/>
        </w:rPr>
        <w:t xml:space="preserve"> </w:t>
      </w:r>
      <w:r w:rsidR="002D5462">
        <w:rPr>
          <w:sz w:val="20"/>
        </w:rPr>
        <w:t xml:space="preserve">is </w:t>
      </w:r>
      <w:r w:rsidR="00963BB4">
        <w:rPr>
          <w:sz w:val="20"/>
        </w:rPr>
        <w:t>not signal</w:t>
      </w:r>
      <w:r>
        <w:rPr>
          <w:sz w:val="20"/>
        </w:rPr>
        <w:t xml:space="preserve">ed. </w:t>
      </w:r>
      <w:r w:rsidR="00BB61EA">
        <w:rPr>
          <w:sz w:val="20"/>
        </w:rPr>
        <w:t xml:space="preserve">In addition, for consistency, the need code of </w:t>
      </w:r>
      <w:proofErr w:type="spellStart"/>
      <w:r w:rsidR="00BB61EA" w:rsidRPr="00BB61EA">
        <w:rPr>
          <w:i/>
          <w:sz w:val="20"/>
        </w:rPr>
        <w:t>hoppingId</w:t>
      </w:r>
      <w:proofErr w:type="spellEnd"/>
      <w:r w:rsidR="00BB61EA" w:rsidRPr="00BB61EA">
        <w:rPr>
          <w:sz w:val="20"/>
        </w:rPr>
        <w:t xml:space="preserve"> field in </w:t>
      </w:r>
      <w:r w:rsidR="00BB61EA" w:rsidRPr="00BB61EA">
        <w:rPr>
          <w:i/>
          <w:sz w:val="20"/>
        </w:rPr>
        <w:t>PUCCH-</w:t>
      </w:r>
      <w:proofErr w:type="spellStart"/>
      <w:r w:rsidR="00BB61EA" w:rsidRPr="00BB61EA">
        <w:rPr>
          <w:i/>
          <w:sz w:val="20"/>
        </w:rPr>
        <w:t>ConfigCommon</w:t>
      </w:r>
      <w:proofErr w:type="spellEnd"/>
      <w:r w:rsidR="00BB61EA">
        <w:rPr>
          <w:sz w:val="20"/>
        </w:rPr>
        <w:t xml:space="preserve"> is</w:t>
      </w:r>
      <w:r w:rsidR="00BB61EA" w:rsidRPr="00BB61EA">
        <w:rPr>
          <w:sz w:val="20"/>
        </w:rPr>
        <w:t xml:space="preserve"> change</w:t>
      </w:r>
      <w:r w:rsidR="00BB61EA">
        <w:rPr>
          <w:sz w:val="20"/>
        </w:rPr>
        <w:t>d from “Need R” to “Need S”.</w:t>
      </w:r>
    </w:p>
    <w:p w14:paraId="19BD8764" w14:textId="23EE8973" w:rsidR="002D5462" w:rsidRPr="002D5462" w:rsidRDefault="00BB61EA" w:rsidP="00DC7D99">
      <w:pPr>
        <w:pStyle w:val="BodyText"/>
        <w:spacing w:before="120"/>
        <w:rPr>
          <w:sz w:val="20"/>
        </w:rPr>
      </w:pPr>
      <w:r>
        <w:rPr>
          <w:sz w:val="20"/>
        </w:rPr>
        <w:t>Note: t</w:t>
      </w:r>
      <w:r w:rsidR="002D5462">
        <w:rPr>
          <w:sz w:val="20"/>
        </w:rPr>
        <w:t xml:space="preserve">he Category of Rel-16 CR is not “Cat F”, because it also involves </w:t>
      </w:r>
      <w:r w:rsidR="00617F63">
        <w:rPr>
          <w:sz w:val="20"/>
        </w:rPr>
        <w:t>other</w:t>
      </w:r>
      <w:r w:rsidR="002D5462">
        <w:rPr>
          <w:sz w:val="20"/>
        </w:rPr>
        <w:t xml:space="preserve"> Rel-16 fields. </w:t>
      </w:r>
    </w:p>
    <w:p w14:paraId="0E1C5AD5" w14:textId="1935B798" w:rsidR="00C43ED4" w:rsidRPr="00C43ED4" w:rsidRDefault="00C43ED4" w:rsidP="00DC7D99">
      <w:pPr>
        <w:pStyle w:val="BodyText"/>
        <w:spacing w:before="120"/>
        <w:rPr>
          <w:b/>
          <w:sz w:val="20"/>
        </w:rPr>
      </w:pPr>
      <w:r w:rsidRPr="00C43ED4">
        <w:rPr>
          <w:b/>
          <w:sz w:val="20"/>
        </w:rPr>
        <w:t>Q2.</w:t>
      </w:r>
      <w:r>
        <w:rPr>
          <w:b/>
          <w:sz w:val="20"/>
        </w:rPr>
        <w:t>2</w:t>
      </w:r>
      <w:r w:rsidR="002D5462">
        <w:rPr>
          <w:b/>
          <w:sz w:val="20"/>
        </w:rPr>
        <w:t>:</w:t>
      </w:r>
      <w:r w:rsidRPr="00C43ED4">
        <w:rPr>
          <w:b/>
          <w:sz w:val="20"/>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C43ED4">
        <w:tc>
          <w:tcPr>
            <w:tcW w:w="1980"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373"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C43ED4">
        <w:tc>
          <w:tcPr>
            <w:tcW w:w="1980"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6"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373"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C43ED4">
        <w:tc>
          <w:tcPr>
            <w:tcW w:w="1980"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76"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373"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C43ED4" w14:paraId="6325CDAA" w14:textId="77777777" w:rsidTr="00C43ED4">
        <w:tc>
          <w:tcPr>
            <w:tcW w:w="1980" w:type="dxa"/>
            <w:vAlign w:val="center"/>
          </w:tcPr>
          <w:p w14:paraId="01DECB6B" w14:textId="77777777" w:rsidR="00C43ED4" w:rsidRPr="0001732F" w:rsidRDefault="00C43ED4" w:rsidP="00C43ED4">
            <w:pPr>
              <w:jc w:val="center"/>
              <w:rPr>
                <w:rFonts w:ascii="Arial" w:hAnsi="Arial" w:cs="Arial"/>
                <w:sz w:val="20"/>
                <w:szCs w:val="20"/>
              </w:rPr>
            </w:pPr>
          </w:p>
        </w:tc>
        <w:tc>
          <w:tcPr>
            <w:tcW w:w="1276" w:type="dxa"/>
            <w:vAlign w:val="center"/>
          </w:tcPr>
          <w:p w14:paraId="5B2E80E4" w14:textId="77777777" w:rsidR="00C43ED4" w:rsidRPr="0001732F" w:rsidRDefault="00C43ED4" w:rsidP="00C43ED4">
            <w:pPr>
              <w:jc w:val="center"/>
              <w:rPr>
                <w:rFonts w:ascii="Arial" w:hAnsi="Arial" w:cs="Arial"/>
                <w:sz w:val="20"/>
                <w:szCs w:val="20"/>
              </w:rPr>
            </w:pPr>
          </w:p>
        </w:tc>
        <w:tc>
          <w:tcPr>
            <w:tcW w:w="6373" w:type="dxa"/>
          </w:tcPr>
          <w:p w14:paraId="22138D70" w14:textId="77777777" w:rsidR="00C43ED4" w:rsidRPr="0001732F" w:rsidRDefault="00C43ED4" w:rsidP="00C43ED4">
            <w:pPr>
              <w:rPr>
                <w:rFonts w:ascii="Arial" w:hAnsi="Arial" w:cs="Arial"/>
              </w:rPr>
            </w:pPr>
          </w:p>
        </w:tc>
      </w:tr>
      <w:tr w:rsidR="00C43ED4" w14:paraId="5FB435A6" w14:textId="77777777" w:rsidTr="00C43ED4">
        <w:tc>
          <w:tcPr>
            <w:tcW w:w="1980" w:type="dxa"/>
            <w:vAlign w:val="center"/>
          </w:tcPr>
          <w:p w14:paraId="3C4FD3A4" w14:textId="77777777" w:rsidR="00C43ED4" w:rsidRPr="0001732F" w:rsidRDefault="00C43ED4" w:rsidP="00C43ED4">
            <w:pPr>
              <w:jc w:val="center"/>
              <w:rPr>
                <w:rFonts w:ascii="Arial" w:hAnsi="Arial" w:cs="Arial"/>
                <w:sz w:val="20"/>
                <w:szCs w:val="20"/>
              </w:rPr>
            </w:pPr>
          </w:p>
        </w:tc>
        <w:tc>
          <w:tcPr>
            <w:tcW w:w="1276" w:type="dxa"/>
            <w:vAlign w:val="center"/>
          </w:tcPr>
          <w:p w14:paraId="5D770F19" w14:textId="77777777" w:rsidR="00C43ED4" w:rsidRPr="0001732F" w:rsidRDefault="00C43ED4" w:rsidP="00C43ED4">
            <w:pPr>
              <w:jc w:val="center"/>
              <w:rPr>
                <w:rFonts w:ascii="Arial" w:hAnsi="Arial" w:cs="Arial"/>
                <w:sz w:val="20"/>
                <w:szCs w:val="20"/>
              </w:rPr>
            </w:pPr>
          </w:p>
        </w:tc>
        <w:tc>
          <w:tcPr>
            <w:tcW w:w="6373" w:type="dxa"/>
          </w:tcPr>
          <w:p w14:paraId="3B8B07BA" w14:textId="77777777" w:rsidR="00C43ED4" w:rsidRPr="0001732F" w:rsidRDefault="00C43ED4" w:rsidP="00C43ED4">
            <w:pPr>
              <w:rPr>
                <w:rFonts w:ascii="Arial" w:hAnsi="Arial" w:cs="Arial"/>
              </w:rPr>
            </w:pPr>
          </w:p>
        </w:tc>
      </w:tr>
    </w:tbl>
    <w:p w14:paraId="51BF67D9" w14:textId="77777777" w:rsidR="00C43ED4" w:rsidRDefault="00C43ED4" w:rsidP="006B4E9D">
      <w:pPr>
        <w:pStyle w:val="BodyText"/>
      </w:pPr>
    </w:p>
    <w:p w14:paraId="1EE621C5" w14:textId="08254572" w:rsidR="00D43874" w:rsidRDefault="00BB61EA" w:rsidP="00D43874">
      <w:pPr>
        <w:pStyle w:val="Heading2"/>
      </w:pPr>
      <w:r>
        <w:t>FR2 P-max</w:t>
      </w:r>
    </w:p>
    <w:p w14:paraId="3A90ADC4" w14:textId="77777777" w:rsidR="00BB61EA" w:rsidRPr="00CD1D47" w:rsidRDefault="00E05A12" w:rsidP="00BB61EA">
      <w:pPr>
        <w:pStyle w:val="Doc-title"/>
        <w:rPr>
          <w:sz w:val="20"/>
        </w:rPr>
      </w:pPr>
      <w:hyperlink r:id="rId17" w:history="1">
        <w:r w:rsidR="00BB61EA" w:rsidRPr="00CD1D47">
          <w:rPr>
            <w:rStyle w:val="Hyperlink"/>
            <w:sz w:val="20"/>
          </w:rPr>
          <w:t>R2-2100765</w:t>
        </w:r>
      </w:hyperlink>
      <w:r w:rsidR="00BB61EA" w:rsidRPr="00CD1D47">
        <w:rPr>
          <w:sz w:val="20"/>
        </w:rPr>
        <w:tab/>
        <w:t>Clarification on p-Max in FR2 rel-15</w:t>
      </w:r>
      <w:r w:rsidR="00BB61EA" w:rsidRPr="00CD1D47">
        <w:rPr>
          <w:sz w:val="20"/>
        </w:rPr>
        <w:tab/>
        <w:t>NTT DOCOMO, INC.</w:t>
      </w:r>
      <w:r w:rsidR="00BB61EA" w:rsidRPr="00CD1D47">
        <w:rPr>
          <w:sz w:val="20"/>
        </w:rPr>
        <w:tab/>
        <w:t>CR</w:t>
      </w:r>
      <w:r w:rsidR="00BB61EA" w:rsidRPr="00CD1D47">
        <w:rPr>
          <w:sz w:val="20"/>
        </w:rPr>
        <w:tab/>
        <w:t>Rel-15</w:t>
      </w:r>
      <w:r w:rsidR="00BB61EA" w:rsidRPr="00CD1D47">
        <w:rPr>
          <w:sz w:val="20"/>
        </w:rPr>
        <w:tab/>
        <w:t>38.331</w:t>
      </w:r>
      <w:r w:rsidR="00BB61EA" w:rsidRPr="00CD1D47">
        <w:rPr>
          <w:sz w:val="20"/>
        </w:rPr>
        <w:tab/>
        <w:t>15.12.0</w:t>
      </w:r>
      <w:r w:rsidR="00BB61EA" w:rsidRPr="00CD1D47">
        <w:rPr>
          <w:sz w:val="20"/>
        </w:rPr>
        <w:tab/>
        <w:t>2236</w:t>
      </w:r>
      <w:r w:rsidR="00BB61EA" w:rsidRPr="00CD1D47">
        <w:rPr>
          <w:sz w:val="20"/>
        </w:rPr>
        <w:tab/>
        <w:t>1</w:t>
      </w:r>
      <w:r w:rsidR="00BB61EA" w:rsidRPr="00CD1D47">
        <w:rPr>
          <w:sz w:val="20"/>
        </w:rPr>
        <w:tab/>
        <w:t>F</w:t>
      </w:r>
      <w:r w:rsidR="00BB61EA" w:rsidRPr="00CD1D47">
        <w:rPr>
          <w:sz w:val="20"/>
        </w:rPr>
        <w:tab/>
        <w:t>NR_newRAT-Core</w:t>
      </w:r>
      <w:r w:rsidR="00BB61EA" w:rsidRPr="00CD1D47">
        <w:rPr>
          <w:sz w:val="20"/>
        </w:rPr>
        <w:tab/>
        <w:t>R2-2010530</w:t>
      </w:r>
    </w:p>
    <w:p w14:paraId="5B671989" w14:textId="77777777" w:rsidR="00BB61EA" w:rsidRPr="00CD1D47" w:rsidRDefault="00E05A12" w:rsidP="00BB61EA">
      <w:pPr>
        <w:pStyle w:val="Doc-title"/>
        <w:rPr>
          <w:sz w:val="20"/>
        </w:rPr>
      </w:pPr>
      <w:hyperlink r:id="rId18" w:history="1">
        <w:r w:rsidR="00BB61EA" w:rsidRPr="00CD1D47">
          <w:rPr>
            <w:rStyle w:val="Hyperlink"/>
            <w:sz w:val="20"/>
          </w:rPr>
          <w:t>R2-2100771</w:t>
        </w:r>
      </w:hyperlink>
      <w:r w:rsidR="00BB61EA" w:rsidRPr="00CD1D47">
        <w:rPr>
          <w:sz w:val="20"/>
        </w:rPr>
        <w:tab/>
        <w:t>Clarification on p-Max in FR2</w:t>
      </w:r>
      <w:r w:rsidR="00BB61EA" w:rsidRPr="00CD1D47">
        <w:rPr>
          <w:sz w:val="20"/>
        </w:rPr>
        <w:tab/>
        <w:t>NTT DOCOMO, INC.</w:t>
      </w:r>
      <w:r w:rsidR="00BB61EA" w:rsidRPr="00CD1D47">
        <w:rPr>
          <w:sz w:val="20"/>
        </w:rPr>
        <w:tab/>
        <w:t>CR</w:t>
      </w:r>
      <w:r w:rsidR="00BB61EA" w:rsidRPr="00CD1D47">
        <w:rPr>
          <w:sz w:val="20"/>
        </w:rPr>
        <w:tab/>
        <w:t>Rel-16</w:t>
      </w:r>
      <w:r w:rsidR="00BB61EA" w:rsidRPr="00CD1D47">
        <w:rPr>
          <w:sz w:val="20"/>
        </w:rPr>
        <w:tab/>
        <w:t>38.331</w:t>
      </w:r>
      <w:r w:rsidR="00BB61EA" w:rsidRPr="00CD1D47">
        <w:rPr>
          <w:sz w:val="20"/>
        </w:rPr>
        <w:tab/>
        <w:t>16.3.1</w:t>
      </w:r>
      <w:r w:rsidR="00BB61EA" w:rsidRPr="00CD1D47">
        <w:rPr>
          <w:sz w:val="20"/>
        </w:rPr>
        <w:tab/>
        <w:t>2237</w:t>
      </w:r>
      <w:r w:rsidR="00BB61EA" w:rsidRPr="00CD1D47">
        <w:rPr>
          <w:sz w:val="20"/>
        </w:rPr>
        <w:tab/>
        <w:t>1</w:t>
      </w:r>
      <w:r w:rsidR="00BB61EA" w:rsidRPr="00CD1D47">
        <w:rPr>
          <w:sz w:val="20"/>
        </w:rPr>
        <w:tab/>
        <w:t>A</w:t>
      </w:r>
      <w:r w:rsidR="00BB61EA" w:rsidRPr="00CD1D47">
        <w:rPr>
          <w:sz w:val="20"/>
        </w:rPr>
        <w:tab/>
        <w:t>NR_newRAT-Core</w:t>
      </w:r>
      <w:r w:rsidR="00BB61EA" w:rsidRPr="00CD1D47">
        <w:rPr>
          <w:sz w:val="20"/>
        </w:rPr>
        <w:tab/>
        <w:t>R2-2010531</w:t>
      </w:r>
    </w:p>
    <w:p w14:paraId="1D4B74BD" w14:textId="77777777" w:rsidR="00BB61EA" w:rsidRPr="00CD1D47" w:rsidRDefault="00E05A12" w:rsidP="00BB61EA">
      <w:pPr>
        <w:pStyle w:val="Doc-title"/>
        <w:rPr>
          <w:sz w:val="20"/>
        </w:rPr>
      </w:pPr>
      <w:hyperlink r:id="rId19" w:history="1">
        <w:r w:rsidR="00BB61EA" w:rsidRPr="00CD1D47">
          <w:rPr>
            <w:rStyle w:val="Hyperlink"/>
            <w:sz w:val="20"/>
          </w:rPr>
          <w:t>R2-2101732</w:t>
        </w:r>
      </w:hyperlink>
      <w:r w:rsidR="00BB61EA" w:rsidRPr="00CD1D47">
        <w:rPr>
          <w:sz w:val="20"/>
        </w:rPr>
        <w:tab/>
        <w:t>p-Max for FR2 in dedicated signalling</w:t>
      </w:r>
      <w:r w:rsidR="00BB61EA" w:rsidRPr="00CD1D47">
        <w:rPr>
          <w:sz w:val="20"/>
        </w:rPr>
        <w:tab/>
        <w:t>Ericsson</w:t>
      </w:r>
      <w:r w:rsidR="00BB61EA" w:rsidRPr="00CD1D47">
        <w:rPr>
          <w:sz w:val="20"/>
        </w:rPr>
        <w:tab/>
        <w:t>discussion</w:t>
      </w:r>
      <w:r w:rsidR="00BB61EA" w:rsidRPr="00CD1D47">
        <w:rPr>
          <w:sz w:val="20"/>
        </w:rPr>
        <w:tab/>
        <w:t>Rel-15</w:t>
      </w:r>
      <w:r w:rsidR="00BB61EA" w:rsidRPr="00CD1D47">
        <w:rPr>
          <w:sz w:val="20"/>
        </w:rPr>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sz w:val="20"/>
          <w:lang w:eastAsia="en-GB"/>
        </w:rPr>
      </w:pPr>
      <w:r>
        <w:rPr>
          <w:sz w:val="20"/>
          <w:lang w:eastAsia="en-GB"/>
        </w:rPr>
        <w:t xml:space="preserve">This issue was discussed last meeting, but no agreement was reached on how to clarify the use of p-Max parameter for FR2 in </w:t>
      </w:r>
      <w:proofErr w:type="spellStart"/>
      <w:r w:rsidR="00DC7D99" w:rsidRPr="00963BB4">
        <w:rPr>
          <w:i/>
          <w:sz w:val="20"/>
          <w:lang w:eastAsia="en-GB"/>
        </w:rPr>
        <w:t>FrequencyInfoUL</w:t>
      </w:r>
      <w:proofErr w:type="spellEnd"/>
      <w:r w:rsidR="00DC7D99">
        <w:rPr>
          <w:sz w:val="20"/>
          <w:lang w:eastAsia="en-GB"/>
        </w:rPr>
        <w:t xml:space="preserve">. In R2-2101732, it is observed that </w:t>
      </w:r>
      <w:r w:rsidR="00C610C0">
        <w:rPr>
          <w:sz w:val="20"/>
          <w:lang w:eastAsia="en-GB"/>
        </w:rPr>
        <w:t xml:space="preserve">the </w:t>
      </w:r>
      <w:r w:rsidR="00307D50" w:rsidRPr="00C610C0">
        <w:rPr>
          <w:i/>
          <w:sz w:val="20"/>
          <w:lang w:eastAsia="en-GB"/>
        </w:rPr>
        <w:t>p-Max</w:t>
      </w:r>
      <w:r w:rsidR="00307D50">
        <w:rPr>
          <w:sz w:val="20"/>
          <w:lang w:eastAsia="en-GB"/>
        </w:rPr>
        <w:t xml:space="preserve"> </w:t>
      </w:r>
      <w:r w:rsidR="00C610C0">
        <w:rPr>
          <w:sz w:val="20"/>
          <w:lang w:eastAsia="en-GB"/>
        </w:rPr>
        <w:t xml:space="preserve">for FR2 </w:t>
      </w:r>
      <w:r w:rsidR="00307D50">
        <w:rPr>
          <w:sz w:val="20"/>
          <w:lang w:eastAsia="en-GB"/>
        </w:rPr>
        <w:t xml:space="preserve">is cell-specific configuration, so </w:t>
      </w:r>
      <w:r w:rsidR="00C610C0">
        <w:rPr>
          <w:sz w:val="20"/>
          <w:lang w:eastAsia="en-GB"/>
        </w:rPr>
        <w:t>if</w:t>
      </w:r>
      <w:r w:rsidR="00307D50">
        <w:rPr>
          <w:sz w:val="20"/>
          <w:lang w:eastAsia="en-GB"/>
        </w:rPr>
        <w:t xml:space="preserve"> RAN4 defines and introduces </w:t>
      </w:r>
      <w:r w:rsidR="00307D50" w:rsidRPr="005B4E08">
        <w:rPr>
          <w:sz w:val="20"/>
          <w:lang w:eastAsia="en-GB"/>
        </w:rPr>
        <w:t xml:space="preserve">p-Max </w:t>
      </w:r>
      <w:r w:rsidR="00307D50">
        <w:rPr>
          <w:sz w:val="20"/>
          <w:lang w:eastAsia="en-GB"/>
        </w:rPr>
        <w:t>for FR2 in later release, network may signal the field in e.g. system information</w:t>
      </w:r>
      <w:r w:rsidR="00C610C0">
        <w:rPr>
          <w:sz w:val="20"/>
          <w:lang w:eastAsia="en-GB"/>
        </w:rPr>
        <w:t>.</w:t>
      </w:r>
      <w:r w:rsidR="00307D50">
        <w:rPr>
          <w:sz w:val="20"/>
          <w:lang w:eastAsia="en-GB"/>
        </w:rPr>
        <w:t xml:space="preserve"> </w:t>
      </w:r>
      <w:r w:rsidR="00C610C0">
        <w:rPr>
          <w:sz w:val="20"/>
          <w:lang w:eastAsia="en-GB"/>
        </w:rPr>
        <w:t>Thus</w:t>
      </w:r>
      <w:r w:rsidR="00307D50">
        <w:rPr>
          <w:sz w:val="20"/>
          <w:lang w:eastAsia="en-GB"/>
        </w:rPr>
        <w:t xml:space="preserve"> we should capture in spec that Rel-15 or Rel-16 UEs will ignore the field once received. Rapporteur thinks </w:t>
      </w:r>
      <w:r w:rsidR="00C610C0">
        <w:rPr>
          <w:sz w:val="20"/>
          <w:lang w:eastAsia="en-GB"/>
        </w:rPr>
        <w:t>it</w:t>
      </w:r>
      <w:r w:rsidR="00307D50">
        <w:rPr>
          <w:sz w:val="20"/>
          <w:lang w:eastAsia="en-GB"/>
        </w:rPr>
        <w:t xml:space="preserve"> makes sense. </w:t>
      </w:r>
    </w:p>
    <w:p w14:paraId="72996AAE" w14:textId="12831D36" w:rsidR="00CD1D47" w:rsidRDefault="00307D50" w:rsidP="005B4E08">
      <w:pPr>
        <w:pStyle w:val="BodyText"/>
        <w:spacing w:line="276" w:lineRule="auto"/>
        <w:rPr>
          <w:sz w:val="20"/>
          <w:lang w:eastAsia="en-GB"/>
        </w:rPr>
      </w:pPr>
      <w:r>
        <w:rPr>
          <w:sz w:val="20"/>
          <w:lang w:eastAsia="en-GB"/>
        </w:rPr>
        <w:t xml:space="preserve">Regarding the SPEC change, </w:t>
      </w:r>
      <w:r w:rsidR="00C610C0">
        <w:rPr>
          <w:sz w:val="20"/>
          <w:lang w:eastAsia="en-GB"/>
        </w:rPr>
        <w:t>seems</w:t>
      </w:r>
      <w:r w:rsidR="00115DE8">
        <w:rPr>
          <w:sz w:val="20"/>
          <w:lang w:eastAsia="en-GB"/>
        </w:rPr>
        <w:t xml:space="preserve"> </w:t>
      </w:r>
      <w:r w:rsidR="00CD1D47">
        <w:rPr>
          <w:sz w:val="20"/>
          <w:lang w:eastAsia="en-GB"/>
        </w:rPr>
        <w:t xml:space="preserve">above papers have exactly </w:t>
      </w:r>
      <w:r w:rsidR="00115DE8">
        <w:rPr>
          <w:sz w:val="20"/>
          <w:lang w:eastAsia="en-GB"/>
        </w:rPr>
        <w:t xml:space="preserve">the </w:t>
      </w:r>
      <w:r w:rsidR="00CD1D47">
        <w:rPr>
          <w:sz w:val="20"/>
          <w:lang w:eastAsia="en-GB"/>
        </w:rPr>
        <w:t xml:space="preserve">same </w:t>
      </w:r>
      <w:r w:rsidR="00C610C0">
        <w:rPr>
          <w:sz w:val="20"/>
          <w:lang w:eastAsia="en-GB"/>
        </w:rPr>
        <w:t>changes</w:t>
      </w:r>
      <w:r w:rsidR="00115DE8">
        <w:rPr>
          <w:sz w:val="20"/>
          <w:lang w:eastAsia="en-GB"/>
        </w:rPr>
        <w:t>, see below:</w:t>
      </w:r>
    </w:p>
    <w:p w14:paraId="6A6D2D04" w14:textId="5C924622" w:rsidR="00CD1D47" w:rsidRPr="00963BB4" w:rsidRDefault="00CD1D47" w:rsidP="00307D50">
      <w:pPr>
        <w:pStyle w:val="BodyText"/>
        <w:numPr>
          <w:ilvl w:val="0"/>
          <w:numId w:val="28"/>
        </w:numPr>
        <w:ind w:left="284" w:hanging="284"/>
        <w:rPr>
          <w:sz w:val="20"/>
          <w:lang w:eastAsia="en-GB"/>
        </w:rPr>
      </w:pPr>
      <w:r w:rsidRPr="00963BB4">
        <w:rPr>
          <w:sz w:val="20"/>
          <w:lang w:eastAsia="en-GB"/>
        </w:rPr>
        <w:t>C</w:t>
      </w:r>
      <w:r w:rsidRPr="00963BB4">
        <w:rPr>
          <w:rFonts w:hint="eastAsia"/>
          <w:sz w:val="20"/>
        </w:rPr>
        <w:t>orrection</w:t>
      </w:r>
      <w:r w:rsidRPr="00963BB4">
        <w:rPr>
          <w:sz w:val="20"/>
        </w:rPr>
        <w:t xml:space="preserve"> from NTT DOCOMO’</w:t>
      </w:r>
      <w:r w:rsidRPr="00963BB4">
        <w:rPr>
          <w:rFonts w:hint="eastAsia"/>
          <w:sz w:val="20"/>
        </w:rPr>
        <w:t>s</w:t>
      </w:r>
      <w:r w:rsidRPr="00963BB4">
        <w:rPr>
          <w:sz w:val="20"/>
        </w:rPr>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1"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2"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sz w:val="20"/>
          <w:lang w:eastAsia="en-GB"/>
        </w:rPr>
      </w:pPr>
    </w:p>
    <w:p w14:paraId="7964F2A7" w14:textId="2BC8FA8F" w:rsidR="00CD1D47" w:rsidRPr="00CD1D47" w:rsidRDefault="00CD1D47" w:rsidP="00307D50">
      <w:pPr>
        <w:pStyle w:val="BodyText"/>
        <w:numPr>
          <w:ilvl w:val="0"/>
          <w:numId w:val="28"/>
        </w:numPr>
        <w:ind w:left="284" w:hanging="284"/>
        <w:rPr>
          <w:sz w:val="20"/>
          <w:lang w:eastAsia="en-GB"/>
        </w:rPr>
      </w:pPr>
      <w:r w:rsidRPr="00CD1D47">
        <w:rPr>
          <w:sz w:val="20"/>
          <w:lang w:eastAsia="en-GB"/>
        </w:rPr>
        <w:t>Correction from Ericsson’s CR</w:t>
      </w:r>
      <w:r>
        <w:rPr>
          <w:sz w:val="20"/>
          <w:lang w:eastAsia="en-GB"/>
        </w:rPr>
        <w:t xml:space="preserve"> (in Annex of R2-2101732)</w:t>
      </w:r>
      <w:r w:rsidRPr="00CD1D47">
        <w:rPr>
          <w:sz w:val="20"/>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bookmarkStart w:id="3" w:name="_Hlk61336647"/>
            <w:r w:rsidRPr="00315B97">
              <w:rPr>
                <w:rFonts w:eastAsia="Times New Roman"/>
                <w:b/>
                <w:i/>
                <w:sz w:val="18"/>
                <w:lang w:val="en-GB" w:eastAsia="sv-SE"/>
              </w:rPr>
              <w:t>p-Max</w:t>
            </w:r>
          </w:p>
          <w:p w14:paraId="1EECD5A4"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r w:rsidRPr="00315B97">
              <w:rPr>
                <w:rFonts w:eastAsia="Times New Roman"/>
                <w:sz w:val="18"/>
                <w:lang w:val="en-GB" w:eastAsia="sv-SE"/>
              </w:rPr>
              <w:t xml:space="preserve">Maximum transmit power allowed in this serving cell. The maximum transmit power that the UE may use on this serving cell may be additionally limited by </w:t>
            </w:r>
            <w:r w:rsidRPr="00315B97">
              <w:rPr>
                <w:rFonts w:eastAsia="Times New Roman"/>
                <w:i/>
                <w:sz w:val="18"/>
                <w:lang w:val="en-GB" w:eastAsia="sv-SE"/>
              </w:rPr>
              <w:t>p-NR-FR1</w:t>
            </w:r>
            <w:r w:rsidRPr="00315B97">
              <w:rPr>
                <w:rFonts w:eastAsia="Times New Roman"/>
                <w:sz w:val="18"/>
                <w:lang w:val="en-GB" w:eastAsia="sv-SE"/>
              </w:rPr>
              <w:t xml:space="preserve"> (configured for the cell group) and by </w:t>
            </w:r>
            <w:r w:rsidRPr="00315B97">
              <w:rPr>
                <w:rFonts w:eastAsia="Times New Roman"/>
                <w:i/>
                <w:sz w:val="18"/>
                <w:lang w:val="en-GB" w:eastAsia="sv-SE"/>
              </w:rPr>
              <w:t>p-UE-FR1</w:t>
            </w:r>
            <w:r w:rsidRPr="00315B97">
              <w:rPr>
                <w:rFonts w:eastAsia="Times New Roman"/>
                <w:sz w:val="18"/>
                <w:lang w:val="en-GB" w:eastAsia="sv-SE"/>
              </w:rPr>
              <w:t xml:space="preserve"> (configured total for all serving cells operating on FR1). If absent, the UE applies the maximum power according to TS 38.101-1 [15]</w:t>
            </w:r>
            <w:ins w:id="4" w:author="Ericsson" w:date="2021-01-12T09:41:00Z">
              <w:r>
                <w:rPr>
                  <w:rFonts w:eastAsia="Times New Roman"/>
                  <w:sz w:val="18"/>
                  <w:lang w:val="en-GB" w:eastAsia="sv-SE"/>
                </w:rPr>
                <w:t xml:space="preserve"> in case of an FR1 cell or TS 38.101-2 [39] in case of an FR2 cell</w:t>
              </w:r>
            </w:ins>
            <w:r w:rsidRPr="00315B97">
              <w:rPr>
                <w:rFonts w:eastAsia="Times New Roman"/>
                <w:sz w:val="18"/>
                <w:lang w:val="en-GB" w:eastAsia="sv-SE"/>
              </w:rPr>
              <w:t>.</w:t>
            </w:r>
            <w:ins w:id="5"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val="en-GB" w:eastAsia="sv-SE"/>
              </w:rPr>
              <w:t xml:space="preserve"> Value in dBm. </w:t>
            </w:r>
            <w:r w:rsidRPr="00315B97">
              <w:rPr>
                <w:rFonts w:eastAsia="Times New Roman"/>
                <w:sz w:val="18"/>
                <w:lang w:val="en-GB" w:eastAsia="en-GB"/>
              </w:rPr>
              <w:t>This field is ignored by IAB-MT, the IAB-MT applies output power and emissions requirements, as specified in TS 38.174 [63]</w:t>
            </w:r>
            <w:r w:rsidRPr="00315B97">
              <w:rPr>
                <w:rFonts w:eastAsia="Times New Roman"/>
                <w:sz w:val="18"/>
                <w:lang w:val="en-GB" w:eastAsia="sv-SE"/>
              </w:rPr>
              <w:t>.</w:t>
            </w:r>
            <w:bookmarkEnd w:id="3"/>
          </w:p>
        </w:tc>
      </w:tr>
    </w:tbl>
    <w:p w14:paraId="52F36830" w14:textId="7D9FC378" w:rsidR="00307D50" w:rsidRDefault="00307D50" w:rsidP="005741B7">
      <w:pPr>
        <w:pStyle w:val="BodyText"/>
        <w:rPr>
          <w:sz w:val="20"/>
          <w:lang w:eastAsia="en-GB"/>
        </w:rPr>
      </w:pPr>
    </w:p>
    <w:p w14:paraId="38765E18" w14:textId="4C28AC09" w:rsidR="00307D50" w:rsidRPr="00307D50" w:rsidRDefault="00C610C0" w:rsidP="00C610C0">
      <w:pPr>
        <w:pStyle w:val="BodyText"/>
        <w:spacing w:before="120"/>
        <w:rPr>
          <w:sz w:val="20"/>
          <w:lang w:eastAsia="en-GB"/>
        </w:rPr>
      </w:pPr>
      <w:r>
        <w:rPr>
          <w:sz w:val="20"/>
          <w:lang w:eastAsia="en-GB"/>
        </w:rPr>
        <w:t>Considering</w:t>
      </w:r>
      <w:r w:rsidR="00307D50">
        <w:rPr>
          <w:sz w:val="20"/>
          <w:lang w:eastAsia="en-GB"/>
        </w:rPr>
        <w:t xml:space="preserve"> </w:t>
      </w:r>
      <w:r>
        <w:rPr>
          <w:sz w:val="20"/>
          <w:lang w:eastAsia="en-GB"/>
        </w:rPr>
        <w:t>the changes are the same, rapporteur would suggest to discuss the individual CRs directly.</w:t>
      </w:r>
    </w:p>
    <w:p w14:paraId="4556B85D" w14:textId="77777777" w:rsidR="0087601C" w:rsidRPr="00307D50" w:rsidRDefault="0087601C" w:rsidP="00307D50">
      <w:pPr>
        <w:pStyle w:val="BodyText"/>
        <w:rPr>
          <w:sz w:val="20"/>
          <w:lang w:eastAsia="en-GB"/>
        </w:rPr>
      </w:pPr>
    </w:p>
    <w:p w14:paraId="39E840D2" w14:textId="17C0032F" w:rsidR="005741B7" w:rsidRPr="00963BB4" w:rsidRDefault="00C610C0" w:rsidP="0004003B">
      <w:pPr>
        <w:pStyle w:val="Doc-text2"/>
        <w:tabs>
          <w:tab w:val="left" w:pos="2127"/>
        </w:tabs>
        <w:spacing w:after="120"/>
        <w:ind w:left="0" w:firstLine="0"/>
        <w:rPr>
          <w:b/>
          <w:sz w:val="20"/>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(R2-2100765, R2-2100771)</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7"/>
        <w:gridCol w:w="1262"/>
        <w:gridCol w:w="6194"/>
      </w:tblGrid>
      <w:tr w:rsidR="005A400E" w14:paraId="39BAACD4" w14:textId="77777777" w:rsidTr="00C610C0">
        <w:tc>
          <w:tcPr>
            <w:tcW w:w="1964"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C610C0">
        <w:tc>
          <w:tcPr>
            <w:tcW w:w="1964"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9"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3"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C610C0">
        <w:tc>
          <w:tcPr>
            <w:tcW w:w="1964"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9"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283"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C610C0">
        <w:tc>
          <w:tcPr>
            <w:tcW w:w="1964" w:type="dxa"/>
            <w:vAlign w:val="center"/>
          </w:tcPr>
          <w:p w14:paraId="2C9C5965" w14:textId="77777777" w:rsidR="005A400E" w:rsidRPr="0001732F" w:rsidRDefault="005A400E" w:rsidP="00906E6E">
            <w:pPr>
              <w:jc w:val="center"/>
              <w:rPr>
                <w:rFonts w:ascii="Arial" w:hAnsi="Arial" w:cs="Arial"/>
                <w:sz w:val="20"/>
                <w:szCs w:val="20"/>
              </w:rPr>
            </w:pPr>
          </w:p>
        </w:tc>
        <w:tc>
          <w:tcPr>
            <w:tcW w:w="1269" w:type="dxa"/>
            <w:vAlign w:val="center"/>
          </w:tcPr>
          <w:p w14:paraId="051E4CE4" w14:textId="77777777" w:rsidR="005A400E" w:rsidRPr="0001732F" w:rsidRDefault="005A400E" w:rsidP="00906E6E">
            <w:pPr>
              <w:jc w:val="center"/>
              <w:rPr>
                <w:rFonts w:ascii="Arial" w:hAnsi="Arial" w:cs="Arial"/>
                <w:sz w:val="20"/>
                <w:szCs w:val="20"/>
              </w:rPr>
            </w:pPr>
          </w:p>
        </w:tc>
        <w:tc>
          <w:tcPr>
            <w:tcW w:w="6283" w:type="dxa"/>
          </w:tcPr>
          <w:p w14:paraId="76786818" w14:textId="77777777" w:rsidR="005A400E" w:rsidRPr="0001732F" w:rsidRDefault="005A400E" w:rsidP="0001732F">
            <w:pPr>
              <w:rPr>
                <w:rFonts w:ascii="Arial" w:hAnsi="Arial" w:cs="Arial"/>
              </w:rPr>
            </w:pPr>
          </w:p>
        </w:tc>
      </w:tr>
      <w:tr w:rsidR="005A400E" w14:paraId="3DF54527" w14:textId="77777777" w:rsidTr="00C610C0">
        <w:tc>
          <w:tcPr>
            <w:tcW w:w="1964" w:type="dxa"/>
            <w:vAlign w:val="center"/>
          </w:tcPr>
          <w:p w14:paraId="6613A6C2" w14:textId="77777777" w:rsidR="005A400E" w:rsidRPr="0001732F" w:rsidRDefault="005A400E" w:rsidP="00906E6E">
            <w:pPr>
              <w:jc w:val="center"/>
              <w:rPr>
                <w:rFonts w:ascii="Arial" w:hAnsi="Arial" w:cs="Arial"/>
                <w:sz w:val="20"/>
                <w:szCs w:val="20"/>
              </w:rPr>
            </w:pPr>
          </w:p>
        </w:tc>
        <w:tc>
          <w:tcPr>
            <w:tcW w:w="1269" w:type="dxa"/>
            <w:vAlign w:val="center"/>
          </w:tcPr>
          <w:p w14:paraId="1AF14DB9" w14:textId="77777777" w:rsidR="005A400E" w:rsidRPr="0001732F" w:rsidRDefault="005A400E" w:rsidP="00906E6E">
            <w:pPr>
              <w:jc w:val="center"/>
              <w:rPr>
                <w:rFonts w:ascii="Arial" w:hAnsi="Arial" w:cs="Arial"/>
                <w:sz w:val="20"/>
                <w:szCs w:val="20"/>
              </w:rPr>
            </w:pPr>
          </w:p>
        </w:tc>
        <w:tc>
          <w:tcPr>
            <w:tcW w:w="6283" w:type="dxa"/>
          </w:tcPr>
          <w:p w14:paraId="363F859A" w14:textId="77777777" w:rsidR="005A400E" w:rsidRPr="0001732F" w:rsidRDefault="005A400E" w:rsidP="0001732F">
            <w:pPr>
              <w:rPr>
                <w:rFonts w:ascii="Arial" w:hAnsi="Arial" w:cs="Arial"/>
              </w:rPr>
            </w:pPr>
          </w:p>
        </w:tc>
      </w:tr>
    </w:tbl>
    <w:p w14:paraId="4B32DA43" w14:textId="77777777" w:rsidR="005A400E" w:rsidRDefault="005A400E" w:rsidP="005A400E"/>
    <w:p w14:paraId="477C03C7" w14:textId="6D9BEE07" w:rsidR="00DD3DB9" w:rsidRDefault="00C610C0" w:rsidP="00DD3DB9">
      <w:pPr>
        <w:pStyle w:val="Heading2"/>
      </w:pPr>
      <w:r>
        <w:t>Release of last DRB</w:t>
      </w:r>
    </w:p>
    <w:p w14:paraId="7C5EEEF5" w14:textId="28FDB97D" w:rsidR="009625B0" w:rsidRPr="009625B0" w:rsidRDefault="00E05A12" w:rsidP="009625B0">
      <w:pPr>
        <w:spacing w:before="60"/>
        <w:ind w:left="1259" w:hanging="1259"/>
        <w:rPr>
          <w:rFonts w:ascii="Arial" w:eastAsia="MS Mincho" w:hAnsi="Arial" w:cs="Times New Roman"/>
          <w:noProof/>
          <w:sz w:val="20"/>
          <w:lang w:val="en-GB" w:eastAsia="en-GB"/>
        </w:rPr>
      </w:pPr>
      <w:hyperlink r:id="rId20" w:tooltip="D:Documents3GPPtsg_ranWG2TSGR2_113-eDocsR2-2100557.zip" w:history="1">
        <w:r w:rsidR="00C610C0" w:rsidRPr="00C610C0">
          <w:rPr>
            <w:rFonts w:ascii="Arial" w:eastAsia="MS Mincho" w:hAnsi="Arial" w:cs="Times New Roman"/>
            <w:noProof/>
            <w:color w:val="0000FF"/>
            <w:sz w:val="20"/>
            <w:u w:val="single"/>
            <w:lang w:val="en-GB" w:eastAsia="en-GB"/>
          </w:rPr>
          <w:t>R2-2100557</w:t>
        </w:r>
      </w:hyperlink>
      <w:r w:rsidR="00C610C0" w:rsidRPr="00C610C0">
        <w:rPr>
          <w:rFonts w:ascii="Arial" w:eastAsia="MS Mincho" w:hAnsi="Arial" w:cs="Times New Roman"/>
          <w:noProof/>
          <w:sz w:val="20"/>
          <w:lang w:val="en-GB" w:eastAsia="en-GB"/>
        </w:rPr>
        <w:tab/>
        <w:t>Clarification on procedure of DRB release</w:t>
      </w:r>
      <w:r w:rsidR="00C610C0" w:rsidRPr="00C610C0">
        <w:rPr>
          <w:rFonts w:ascii="Arial" w:eastAsia="MS Mincho" w:hAnsi="Arial" w:cs="Times New Roman"/>
          <w:noProof/>
          <w:sz w:val="20"/>
          <w:lang w:val="en-GB" w:eastAsia="en-GB"/>
        </w:rPr>
        <w:tab/>
        <w:t>ZTE Corporation, Sanechips</w:t>
      </w:r>
      <w:r w:rsidR="00C610C0" w:rsidRPr="00C610C0">
        <w:rPr>
          <w:rFonts w:ascii="Arial" w:eastAsia="MS Mincho" w:hAnsi="Arial" w:cs="Times New Roman"/>
          <w:noProof/>
          <w:sz w:val="20"/>
          <w:lang w:val="en-GB" w:eastAsia="en-GB"/>
        </w:rPr>
        <w:tab/>
        <w:t>d</w:t>
      </w:r>
      <w:r w:rsidR="009625B0">
        <w:rPr>
          <w:rFonts w:ascii="Arial" w:eastAsia="MS Mincho" w:hAnsi="Arial" w:cs="Times New Roman"/>
          <w:noProof/>
          <w:sz w:val="20"/>
          <w:lang w:val="en-GB" w:eastAsia="en-GB"/>
        </w:rPr>
        <w:t>iscussion</w:t>
      </w:r>
      <w:r w:rsidR="009625B0">
        <w:rPr>
          <w:rFonts w:ascii="Arial" w:eastAsia="MS Mincho" w:hAnsi="Arial" w:cs="Times New Roman"/>
          <w:noProof/>
          <w:sz w:val="20"/>
          <w:lang w:val="en-GB" w:eastAsia="en-GB"/>
        </w:rPr>
        <w:tab/>
        <w:t>Rel-15</w:t>
      </w:r>
      <w:r w:rsidR="009625B0">
        <w:rPr>
          <w:rFonts w:ascii="Arial" w:eastAsia="MS Mincho" w:hAnsi="Arial" w:cs="Times New Roman"/>
          <w:noProof/>
          <w:sz w:val="20"/>
          <w:lang w:val="en-GB" w:eastAsia="en-GB"/>
        </w:rPr>
        <w:tab/>
        <w:t>NR_newRAT-Core</w:t>
      </w:r>
    </w:p>
    <w:p w14:paraId="503B826D" w14:textId="376D3172" w:rsidR="003848B0" w:rsidRDefault="009625B0" w:rsidP="005B4E08">
      <w:pPr>
        <w:pStyle w:val="Doc-text2"/>
        <w:spacing w:before="120" w:after="120" w:line="276" w:lineRule="auto"/>
        <w:ind w:left="0" w:firstLine="0"/>
        <w:rPr>
          <w:sz w:val="20"/>
          <w:lang w:val="en-US" w:eastAsia="en-GB"/>
        </w:rPr>
      </w:pPr>
      <w:r>
        <w:rPr>
          <w:sz w:val="20"/>
          <w:lang w:val="en-US" w:eastAsia="en-GB"/>
        </w:rPr>
        <w:t xml:space="preserve">In current TS 38.331, it defines the following network </w:t>
      </w:r>
      <w:proofErr w:type="spellStart"/>
      <w:r>
        <w:rPr>
          <w:sz w:val="20"/>
          <w:lang w:val="en-US" w:eastAsia="en-GB"/>
        </w:rPr>
        <w:t>behaviour</w:t>
      </w:r>
      <w:proofErr w:type="spellEnd"/>
      <w:r>
        <w:rPr>
          <w:sz w:val="20"/>
          <w:lang w:val="en-US" w:eastAsia="en-GB"/>
        </w:rPr>
        <w:t xml:space="preserve">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lastRenderedPageBreak/>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sz w:val="20"/>
          <w:lang w:val="en-US" w:eastAsia="en-GB"/>
        </w:rPr>
      </w:pPr>
      <w:r>
        <w:rPr>
          <w:sz w:val="20"/>
          <w:lang w:val="en-US" w:eastAsia="en-GB"/>
        </w:rPr>
        <w:t xml:space="preserve">In this paper, it is observed that that IoT problem may happen when network directly triggers </w:t>
      </w:r>
      <w:proofErr w:type="spellStart"/>
      <w:r>
        <w:rPr>
          <w:sz w:val="20"/>
          <w:lang w:val="en-US" w:eastAsia="en-GB"/>
        </w:rPr>
        <w:t>RRCRelease</w:t>
      </w:r>
      <w:proofErr w:type="spellEnd"/>
      <w:r>
        <w:rPr>
          <w:sz w:val="20"/>
          <w:lang w:val="en-US" w:eastAsia="en-GB"/>
        </w:rPr>
        <w:t xml:space="preserve"> when releasing the last DRB (e.g. interpretation-1). </w:t>
      </w:r>
    </w:p>
    <w:p w14:paraId="16076265" w14:textId="24DE7451" w:rsidR="003848B0" w:rsidRDefault="003848B0" w:rsidP="005B4E08">
      <w:pPr>
        <w:pStyle w:val="Doc-text2"/>
        <w:spacing w:before="120" w:after="120" w:line="276" w:lineRule="auto"/>
        <w:ind w:left="0" w:firstLine="0"/>
        <w:rPr>
          <w:sz w:val="20"/>
          <w:lang w:val="en-US" w:eastAsia="en-GB"/>
        </w:rPr>
      </w:pPr>
      <w:r>
        <w:rPr>
          <w:sz w:val="20"/>
          <w:lang w:val="en-US" w:eastAsia="en-GB"/>
        </w:rPr>
        <w:t xml:space="preserve">To solve the problem, </w:t>
      </w:r>
      <w:r w:rsidR="009625B0">
        <w:rPr>
          <w:sz w:val="20"/>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1: Network can only trigger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but network can delay the transmission of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message for a few seconds</w:t>
      </w:r>
      <w:r>
        <w:rPr>
          <w:rFonts w:ascii="Arial" w:eastAsia="SimSun" w:hAnsi="Arial" w:cs="Arial"/>
          <w:b/>
          <w:sz w:val="20"/>
          <w:szCs w:val="20"/>
          <w:lang w:eastAsia="ja-JP"/>
        </w:rPr>
        <w:t>;</w:t>
      </w:r>
      <w:r w:rsidRPr="009625B0">
        <w:rPr>
          <w:rFonts w:ascii="Arial" w:eastAsia="SimSun" w:hAnsi="Arial" w:cs="Arial"/>
          <w:b/>
          <w:sz w:val="20"/>
          <w:szCs w:val="20"/>
          <w:lang w:eastAsia="ja-JP"/>
        </w:rPr>
        <w:t xml:space="preserve">  </w:t>
      </w:r>
    </w:p>
    <w:p w14:paraId="51CF4BB8"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2: Allow network to first release all DRBs via </w:t>
      </w:r>
      <w:proofErr w:type="spellStart"/>
      <w:r w:rsidRPr="009625B0">
        <w:rPr>
          <w:rFonts w:ascii="Arial" w:eastAsia="SimSun" w:hAnsi="Arial" w:cs="Arial"/>
          <w:b/>
          <w:sz w:val="20"/>
          <w:szCs w:val="20"/>
          <w:lang w:eastAsia="ja-JP"/>
        </w:rPr>
        <w:t>RRCReconfiguration</w:t>
      </w:r>
      <w:proofErr w:type="spellEnd"/>
      <w:r w:rsidRPr="009625B0">
        <w:rPr>
          <w:rFonts w:ascii="Arial" w:eastAsia="SimSun" w:hAnsi="Arial" w:cs="Arial"/>
          <w:b/>
          <w:sz w:val="20"/>
          <w:szCs w:val="20"/>
          <w:lang w:eastAsia="ja-JP"/>
        </w:rPr>
        <w:t xml:space="preserve"> firstly, and then triggers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soon after (i.e. revise RAN2 spec to support Interpretation-2);</w:t>
      </w:r>
    </w:p>
    <w:p w14:paraId="1898B234"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3: Send LS to CT1, inform CT1 that RAN2 has specified network will trigger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sz w:val="20"/>
          <w:lang w:val="en-US" w:eastAsia="en-GB"/>
        </w:rPr>
      </w:pPr>
      <w:r>
        <w:rPr>
          <w:sz w:val="20"/>
          <w:lang w:val="en-US" w:eastAsia="en-GB"/>
        </w:rPr>
        <w:t>However, for solution 1, the paper also indicates it may cause other issue</w:t>
      </w:r>
      <w:r w:rsidR="00320B10">
        <w:rPr>
          <w:sz w:val="20"/>
          <w:lang w:val="en-US" w:eastAsia="en-GB"/>
        </w:rPr>
        <w:t xml:space="preserve">s </w:t>
      </w:r>
      <w:r>
        <w:rPr>
          <w:sz w:val="20"/>
          <w:lang w:val="en-US" w:eastAsia="en-GB"/>
        </w:rPr>
        <w:t>that need further discussion</w:t>
      </w:r>
      <w:r w:rsidR="00320B10">
        <w:rPr>
          <w:sz w:val="20"/>
          <w:lang w:val="en-US" w:eastAsia="en-GB"/>
        </w:rPr>
        <w:t xml:space="preserve"> (see below)</w:t>
      </w:r>
      <w:r>
        <w:rPr>
          <w:sz w:val="20"/>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sz w:val="20"/>
          <w:lang w:val="en-US" w:eastAsia="en-GB"/>
        </w:rPr>
      </w:pPr>
      <w:r>
        <w:rPr>
          <w:sz w:val="20"/>
          <w:lang w:val="en-US" w:eastAsia="en-GB"/>
        </w:rPr>
        <w:t xml:space="preserve">So </w:t>
      </w:r>
      <w:r w:rsidR="00320B10">
        <w:rPr>
          <w:sz w:val="20"/>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 w:val="20"/>
          <w:szCs w:val="20"/>
        </w:rPr>
      </w:pPr>
      <w:r w:rsidRPr="0004003B">
        <w:rPr>
          <w:rFonts w:ascii="Arial" w:hAnsi="Arial" w:cs="Arial"/>
          <w:b/>
          <w:sz w:val="20"/>
          <w:szCs w:val="20"/>
        </w:rPr>
        <w:t xml:space="preserve">Proposal 1: To discuss which solution should be adopted when </w:t>
      </w:r>
      <w:proofErr w:type="spellStart"/>
      <w:r w:rsidRPr="0004003B">
        <w:rPr>
          <w:rFonts w:ascii="Arial" w:hAnsi="Arial" w:cs="Arial"/>
          <w:b/>
          <w:sz w:val="20"/>
          <w:szCs w:val="20"/>
        </w:rPr>
        <w:t>gNB</w:t>
      </w:r>
      <w:proofErr w:type="spellEnd"/>
      <w:r w:rsidRPr="0004003B">
        <w:rPr>
          <w:rFonts w:ascii="Arial" w:hAnsi="Arial" w:cs="Arial"/>
          <w:b/>
          <w:sz w:val="20"/>
          <w:szCs w:val="20"/>
        </w:rPr>
        <w:t xml:space="preserve"> is commanded to release the last DRB:</w:t>
      </w:r>
    </w:p>
    <w:p w14:paraId="67D271BF" w14:textId="04A62DF9" w:rsidR="00320B10" w:rsidRDefault="00320B10" w:rsidP="003C1845">
      <w:pPr>
        <w:pStyle w:val="Doc-text2"/>
        <w:spacing w:before="120" w:after="120"/>
        <w:ind w:left="0" w:firstLine="0"/>
        <w:rPr>
          <w:sz w:val="20"/>
          <w:lang w:val="en-US" w:eastAsia="en-GB"/>
        </w:rPr>
      </w:pPr>
      <w:r>
        <w:rPr>
          <w:sz w:val="20"/>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w:t>
      </w:r>
      <w:proofErr w:type="spellStart"/>
      <w:r w:rsidR="00320B10" w:rsidRPr="0004003B">
        <w:rPr>
          <w:b/>
          <w:lang w:val="en-US" w:eastAsia="en-GB"/>
        </w:rPr>
        <w:t>gNB</w:t>
      </w:r>
      <w:proofErr w:type="spellEnd"/>
      <w:r w:rsidR="00320B10" w:rsidRPr="0004003B">
        <w:rPr>
          <w:b/>
          <w:lang w:val="en-US" w:eastAsia="en-GB"/>
        </w:rPr>
        <w:t xml:space="preserve">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320B10">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37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320B10">
        <w:tc>
          <w:tcPr>
            <w:tcW w:w="1980"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37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320B10">
        <w:tc>
          <w:tcPr>
            <w:tcW w:w="1980"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37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xml:space="preserve">. We don’t see why the UE needs to perform the PDU </w:t>
            </w:r>
            <w:r>
              <w:rPr>
                <w:rFonts w:ascii="Arial" w:hAnsi="Arial" w:cs="Arial"/>
              </w:rPr>
              <w:lastRenderedPageBreak/>
              <w:t>session release procedure first and then perform the de-registration.</w:t>
            </w:r>
          </w:p>
          <w:p w14:paraId="3228FB18" w14:textId="63EF41F3" w:rsidR="00EF5196" w:rsidRPr="0001732F" w:rsidRDefault="00EF5196" w:rsidP="0001732F">
            <w:pPr>
              <w:rPr>
                <w:rFonts w:ascii="Arial" w:hAnsi="Arial" w:cs="Arial"/>
              </w:rPr>
            </w:pPr>
            <w:r>
              <w:rPr>
                <w:rFonts w:ascii="Arial" w:hAnsi="Arial" w:cs="Arial"/>
              </w:rPr>
              <w:t xml:space="preserve">Our understanding on that sentence is that the network is not allowed to release all DRBs but keep SRBs because there is no use case to do so. We don’t see any problem with that sentence. </w:t>
            </w:r>
            <w:bookmarkStart w:id="6" w:name="_GoBack"/>
            <w:bookmarkEnd w:id="6"/>
            <w:r>
              <w:rPr>
                <w:rFonts w:ascii="Arial" w:hAnsi="Arial" w:cs="Arial"/>
              </w:rPr>
              <w:t>It is up to the network to decide when to release the RRC connection. However, in a good network implementation, the network should release the RRC connection ASAP to save the UE’s power.</w:t>
            </w:r>
          </w:p>
        </w:tc>
      </w:tr>
      <w:tr w:rsidR="00906E6E" w14:paraId="4BA70E75" w14:textId="77777777" w:rsidTr="00320B10">
        <w:tc>
          <w:tcPr>
            <w:tcW w:w="1980" w:type="dxa"/>
            <w:vAlign w:val="center"/>
          </w:tcPr>
          <w:p w14:paraId="48C8E507" w14:textId="77777777" w:rsidR="00906E6E" w:rsidRPr="0001732F" w:rsidRDefault="00906E6E" w:rsidP="00906E6E">
            <w:pPr>
              <w:jc w:val="center"/>
              <w:rPr>
                <w:rFonts w:ascii="Arial" w:hAnsi="Arial" w:cs="Arial"/>
                <w:sz w:val="20"/>
                <w:szCs w:val="20"/>
              </w:rPr>
            </w:pPr>
          </w:p>
        </w:tc>
        <w:tc>
          <w:tcPr>
            <w:tcW w:w="1276" w:type="dxa"/>
            <w:vAlign w:val="center"/>
          </w:tcPr>
          <w:p w14:paraId="5E071642" w14:textId="77777777" w:rsidR="00906E6E" w:rsidRPr="0001732F" w:rsidRDefault="00906E6E" w:rsidP="00906E6E">
            <w:pPr>
              <w:jc w:val="center"/>
              <w:rPr>
                <w:rFonts w:ascii="Arial" w:hAnsi="Arial" w:cs="Arial"/>
                <w:sz w:val="20"/>
                <w:szCs w:val="20"/>
              </w:rPr>
            </w:pPr>
          </w:p>
        </w:tc>
        <w:tc>
          <w:tcPr>
            <w:tcW w:w="6373" w:type="dxa"/>
          </w:tcPr>
          <w:p w14:paraId="50EDBE36" w14:textId="77777777" w:rsidR="00906E6E" w:rsidRPr="0001732F" w:rsidRDefault="00906E6E" w:rsidP="0001732F">
            <w:pPr>
              <w:rPr>
                <w:rFonts w:ascii="Arial" w:hAnsi="Arial" w:cs="Arial"/>
              </w:rPr>
            </w:pPr>
          </w:p>
        </w:tc>
      </w:tr>
      <w:tr w:rsidR="00906E6E" w14:paraId="2536AE80" w14:textId="77777777" w:rsidTr="00320B10">
        <w:tc>
          <w:tcPr>
            <w:tcW w:w="1980" w:type="dxa"/>
            <w:vAlign w:val="center"/>
          </w:tcPr>
          <w:p w14:paraId="62E28D79" w14:textId="77777777" w:rsidR="00906E6E" w:rsidRPr="0001732F" w:rsidRDefault="00906E6E" w:rsidP="00906E6E">
            <w:pPr>
              <w:jc w:val="center"/>
              <w:rPr>
                <w:rFonts w:ascii="Arial" w:hAnsi="Arial" w:cs="Arial"/>
                <w:sz w:val="20"/>
                <w:szCs w:val="20"/>
              </w:rPr>
            </w:pPr>
          </w:p>
        </w:tc>
        <w:tc>
          <w:tcPr>
            <w:tcW w:w="1276" w:type="dxa"/>
            <w:vAlign w:val="center"/>
          </w:tcPr>
          <w:p w14:paraId="285A352C" w14:textId="77777777" w:rsidR="00906E6E" w:rsidRPr="0001732F" w:rsidRDefault="00906E6E" w:rsidP="00906E6E">
            <w:pPr>
              <w:jc w:val="center"/>
              <w:rPr>
                <w:rFonts w:ascii="Arial" w:hAnsi="Arial" w:cs="Arial"/>
                <w:sz w:val="20"/>
                <w:szCs w:val="20"/>
              </w:rPr>
            </w:pPr>
          </w:p>
        </w:tc>
        <w:tc>
          <w:tcPr>
            <w:tcW w:w="6373" w:type="dxa"/>
          </w:tcPr>
          <w:p w14:paraId="27B6A723" w14:textId="77777777" w:rsidR="00906E6E" w:rsidRPr="0001732F" w:rsidRDefault="00906E6E" w:rsidP="0001732F">
            <w:pPr>
              <w:rPr>
                <w:rFonts w:ascii="Arial" w:hAnsi="Arial" w:cs="Arial"/>
              </w:rPr>
            </w:pPr>
          </w:p>
        </w:tc>
      </w:tr>
    </w:tbl>
    <w:p w14:paraId="210824FC" w14:textId="77777777" w:rsidR="00906E6E" w:rsidRDefault="00906E6E" w:rsidP="00A042E1">
      <w:pPr>
        <w:pStyle w:val="Doc-text2"/>
        <w:ind w:left="0" w:firstLine="0"/>
        <w:rPr>
          <w:lang w:val="en-US" w:eastAsia="en-GB"/>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sz w:val="20"/>
          <w:lang w:val="en-US" w:eastAsia="en-GB"/>
        </w:rPr>
      </w:pPr>
      <w:r w:rsidRPr="00320B10">
        <w:rPr>
          <w:sz w:val="20"/>
          <w:lang w:val="en-US" w:eastAsia="en-GB"/>
        </w:rPr>
        <w:t xml:space="preserve">For solution 2, the corresponding CRs are provided </w:t>
      </w:r>
      <w:r>
        <w:rPr>
          <w:sz w:val="20"/>
          <w:lang w:val="en-US" w:eastAsia="en-GB"/>
        </w:rPr>
        <w:t>as below</w:t>
      </w:r>
      <w:r w:rsidRPr="00320B10">
        <w:rPr>
          <w:sz w:val="20"/>
          <w:lang w:val="en-US" w:eastAsia="en-GB"/>
        </w:rPr>
        <w:t>:</w:t>
      </w:r>
    </w:p>
    <w:p w14:paraId="6F34FAEB" w14:textId="77777777" w:rsidR="003848B0" w:rsidRPr="00C610C0" w:rsidRDefault="00E05A12" w:rsidP="003848B0">
      <w:pPr>
        <w:spacing w:before="60"/>
        <w:ind w:left="1259" w:hanging="1259"/>
        <w:rPr>
          <w:rFonts w:ascii="Arial" w:eastAsia="MS Mincho" w:hAnsi="Arial" w:cs="Times New Roman"/>
          <w:noProof/>
          <w:sz w:val="20"/>
          <w:lang w:val="en-GB" w:eastAsia="en-GB"/>
        </w:rPr>
      </w:pPr>
      <w:hyperlink r:id="rId21" w:tooltip="D:Documents3GPPtsg_ranWG2TSGR2_113-eDocsR2-2100558.zip" w:history="1">
        <w:r w:rsidR="003848B0" w:rsidRPr="00C610C0">
          <w:rPr>
            <w:rFonts w:ascii="Arial" w:eastAsia="MS Mincho" w:hAnsi="Arial" w:cs="Times New Roman"/>
            <w:noProof/>
            <w:color w:val="0000FF"/>
            <w:sz w:val="20"/>
            <w:u w:val="single"/>
            <w:lang w:val="en-GB" w:eastAsia="en-GB"/>
          </w:rPr>
          <w:t>R2-2100558</w:t>
        </w:r>
      </w:hyperlink>
      <w:r w:rsidR="003848B0" w:rsidRPr="00C610C0">
        <w:rPr>
          <w:rFonts w:ascii="Arial" w:eastAsia="MS Mincho" w:hAnsi="Arial" w:cs="Times New Roman"/>
          <w:noProof/>
          <w:sz w:val="20"/>
          <w:lang w:val="en-GB" w:eastAsia="en-GB"/>
        </w:rPr>
        <w:tab/>
        <w:t>CR to clarify the procedure of DRB release</w:t>
      </w:r>
      <w:r w:rsidR="003848B0" w:rsidRPr="00C610C0">
        <w:rPr>
          <w:rFonts w:ascii="Arial" w:eastAsia="MS Mincho" w:hAnsi="Arial" w:cs="Times New Roman"/>
          <w:noProof/>
          <w:sz w:val="20"/>
          <w:lang w:val="en-GB" w:eastAsia="en-GB"/>
        </w:rPr>
        <w:tab/>
        <w:t>ZTE Corporation, Sanechips</w:t>
      </w:r>
      <w:r w:rsidR="003848B0" w:rsidRPr="00C610C0">
        <w:rPr>
          <w:rFonts w:ascii="Arial" w:eastAsia="MS Mincho" w:hAnsi="Arial" w:cs="Times New Roman"/>
          <w:noProof/>
          <w:sz w:val="20"/>
          <w:lang w:val="en-GB" w:eastAsia="en-GB"/>
        </w:rPr>
        <w:tab/>
        <w:t>CR</w:t>
      </w:r>
      <w:r w:rsidR="003848B0" w:rsidRPr="00C610C0">
        <w:rPr>
          <w:rFonts w:ascii="Arial" w:eastAsia="MS Mincho" w:hAnsi="Arial" w:cs="Times New Roman"/>
          <w:noProof/>
          <w:sz w:val="20"/>
          <w:lang w:val="en-GB" w:eastAsia="en-GB"/>
        </w:rPr>
        <w:tab/>
        <w:t>Rel-15</w:t>
      </w:r>
      <w:r w:rsidR="003848B0" w:rsidRPr="00C610C0">
        <w:rPr>
          <w:rFonts w:ascii="Arial" w:eastAsia="MS Mincho" w:hAnsi="Arial" w:cs="Times New Roman"/>
          <w:noProof/>
          <w:sz w:val="20"/>
          <w:lang w:val="en-GB" w:eastAsia="en-GB"/>
        </w:rPr>
        <w:tab/>
        <w:t>38.331</w:t>
      </w:r>
      <w:r w:rsidR="003848B0" w:rsidRPr="00C610C0">
        <w:rPr>
          <w:rFonts w:ascii="Arial" w:eastAsia="MS Mincho" w:hAnsi="Arial" w:cs="Times New Roman"/>
          <w:noProof/>
          <w:sz w:val="20"/>
          <w:lang w:val="en-GB" w:eastAsia="en-GB"/>
        </w:rPr>
        <w:tab/>
        <w:t>15.12.0</w:t>
      </w:r>
      <w:r w:rsidR="003848B0" w:rsidRPr="00C610C0">
        <w:rPr>
          <w:rFonts w:ascii="Arial" w:eastAsia="MS Mincho" w:hAnsi="Arial" w:cs="Times New Roman"/>
          <w:noProof/>
          <w:sz w:val="20"/>
          <w:lang w:val="en-GB" w:eastAsia="en-GB"/>
        </w:rPr>
        <w:tab/>
        <w:t>2336</w:t>
      </w:r>
      <w:r w:rsidR="003848B0" w:rsidRPr="00C610C0">
        <w:rPr>
          <w:rFonts w:ascii="Arial" w:eastAsia="MS Mincho" w:hAnsi="Arial" w:cs="Times New Roman"/>
          <w:noProof/>
          <w:sz w:val="20"/>
          <w:lang w:val="en-GB" w:eastAsia="en-GB"/>
        </w:rPr>
        <w:tab/>
        <w:t>-</w:t>
      </w:r>
      <w:r w:rsidR="003848B0" w:rsidRPr="00C610C0">
        <w:rPr>
          <w:rFonts w:ascii="Arial" w:eastAsia="MS Mincho" w:hAnsi="Arial" w:cs="Times New Roman"/>
          <w:noProof/>
          <w:sz w:val="20"/>
          <w:lang w:val="en-GB" w:eastAsia="en-GB"/>
        </w:rPr>
        <w:tab/>
        <w:t>F</w:t>
      </w:r>
      <w:r w:rsidR="003848B0" w:rsidRPr="00C610C0">
        <w:rPr>
          <w:rFonts w:ascii="Arial" w:eastAsia="MS Mincho" w:hAnsi="Arial" w:cs="Times New Roman"/>
          <w:noProof/>
          <w:sz w:val="20"/>
          <w:lang w:val="en-GB" w:eastAsia="en-GB"/>
        </w:rPr>
        <w:tab/>
        <w:t>NR_newRAT-Core</w:t>
      </w:r>
    </w:p>
    <w:p w14:paraId="5E8AF604" w14:textId="77777777" w:rsidR="003848B0" w:rsidRPr="00C610C0" w:rsidRDefault="00E05A12" w:rsidP="003848B0">
      <w:pPr>
        <w:spacing w:before="60"/>
        <w:ind w:left="1259" w:hanging="1259"/>
        <w:rPr>
          <w:rFonts w:ascii="Arial" w:eastAsia="MS Mincho" w:hAnsi="Arial" w:cs="Times New Roman"/>
          <w:noProof/>
          <w:sz w:val="20"/>
          <w:lang w:val="en-GB" w:eastAsia="en-GB"/>
        </w:rPr>
      </w:pPr>
      <w:hyperlink r:id="rId22" w:tooltip="D:Documents3GPPtsg_ranWG2TSGR2_113-eDocsR2-2100559.zip" w:history="1">
        <w:r w:rsidR="003848B0" w:rsidRPr="00C610C0">
          <w:rPr>
            <w:rFonts w:ascii="Arial" w:eastAsia="MS Mincho" w:hAnsi="Arial" w:cs="Times New Roman"/>
            <w:noProof/>
            <w:color w:val="0000FF"/>
            <w:sz w:val="20"/>
            <w:u w:val="single"/>
            <w:lang w:val="en-GB" w:eastAsia="en-GB"/>
          </w:rPr>
          <w:t>R2-2100559</w:t>
        </w:r>
      </w:hyperlink>
      <w:r w:rsidR="003848B0" w:rsidRPr="00C610C0">
        <w:rPr>
          <w:rFonts w:ascii="Arial" w:eastAsia="MS Mincho" w:hAnsi="Arial" w:cs="Times New Roman"/>
          <w:noProof/>
          <w:sz w:val="20"/>
          <w:lang w:val="en-GB" w:eastAsia="en-GB"/>
        </w:rPr>
        <w:tab/>
        <w:t>CR to clarify the procedure of DRB release</w:t>
      </w:r>
      <w:r w:rsidR="003848B0" w:rsidRPr="00C610C0">
        <w:rPr>
          <w:rFonts w:ascii="Arial" w:eastAsia="MS Mincho" w:hAnsi="Arial" w:cs="Times New Roman"/>
          <w:noProof/>
          <w:sz w:val="20"/>
          <w:lang w:val="en-GB" w:eastAsia="en-GB"/>
        </w:rPr>
        <w:tab/>
        <w:t>ZTE Corporation, Sanechips</w:t>
      </w:r>
      <w:r w:rsidR="003848B0" w:rsidRPr="00C610C0">
        <w:rPr>
          <w:rFonts w:ascii="Arial" w:eastAsia="MS Mincho" w:hAnsi="Arial" w:cs="Times New Roman"/>
          <w:noProof/>
          <w:sz w:val="20"/>
          <w:lang w:val="en-GB" w:eastAsia="en-GB"/>
        </w:rPr>
        <w:tab/>
        <w:t>CR</w:t>
      </w:r>
      <w:r w:rsidR="003848B0" w:rsidRPr="00C610C0">
        <w:rPr>
          <w:rFonts w:ascii="Arial" w:eastAsia="MS Mincho" w:hAnsi="Arial" w:cs="Times New Roman"/>
          <w:noProof/>
          <w:sz w:val="20"/>
          <w:lang w:val="en-GB" w:eastAsia="en-GB"/>
        </w:rPr>
        <w:tab/>
        <w:t>Rel-16</w:t>
      </w:r>
      <w:r w:rsidR="003848B0" w:rsidRPr="00C610C0">
        <w:rPr>
          <w:rFonts w:ascii="Arial" w:eastAsia="MS Mincho" w:hAnsi="Arial" w:cs="Times New Roman"/>
          <w:noProof/>
          <w:sz w:val="20"/>
          <w:lang w:val="en-GB" w:eastAsia="en-GB"/>
        </w:rPr>
        <w:tab/>
        <w:t>38.331</w:t>
      </w:r>
      <w:r w:rsidR="003848B0" w:rsidRPr="00C610C0">
        <w:rPr>
          <w:rFonts w:ascii="Arial" w:eastAsia="MS Mincho" w:hAnsi="Arial" w:cs="Times New Roman"/>
          <w:noProof/>
          <w:sz w:val="20"/>
          <w:lang w:val="en-GB" w:eastAsia="en-GB"/>
        </w:rPr>
        <w:tab/>
        <w:t>16.3.1</w:t>
      </w:r>
      <w:r w:rsidR="003848B0" w:rsidRPr="00C610C0">
        <w:rPr>
          <w:rFonts w:ascii="Arial" w:eastAsia="MS Mincho" w:hAnsi="Arial" w:cs="Times New Roman"/>
          <w:noProof/>
          <w:sz w:val="20"/>
          <w:lang w:val="en-GB" w:eastAsia="en-GB"/>
        </w:rPr>
        <w:tab/>
        <w:t>2337</w:t>
      </w:r>
      <w:r w:rsidR="003848B0" w:rsidRPr="00C610C0">
        <w:rPr>
          <w:rFonts w:ascii="Arial" w:eastAsia="MS Mincho" w:hAnsi="Arial" w:cs="Times New Roman"/>
          <w:noProof/>
          <w:sz w:val="20"/>
          <w:lang w:val="en-GB" w:eastAsia="en-GB"/>
        </w:rPr>
        <w:tab/>
        <w:t>-</w:t>
      </w:r>
      <w:r w:rsidR="003848B0" w:rsidRPr="00C610C0">
        <w:rPr>
          <w:rFonts w:ascii="Arial" w:eastAsia="MS Mincho" w:hAnsi="Arial" w:cs="Times New Roman"/>
          <w:noProof/>
          <w:sz w:val="20"/>
          <w:lang w:val="en-GB" w:eastAsia="en-GB"/>
        </w:rPr>
        <w:tab/>
        <w:t>A</w:t>
      </w:r>
      <w:r w:rsidR="003848B0" w:rsidRPr="00C610C0">
        <w:rPr>
          <w:rFonts w:ascii="Arial" w:eastAsia="MS Mincho" w:hAnsi="Arial" w:cs="Times New Roman"/>
          <w:noProof/>
          <w:sz w:val="20"/>
          <w:lang w:val="en-GB" w:eastAsia="en-GB"/>
        </w:rPr>
        <w:tab/>
        <w:t>NR_newRAT-Core</w:t>
      </w:r>
    </w:p>
    <w:p w14:paraId="370381DC" w14:textId="77777777" w:rsidR="003848B0" w:rsidRPr="00320B10" w:rsidRDefault="003848B0" w:rsidP="00A042E1">
      <w:pPr>
        <w:pStyle w:val="Doc-text2"/>
        <w:ind w:left="0" w:firstLine="0"/>
        <w:rPr>
          <w:sz w:val="20"/>
          <w:lang w:val="en-US" w:eastAsia="en-GB"/>
        </w:rPr>
      </w:pPr>
    </w:p>
    <w:p w14:paraId="05E418E5" w14:textId="1A9BC044" w:rsidR="00320B10" w:rsidRPr="00320B10" w:rsidRDefault="00320B10" w:rsidP="005B4E08">
      <w:pPr>
        <w:pStyle w:val="Doc-text2"/>
        <w:spacing w:before="120" w:after="120" w:line="276" w:lineRule="auto"/>
        <w:ind w:left="0" w:firstLine="0"/>
        <w:rPr>
          <w:sz w:val="20"/>
          <w:lang w:val="en-US" w:eastAsia="en-GB"/>
        </w:rPr>
      </w:pPr>
      <w:r w:rsidRPr="00320B10">
        <w:rPr>
          <w:sz w:val="20"/>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7"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or send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460153D3"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R2-2100558, R2-2100559)</w:t>
      </w:r>
      <w:r w:rsidRPr="0004003B">
        <w:rPr>
          <w:b/>
          <w:lang w:val="en-US" w:eastAsia="en-GB"/>
        </w:rPr>
        <w:t>?</w:t>
      </w:r>
    </w:p>
    <w:tbl>
      <w:tblPr>
        <w:tblStyle w:val="TableGrid"/>
        <w:tblW w:w="0" w:type="auto"/>
        <w:tblInd w:w="113" w:type="dxa"/>
        <w:tblLook w:val="04A0" w:firstRow="1" w:lastRow="0" w:firstColumn="1" w:lastColumn="0" w:noHBand="0" w:noVBand="1"/>
      </w:tblPr>
      <w:tblGrid>
        <w:gridCol w:w="1963"/>
        <w:gridCol w:w="1269"/>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77777777" w:rsidR="005A400E" w:rsidRPr="0001732F" w:rsidRDefault="005A400E" w:rsidP="00906E6E">
            <w:pPr>
              <w:jc w:val="center"/>
              <w:rPr>
                <w:rFonts w:ascii="Arial" w:hAnsi="Arial" w:cs="Arial"/>
                <w:sz w:val="20"/>
                <w:szCs w:val="20"/>
              </w:rPr>
            </w:pPr>
          </w:p>
        </w:tc>
        <w:tc>
          <w:tcPr>
            <w:tcW w:w="1276" w:type="dxa"/>
            <w:vAlign w:val="center"/>
          </w:tcPr>
          <w:p w14:paraId="05A708FB" w14:textId="77777777" w:rsidR="005A400E" w:rsidRPr="0001732F" w:rsidRDefault="005A400E" w:rsidP="00906E6E">
            <w:pPr>
              <w:jc w:val="center"/>
              <w:rPr>
                <w:rFonts w:ascii="Arial" w:hAnsi="Arial" w:cs="Arial"/>
                <w:sz w:val="20"/>
                <w:szCs w:val="20"/>
              </w:rPr>
            </w:pPr>
          </w:p>
        </w:tc>
        <w:tc>
          <w:tcPr>
            <w:tcW w:w="6373" w:type="dxa"/>
          </w:tcPr>
          <w:p w14:paraId="74103728" w14:textId="77777777" w:rsidR="005A400E" w:rsidRPr="0001732F" w:rsidRDefault="005A400E" w:rsidP="0001732F">
            <w:pPr>
              <w:rPr>
                <w:rFonts w:ascii="Arial" w:hAnsi="Arial" w:cs="Arial"/>
              </w:rPr>
            </w:pPr>
          </w:p>
        </w:tc>
      </w:tr>
      <w:tr w:rsidR="005A400E" w14:paraId="0475EBBE" w14:textId="77777777" w:rsidTr="00963BB4">
        <w:tc>
          <w:tcPr>
            <w:tcW w:w="1980" w:type="dxa"/>
            <w:vAlign w:val="center"/>
          </w:tcPr>
          <w:p w14:paraId="65FC88E6" w14:textId="77777777" w:rsidR="005A400E" w:rsidRPr="0001732F" w:rsidRDefault="005A400E" w:rsidP="00906E6E">
            <w:pPr>
              <w:jc w:val="center"/>
              <w:rPr>
                <w:rFonts w:ascii="Arial" w:hAnsi="Arial" w:cs="Arial"/>
                <w:sz w:val="20"/>
                <w:szCs w:val="20"/>
              </w:rPr>
            </w:pPr>
          </w:p>
        </w:tc>
        <w:tc>
          <w:tcPr>
            <w:tcW w:w="1276" w:type="dxa"/>
            <w:vAlign w:val="center"/>
          </w:tcPr>
          <w:p w14:paraId="241CDA97" w14:textId="77777777" w:rsidR="005A400E" w:rsidRPr="0001732F" w:rsidRDefault="005A400E" w:rsidP="00906E6E">
            <w:pPr>
              <w:jc w:val="center"/>
              <w:rPr>
                <w:rFonts w:ascii="Arial" w:hAnsi="Arial" w:cs="Arial"/>
                <w:sz w:val="20"/>
                <w:szCs w:val="20"/>
              </w:rPr>
            </w:pPr>
          </w:p>
        </w:tc>
        <w:tc>
          <w:tcPr>
            <w:tcW w:w="6373" w:type="dxa"/>
          </w:tcPr>
          <w:p w14:paraId="01FA9013" w14:textId="77777777" w:rsidR="005A400E" w:rsidRPr="0001732F" w:rsidRDefault="005A400E" w:rsidP="0001732F">
            <w:pPr>
              <w:rPr>
                <w:rFonts w:ascii="Arial" w:hAnsi="Arial" w:cs="Arial"/>
              </w:rPr>
            </w:pP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8" w:name="_In-sequence_SDU_delivery"/>
      <w:bookmarkEnd w:id="8"/>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C7E7F" w14:textId="77777777" w:rsidR="00E05A12" w:rsidRDefault="00E05A12">
      <w:r>
        <w:separator/>
      </w:r>
    </w:p>
  </w:endnote>
  <w:endnote w:type="continuationSeparator" w:id="0">
    <w:p w14:paraId="377486BF" w14:textId="77777777" w:rsidR="00E05A12" w:rsidRDefault="00E0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3B7BAF" w:rsidRDefault="003B7BA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1CB8">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1CB8">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1A2C1" w14:textId="77777777" w:rsidR="00E05A12" w:rsidRDefault="00E05A12">
      <w:r>
        <w:separator/>
      </w:r>
    </w:p>
  </w:footnote>
  <w:footnote w:type="continuationSeparator" w:id="0">
    <w:p w14:paraId="3DB9A08B" w14:textId="77777777" w:rsidR="00E05A12" w:rsidRDefault="00E0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3B7BAF" w:rsidRDefault="003B7B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0"/>
  </w:num>
  <w:num w:numId="3">
    <w:abstractNumId w:val="15"/>
  </w:num>
  <w:num w:numId="4">
    <w:abstractNumId w:val="16"/>
  </w:num>
  <w:num w:numId="5">
    <w:abstractNumId w:val="11"/>
  </w:num>
  <w:num w:numId="6">
    <w:abstractNumId w:val="19"/>
  </w:num>
  <w:num w:numId="7">
    <w:abstractNumId w:val="25"/>
  </w:num>
  <w:num w:numId="8">
    <w:abstractNumId w:val="12"/>
  </w:num>
  <w:num w:numId="9">
    <w:abstractNumId w:val="10"/>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6"/>
  </w:num>
  <w:num w:numId="18">
    <w:abstractNumId w:val="7"/>
  </w:num>
  <w:num w:numId="19">
    <w:abstractNumId w:val="4"/>
  </w:num>
  <w:num w:numId="20">
    <w:abstractNumId w:val="29"/>
  </w:num>
  <w:num w:numId="21">
    <w:abstractNumId w:val="13"/>
  </w:num>
  <w:num w:numId="22">
    <w:abstractNumId w:val="28"/>
  </w:num>
  <w:num w:numId="23">
    <w:abstractNumId w:val="27"/>
  </w:num>
  <w:num w:numId="24">
    <w:abstractNumId w:val="5"/>
  </w:num>
  <w:num w:numId="25">
    <w:abstractNumId w:val="30"/>
  </w:num>
  <w:num w:numId="26">
    <w:abstractNumId w:val="22"/>
  </w:num>
  <w:num w:numId="27">
    <w:abstractNumId w:val="8"/>
  </w:num>
  <w:num w:numId="28">
    <w:abstractNumId w:val="17"/>
  </w:num>
  <w:num w:numId="29">
    <w:abstractNumId w:val="14"/>
  </w:num>
  <w:num w:numId="30">
    <w:abstractNumId w:val="9"/>
  </w:num>
  <w:num w:numId="31">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D99"/>
    <w:rsid w:val="00DD3DB9"/>
    <w:rsid w:val="00DE5608"/>
    <w:rsid w:val="00DE58D0"/>
    <w:rsid w:val="00DE654F"/>
    <w:rsid w:val="00DF0B6E"/>
    <w:rsid w:val="00DF15E0"/>
    <w:rsid w:val="00DF37A0"/>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7333"/>
    <w:rPr>
      <w:rFonts w:asciiTheme="minorHAnsi" w:eastAsiaTheme="minorEastAsia" w:hAnsiTheme="minorHAnsi" w:cstheme="minorBidi"/>
      <w:sz w:val="24"/>
      <w:szCs w:val="24"/>
      <w:lang w:val="en-US" w:eastAsia="zh-TW"/>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9573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733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553.zip" TargetMode="External"/><Relationship Id="rId18" Type="http://schemas.openxmlformats.org/officeDocument/2006/relationships/hyperlink" Target="file:///D:/Documents/3GPP/tsg_ran/WG2/RAN2/2101_R2_113e/Docs/R2-2100771.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3-e\Docs\R2-2100558.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552.zip" TargetMode="External"/><Relationship Id="rId17" Type="http://schemas.openxmlformats.org/officeDocument/2006/relationships/hyperlink" Target="file:///D:/Documents/3GPP/tsg_ran/WG2/RAN2/2101_R2_113e/Docs/R2-210076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1_R2_113e/Docs/R2-2100556.zip" TargetMode="External"/><Relationship Id="rId20" Type="http://schemas.openxmlformats.org/officeDocument/2006/relationships/hyperlink" Target="file:///D:\Documents\3GPP\tsg_ran\WG2\TSGR2_113-e\Docs\R2-210055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55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RAN2/2101_R2_113e/Docs/R2-2100555.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RAN2/2101_R2_113e/Docs/R2-21017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554.zip" TargetMode="External"/><Relationship Id="rId22" Type="http://schemas.openxmlformats.org/officeDocument/2006/relationships/hyperlink" Target="file:///D:\Documents\3GPP\tsg_ran\WG2\TSGR2_113-e\Docs\R2-210055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1EB30-9A25-ED4F-8D91-AE3E6EF4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14577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Google (Frank Wu)</cp:lastModifiedBy>
  <cp:revision>10</cp:revision>
  <cp:lastPrinted>2008-01-31T07:09:00Z</cp:lastPrinted>
  <dcterms:created xsi:type="dcterms:W3CDTF">2021-01-26T03:19:00Z</dcterms:created>
  <dcterms:modified xsi:type="dcterms:W3CDTF">2021-01-26T04:22:00Z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