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#111 Electronic</w:t>
      </w:r>
      <w:r>
        <w:rPr>
          <w:bCs/>
          <w:sz w:val="24"/>
          <w:szCs w:val="24"/>
        </w:rPr>
        <w:tab/>
      </w:r>
      <w:r>
        <w:rPr>
          <w:bCs/>
          <w:sz w:val="24"/>
          <w:szCs w:val="24"/>
        </w:rPr>
        <w:t>R2-20xxxxx</w:t>
      </w:r>
    </w:p>
    <w:p>
      <w:pPr>
        <w:pStyle w:val="23"/>
        <w:tabs>
          <w:tab w:val="right" w:pos="9639"/>
        </w:tabs>
        <w:rPr>
          <w:bCs/>
          <w:sz w:val="24"/>
          <w:szCs w:val="24"/>
          <w:lang w:eastAsia="zh-CN"/>
        </w:rPr>
      </w:pPr>
      <w:r>
        <w:rPr>
          <w:bCs/>
          <w:sz w:val="24"/>
          <w:szCs w:val="24"/>
          <w:lang w:eastAsia="zh-CN"/>
        </w:rPr>
        <w:t>Elbonia, 17 – 28 August 2020</w:t>
      </w:r>
      <w:r>
        <w:rPr>
          <w:sz w:val="24"/>
          <w:szCs w:val="24"/>
          <w:lang w:eastAsia="zh-CN"/>
        </w:rPr>
        <w:tab/>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4.4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[AT111-e][601][POS] UE E-CID measurement reporting in LTE Rel-15 (Nokia)</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is to provide a summary for the following email discussion:</w:t>
      </w:r>
    </w:p>
    <w:p>
      <w:pPr>
        <w:pStyle w:val="73"/>
        <w:numPr>
          <w:ilvl w:val="0"/>
          <w:numId w:val="1"/>
        </w:numPr>
        <w:rPr>
          <w:lang w:eastAsia="en-US"/>
        </w:rPr>
      </w:pPr>
      <w:r>
        <w:t> [AT111-e][601][POS] UE E-CID measurement reporting in LTE Rel-15 (Nokia)</w:t>
      </w:r>
    </w:p>
    <w:p>
      <w:pPr>
        <w:pStyle w:val="74"/>
      </w:pPr>
      <w:r>
        <w:t>      Scope: Discuss the CR in R2-2008051 and determine if it is agreeable.</w:t>
      </w:r>
    </w:p>
    <w:p>
      <w:pPr>
        <w:pStyle w:val="74"/>
      </w:pPr>
      <w:r>
        <w:t>      Intended outcome: Agreed CR</w:t>
      </w:r>
    </w:p>
    <w:p>
      <w:pPr>
        <w:pStyle w:val="74"/>
      </w:pPr>
      <w:r>
        <w:t xml:space="preserve">      Deadline:  </w:t>
      </w:r>
      <w:r>
        <w:rPr>
          <w:color w:val="FF0000"/>
        </w:rPr>
        <w:t>Wednesday 2020-08-19 1000 UTC</w:t>
      </w:r>
    </w:p>
    <w:p/>
    <w:p>
      <w:pPr>
        <w:pStyle w:val="2"/>
      </w:pPr>
      <w:r>
        <w:t>2</w:t>
      </w:r>
      <w:r>
        <w:tab/>
      </w:r>
      <w:r>
        <w:t>Summary</w:t>
      </w:r>
    </w:p>
    <w:p>
      <w:r>
        <w:t>Companies are invited to review the CR in [1] and provide their views whether they agree with the CR or not. Please add comments to elaborate on your decision,</w:t>
      </w:r>
      <w:r>
        <w:rPr>
          <w:highlight w:val="yellow"/>
        </w:rPr>
        <w:t xml:space="preserve"> the earliest possible LTE release to which this CR can be applied</w:t>
      </w:r>
      <w:r>
        <w:t xml:space="preserve"> and </w:t>
      </w:r>
      <w:r>
        <w:rPr>
          <w:highlight w:val="yellow"/>
        </w:rPr>
        <w:t>whether or not the same change should be made to NR TS 38.305 also</w:t>
      </w:r>
      <w:r>
        <w:t>. If you would like to update the text proposal in [1] please comment about that also in the table below or make edits to a copy of the CR in the offline discussion folder itself.</w:t>
      </w:r>
    </w:p>
    <w:tbl>
      <w:tblPr>
        <w:tblStyle w:val="2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iCs/>
                <w:lang w:eastAsia="zh-CN"/>
              </w:rPr>
              <w:t>Company</w:t>
            </w:r>
          </w:p>
        </w:tc>
        <w:tc>
          <w:tcPr>
            <w:tcW w:w="2126" w:type="dxa"/>
          </w:tcPr>
          <w:p>
            <w:pPr>
              <w:rPr>
                <w:iCs/>
                <w:lang w:eastAsia="zh-CN"/>
              </w:rPr>
            </w:pPr>
            <w:r>
              <w:rPr>
                <w:iCs/>
                <w:lang w:eastAsia="zh-CN"/>
              </w:rPr>
              <w:t>Agree / Not Agree</w:t>
            </w:r>
          </w:p>
        </w:tc>
        <w:tc>
          <w:tcPr>
            <w:tcW w:w="5525" w:type="dxa"/>
          </w:tcPr>
          <w:p>
            <w:pPr>
              <w:rPr>
                <w:iCs/>
                <w:lang w:eastAsia="zh-CN"/>
              </w:rPr>
            </w:pPr>
            <w:r>
              <w:rPr>
                <w:i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rFonts w:hint="eastAsia"/>
                <w:iCs/>
                <w:lang w:eastAsia="zh-CN"/>
              </w:rPr>
              <w:t>H</w:t>
            </w:r>
            <w:r>
              <w:rPr>
                <w:iCs/>
                <w:lang w:eastAsia="zh-CN"/>
              </w:rPr>
              <w:t>uawei, HiSilicon</w:t>
            </w:r>
          </w:p>
        </w:tc>
        <w:tc>
          <w:tcPr>
            <w:tcW w:w="2126" w:type="dxa"/>
          </w:tcPr>
          <w:p>
            <w:pPr>
              <w:rPr>
                <w:iCs/>
                <w:lang w:eastAsia="zh-CN"/>
              </w:rPr>
            </w:pPr>
            <w:r>
              <w:rPr>
                <w:rFonts w:hint="eastAsia"/>
                <w:iCs/>
                <w:lang w:eastAsia="zh-CN"/>
              </w:rPr>
              <w:t>A</w:t>
            </w:r>
            <w:r>
              <w:rPr>
                <w:iCs/>
                <w:lang w:eastAsia="zh-CN"/>
              </w:rPr>
              <w:t>gree</w:t>
            </w:r>
          </w:p>
        </w:tc>
        <w:tc>
          <w:tcPr>
            <w:tcW w:w="5525" w:type="dxa"/>
          </w:tcPr>
          <w:p>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rFonts w:hint="eastAsia"/>
                <w:iCs/>
                <w:lang w:eastAsia="zh-CN"/>
              </w:rPr>
              <w:t>CATT</w:t>
            </w:r>
          </w:p>
        </w:tc>
        <w:tc>
          <w:tcPr>
            <w:tcW w:w="2126" w:type="dxa"/>
          </w:tcPr>
          <w:p>
            <w:pPr>
              <w:rPr>
                <w:iCs/>
                <w:lang w:eastAsia="zh-CN"/>
              </w:rPr>
            </w:pPr>
            <w:r>
              <w:rPr>
                <w:rFonts w:hint="eastAsia"/>
                <w:iCs/>
                <w:lang w:eastAsia="zh-CN"/>
              </w:rPr>
              <w:t xml:space="preserve">Partial agree </w:t>
            </w:r>
          </w:p>
        </w:tc>
        <w:tc>
          <w:tcPr>
            <w:tcW w:w="5525" w:type="dxa"/>
          </w:tcPr>
          <w:p>
            <w:pPr>
              <w:pStyle w:val="72"/>
              <w:numPr>
                <w:ilvl w:val="0"/>
                <w:numId w:val="2"/>
              </w:numPr>
              <w:rPr>
                <w:iCs/>
                <w:lang w:eastAsia="zh-CN"/>
              </w:rPr>
            </w:pPr>
            <w:r>
              <w:rPr>
                <w:rFonts w:hint="eastAsia"/>
                <w:iCs/>
                <w:lang w:eastAsia="zh-CN"/>
              </w:rPr>
              <w:t>The corrections of section 8.3.3.3.1 make sense and look good.</w:t>
            </w:r>
          </w:p>
          <w:p>
            <w:pPr>
              <w:pStyle w:val="72"/>
              <w:numPr>
                <w:ilvl w:val="0"/>
                <w:numId w:val="2"/>
              </w:numPr>
              <w:rPr>
                <w:iCs/>
                <w:lang w:eastAsia="zh-CN"/>
              </w:rPr>
            </w:pPr>
            <w:r>
              <w:rPr>
                <w:rFonts w:hint="eastAsia"/>
                <w:lang w:eastAsia="zh-CN"/>
              </w:rPr>
              <w:t xml:space="preserve">However we share the different view on the </w:t>
            </w:r>
            <w:r>
              <w:t>Reason for change</w:t>
            </w:r>
            <w:r>
              <w:rPr>
                <w:rFonts w:hint="eastAsia"/>
                <w:lang w:eastAsia="zh-CN"/>
              </w:rPr>
              <w:t xml:space="preserve"> in cover sheet for the corrections of </w:t>
            </w:r>
            <w:r>
              <w:t>Section 4.3.3</w:t>
            </w:r>
            <w:r>
              <w:rPr>
                <w:rFonts w:hint="eastAsia"/>
                <w:lang w:eastAsia="zh-CN"/>
              </w:rPr>
              <w:t>. T</w:t>
            </w:r>
            <w:r>
              <w:t xml:space="preserve">he UE </w:t>
            </w:r>
            <w:r>
              <w:rPr>
                <w:rFonts w:hint="eastAsia"/>
                <w:lang w:eastAsia="zh-CN"/>
              </w:rPr>
              <w:t>should not</w:t>
            </w:r>
            <w:r>
              <w:t xml:space="preserve"> be required to take </w:t>
            </w:r>
            <w:r>
              <w:rPr>
                <w:b/>
              </w:rPr>
              <w:t>additional</w:t>
            </w:r>
            <w:r>
              <w:rPr>
                <w:rFonts w:hint="eastAsia"/>
                <w:lang w:eastAsia="zh-CN"/>
              </w:rPr>
              <w:t xml:space="preserve"> </w:t>
            </w:r>
            <w:r>
              <w:rPr>
                <w:rFonts w:hint="eastAsia"/>
                <w:b/>
                <w:lang w:eastAsia="zh-CN"/>
              </w:rPr>
              <w:t>measurement</w:t>
            </w:r>
            <w:r>
              <w:rPr>
                <w:rFonts w:hint="eastAsia"/>
                <w:lang w:eastAsia="zh-CN"/>
              </w:rPr>
              <w:t xml:space="preserve"> for</w:t>
            </w:r>
            <w:r>
              <w:t xml:space="preserve"> the uplink E-CID positioning</w:t>
            </w:r>
            <w:r>
              <w:rPr>
                <w:rFonts w:hint="eastAsia"/>
                <w:lang w:eastAsia="zh-CN"/>
              </w:rPr>
              <w:t xml:space="preserve"> per our understanding on LTE E-CID positioning.</w:t>
            </w:r>
          </w:p>
          <w:p>
            <w:pPr>
              <w:pStyle w:val="72"/>
              <w:numPr>
                <w:ilvl w:val="0"/>
                <w:numId w:val="2"/>
              </w:numPr>
              <w:rPr>
                <w:iCs/>
                <w:lang w:eastAsia="zh-CN"/>
              </w:rPr>
            </w:pPr>
            <w:r>
              <w:rPr>
                <w:rFonts w:hint="eastAsia"/>
                <w:iCs/>
                <w:lang w:eastAsia="zh-CN"/>
              </w:rPr>
              <w:t xml:space="preserve">So the corrections of section </w:t>
            </w:r>
            <w:r>
              <w:rPr>
                <w:snapToGrid w:val="0"/>
              </w:rPr>
              <w:t>4.3.3</w:t>
            </w:r>
            <w:r>
              <w:rPr>
                <w:rFonts w:hint="eastAsia"/>
                <w:snapToGrid w:val="0"/>
                <w:lang w:eastAsia="zh-CN"/>
              </w:rPr>
              <w:t xml:space="preserve"> are not necessary according to the understanding of UE measurement for E-CID.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iCs/>
                <w:lang w:eastAsia="zh-CN"/>
              </w:rPr>
              <w:t>Qualcomm</w:t>
            </w:r>
          </w:p>
        </w:tc>
        <w:tc>
          <w:tcPr>
            <w:tcW w:w="2126" w:type="dxa"/>
          </w:tcPr>
          <w:p>
            <w:pPr>
              <w:rPr>
                <w:iCs/>
                <w:lang w:eastAsia="zh-CN"/>
              </w:rPr>
            </w:pPr>
            <w:r>
              <w:rPr>
                <w:iCs/>
                <w:lang w:eastAsia="zh-CN"/>
              </w:rPr>
              <w:t>Not Agree</w:t>
            </w:r>
          </w:p>
        </w:tc>
        <w:tc>
          <w:tcPr>
            <w:tcW w:w="5525" w:type="dxa"/>
          </w:tcPr>
          <w:p>
            <w:pPr>
              <w:rPr>
                <w:iCs/>
                <w:lang w:eastAsia="zh-CN"/>
              </w:rPr>
            </w:pPr>
            <w:r>
              <w:rPr>
                <w:iCs/>
                <w:lang w:eastAsia="zh-CN"/>
              </w:rPr>
              <w:t>The description:</w:t>
            </w:r>
          </w:p>
          <w:p>
            <w:r>
              <w:rPr>
                <w:iCs/>
                <w:lang w:eastAsia="zh-CN"/>
              </w:rPr>
              <w:t>“</w:t>
            </w:r>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pPr>
              <w:rPr>
                <w:iCs/>
                <w:lang w:eastAsia="zh-CN"/>
              </w:rPr>
            </w:pPr>
            <w:r>
              <w:t xml:space="preserve">seems applicable to both, DL and UL ECID. Also for UL ECID, </w:t>
            </w:r>
            <w:r>
              <w:rPr>
                <w:iCs/>
                <w:lang w:eastAsia="zh-CN"/>
              </w:rPr>
              <w:t xml:space="preserve">the UE generally is not expected to make additional measurements for the sole purpose of positioning.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make additional measurements for the sole purpose of positioning. My interpretation of the phrase “the UE </w:t>
            </w:r>
            <w:r>
              <w:rPr>
                <w:iCs/>
                <w:u w:val="single"/>
                <w:lang w:eastAsia="zh-CN"/>
              </w:rPr>
              <w:t>generally</w:t>
            </w:r>
            <w:r>
              <w:rPr>
                <w:iCs/>
                <w:lang w:eastAsia="zh-CN"/>
              </w:rPr>
              <w:t xml:space="preserve"> is not expected” is that the UE is “typically” or “usually” not expected to make additional measurements, but there are exceptions (i.e., the E-CID requirements and test cases defined in RAN4/RAN5).</w:t>
            </w:r>
          </w:p>
          <w:p>
            <w:pPr>
              <w:rPr>
                <w:iCs/>
                <w:lang w:eastAsia="zh-CN"/>
              </w:rPr>
            </w:pPr>
            <w:r>
              <w:rPr>
                <w:iCs/>
                <w:lang w:eastAsia="zh-CN"/>
              </w:rPr>
              <w:t>This exception exists also for UL ECID. The LPP capability indicates:</w:t>
            </w:r>
          </w:p>
          <w:p>
            <w:pPr>
              <w:widowControl w:val="0"/>
              <w:spacing w:after="0"/>
              <w:rPr>
                <w:rFonts w:ascii="Arial" w:hAnsi="Arial" w:eastAsia="Times New Roman"/>
                <w:snapToGrid w:val="0"/>
                <w:sz w:val="18"/>
              </w:rPr>
            </w:pPr>
            <w:r>
              <w:rPr>
                <w:rFonts w:ascii="Arial" w:hAnsi="Arial" w:eastAsia="Times New Roman"/>
                <w:snapToGrid w:val="0"/>
                <w:sz w:val="18"/>
              </w:rPr>
              <w:t xml:space="preserve">“If the </w:t>
            </w:r>
            <w:r>
              <w:rPr>
                <w:rFonts w:ascii="Arial" w:hAnsi="Arial"/>
                <w:sz w:val="18"/>
                <w:lang w:eastAsia="zh-CN"/>
              </w:rPr>
              <w:t xml:space="preserve">UE Rx-Tx time difference measurement is supported by the target device (i.e., </w:t>
            </w:r>
            <w:r>
              <w:rPr>
                <w:rFonts w:ascii="Arial" w:hAnsi="Arial" w:eastAsia="Times New Roman"/>
                <w:i/>
                <w:snapToGrid w:val="0"/>
                <w:sz w:val="18"/>
              </w:rPr>
              <w:t>ueRxTxSup</w:t>
            </w:r>
            <w:r>
              <w:rPr>
                <w:rFonts w:ascii="Arial" w:hAnsi="Arial"/>
                <w:i/>
                <w:snapToGrid w:val="0"/>
                <w:sz w:val="18"/>
                <w:lang w:eastAsia="zh-CN"/>
              </w:rPr>
              <w:t xml:space="preserve"> </w:t>
            </w:r>
            <w:r>
              <w:rPr>
                <w:rFonts w:ascii="Arial" w:hAnsi="Arial"/>
                <w:snapToGrid w:val="0"/>
                <w:sz w:val="18"/>
                <w:lang w:eastAsia="zh-CN"/>
              </w:rPr>
              <w:t xml:space="preserve">field is set to one), it means that the UE supports the </w:t>
            </w:r>
            <w:r>
              <w:rPr>
                <w:rFonts w:ascii="Arial" w:hAnsi="Arial"/>
                <w:sz w:val="18"/>
                <w:lang w:eastAsia="zh-CN"/>
              </w:rPr>
              <w:t xml:space="preserve">UE Rx-Tx time difference measurement reporting via </w:t>
            </w:r>
            <w:r>
              <w:rPr>
                <w:rFonts w:ascii="Arial" w:hAnsi="Arial" w:eastAsia="Times New Roman"/>
                <w:sz w:val="18"/>
                <w:lang w:eastAsia="ko-KR"/>
              </w:rPr>
              <w:t xml:space="preserve">both LPP signaling and </w:t>
            </w:r>
            <w:r>
              <w:rPr>
                <w:rFonts w:ascii="Arial" w:hAnsi="Arial"/>
                <w:sz w:val="18"/>
                <w:lang w:eastAsia="zh-CN"/>
              </w:rPr>
              <w:t>RRC signalling.</w:t>
            </w:r>
          </w:p>
          <w:p>
            <w:pPr>
              <w:rPr>
                <w:lang w:eastAsia="zh-CN"/>
              </w:rPr>
            </w:pPr>
            <w:r>
              <w:rPr>
                <w:lang w:eastAsia="zh-CN"/>
              </w:rPr>
              <w:t>If a target device doesn't support LPP, the E-SMLC may assume the target device can not report the UE Rx-Tx time difference measurement results via RRC signalling.”</w:t>
            </w:r>
          </w:p>
          <w:p>
            <w:pPr>
              <w:rPr>
                <w:iCs/>
                <w:lang w:eastAsia="zh-CN"/>
              </w:rPr>
            </w:pPr>
            <w:r>
              <w:rPr>
                <w:iCs/>
                <w:lang w:eastAsia="zh-CN"/>
              </w:rPr>
              <w:t>Therefore, if the UE receives an RRC Measurement Configuration for UE Rx-Tx time difference measurement, the UE may indeed perform “</w:t>
            </w:r>
            <w:r>
              <w:t>additional measurements for the sole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iCs/>
                <w:lang w:eastAsia="zh-CN"/>
              </w:rPr>
              <w:t>Intel</w:t>
            </w:r>
          </w:p>
        </w:tc>
        <w:tc>
          <w:tcPr>
            <w:tcW w:w="2126" w:type="dxa"/>
          </w:tcPr>
          <w:p>
            <w:pPr>
              <w:rPr>
                <w:iCs/>
                <w:lang w:eastAsia="zh-CN"/>
              </w:rPr>
            </w:pPr>
            <w:r>
              <w:rPr>
                <w:iCs/>
                <w:lang w:eastAsia="zh-CN"/>
              </w:rPr>
              <w:t>Do not see the need</w:t>
            </w:r>
          </w:p>
        </w:tc>
        <w:tc>
          <w:tcPr>
            <w:tcW w:w="5525" w:type="dxa"/>
          </w:tcPr>
          <w:p>
            <w:pPr>
              <w:rPr>
                <w:iCs/>
                <w:lang w:eastAsia="zh-CN"/>
              </w:rPr>
            </w:pPr>
            <w:r>
              <w:rPr>
                <w:iCs/>
                <w:lang w:eastAsia="zh-CN"/>
              </w:rPr>
              <w:t xml:space="preserve">We agree with Qualcomm’s understanding, i.e. if the RRM measurement is configured by RAN via RRC, the UE has no idea whether it is for positioning or not. The UE will follow based on RRM requirement. For UE Rx-Tx, if the UE supports, and if the RAN configures, the UE will do additional Rx-Tx for positioning. </w:t>
            </w:r>
          </w:p>
          <w:p>
            <w:pPr>
              <w:rPr>
                <w:iCs/>
                <w:lang w:eastAsia="zh-CN"/>
              </w:rPr>
            </w:pPr>
            <w:r>
              <w:rPr>
                <w:iCs/>
                <w:lang w:eastAsia="zh-CN"/>
              </w:rPr>
              <w:t xml:space="preserve">But considering the current descriptions were from Rel-9, and it is stage 2 descriptions, do not see the need for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iCs/>
                <w:lang w:eastAsia="zh-CN"/>
              </w:rPr>
              <w:t>Apple</w:t>
            </w:r>
          </w:p>
        </w:tc>
        <w:tc>
          <w:tcPr>
            <w:tcW w:w="2126" w:type="dxa"/>
          </w:tcPr>
          <w:p>
            <w:pPr>
              <w:rPr>
                <w:iCs/>
                <w:lang w:eastAsia="zh-CN"/>
              </w:rPr>
            </w:pPr>
            <w:r>
              <w:rPr>
                <w:iCs/>
                <w:lang w:eastAsia="zh-CN"/>
              </w:rPr>
              <w:t>Partially Agree</w:t>
            </w:r>
          </w:p>
        </w:tc>
        <w:tc>
          <w:tcPr>
            <w:tcW w:w="5525" w:type="dxa"/>
          </w:tcPr>
          <w:p>
            <w:pPr>
              <w:rPr>
                <w:iCs/>
                <w:lang w:eastAsia="zh-CN"/>
              </w:rPr>
            </w:pPr>
            <w:r>
              <w:rPr>
                <w:iCs/>
                <w:lang w:eastAsia="zh-CN"/>
              </w:rPr>
              <w:t>It is OK to have the change in first paragraph of 4.3.3 to explain the architecture difference between DL and UL E-CID.</w:t>
            </w:r>
          </w:p>
          <w:p>
            <w:pPr>
              <w:rPr>
                <w:iCs/>
                <w:lang w:eastAsia="zh-CN"/>
              </w:rPr>
            </w:pPr>
            <w:r>
              <w:rPr>
                <w:iCs/>
                <w:lang w:eastAsia="zh-CN"/>
              </w:rPr>
              <w:t>Do not agree remaining changes in 4.3.3 as we believe there is no difference in UE behaviour between the DL and UL E-CID.</w:t>
            </w:r>
          </w:p>
          <w:p>
            <w:pPr>
              <w:rPr>
                <w:iCs/>
                <w:lang w:eastAsia="zh-CN"/>
              </w:rPr>
            </w:pPr>
            <w:r>
              <w:rPr>
                <w:iCs/>
                <w:lang w:eastAsia="zh-CN"/>
              </w:rPr>
              <w:t>Agree with the changes in 8.3.3.3.1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iCs/>
                <w:lang w:eastAsia="zh-CN"/>
              </w:rPr>
            </w:pPr>
            <w:r>
              <w:rPr>
                <w:iCs/>
                <w:lang w:eastAsia="zh-CN"/>
              </w:rPr>
              <w:t>MediaTek</w:t>
            </w:r>
          </w:p>
        </w:tc>
        <w:tc>
          <w:tcPr>
            <w:tcW w:w="2126" w:type="dxa"/>
          </w:tcPr>
          <w:p>
            <w:pPr>
              <w:rPr>
                <w:iCs/>
                <w:lang w:eastAsia="zh-CN"/>
              </w:rPr>
            </w:pPr>
            <w:r>
              <w:rPr>
                <w:iCs/>
                <w:lang w:eastAsia="zh-CN"/>
              </w:rPr>
              <w:t>Partially agree</w:t>
            </w:r>
          </w:p>
        </w:tc>
        <w:tc>
          <w:tcPr>
            <w:tcW w:w="5525" w:type="dxa"/>
          </w:tcPr>
          <w:p>
            <w:pPr>
              <w:rPr>
                <w:iCs/>
                <w:lang w:eastAsia="zh-CN"/>
              </w:rPr>
            </w:pPr>
            <w:r>
              <w:rPr>
                <w:iCs/>
                <w:lang w:eastAsia="zh-CN"/>
              </w:rPr>
              <w:t>The changes in 8.3.3.3.1 seem correct.  For the changes in 4.3.3, we don’t see the need.  The “additional” measurements described in the CR are from the UE perspective still under RRC control, not directed by the E-SMLC, and in this sense they are not seen by the UE as “additional measurements for the sole purpose of positioning”; they are measurements performed for the usual reason, namely that the UE measures what the eNB tells it to 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hint="default"/>
                <w:iCs/>
                <w:lang w:val="en-US" w:eastAsia="zh-CN"/>
              </w:rPr>
            </w:pPr>
            <w:r>
              <w:rPr>
                <w:rFonts w:hint="eastAsia"/>
                <w:iCs/>
                <w:lang w:val="en-US" w:eastAsia="zh-CN"/>
              </w:rPr>
              <w:t>ZTE</w:t>
            </w:r>
          </w:p>
        </w:tc>
        <w:tc>
          <w:tcPr>
            <w:tcW w:w="2126" w:type="dxa"/>
          </w:tcPr>
          <w:p>
            <w:pPr>
              <w:rPr>
                <w:iCs/>
                <w:lang w:eastAsia="zh-CN"/>
              </w:rPr>
            </w:pPr>
            <w:r>
              <w:rPr>
                <w:iCs/>
                <w:lang w:eastAsia="zh-CN"/>
              </w:rPr>
              <w:t>Partially agree</w:t>
            </w:r>
          </w:p>
        </w:tc>
        <w:tc>
          <w:tcPr>
            <w:tcW w:w="5525" w:type="dxa"/>
          </w:tcPr>
          <w:p>
            <w:pPr>
              <w:rPr>
                <w:rFonts w:hint="default"/>
                <w:iCs/>
                <w:lang w:val="en-US" w:eastAsia="zh-CN"/>
              </w:rPr>
            </w:pPr>
            <w:r>
              <w:rPr>
                <w:rFonts w:hint="eastAsia"/>
                <w:iCs/>
                <w:lang w:val="en-US" w:eastAsia="zh-CN"/>
              </w:rPr>
              <w:t>We share the same view with CATT&amp;MTK.  We are fine with the correction in  8.3.3.1. And we prefer to keep the 4.3.3 section</w:t>
            </w:r>
            <w:bookmarkStart w:id="0" w:name="_GoBack"/>
            <w:bookmarkEnd w:id="0"/>
            <w:r>
              <w:rPr>
                <w:rFonts w:hint="eastAsia"/>
                <w:iCs/>
                <w:lang w:val="en-US" w:eastAsia="zh-CN"/>
              </w:rPr>
              <w:t xml:space="preserve"> as it is.</w:t>
            </w:r>
          </w:p>
        </w:tc>
      </w:tr>
    </w:tbl>
    <w:p/>
    <w:p>
      <w:pPr>
        <w:pStyle w:val="2"/>
      </w:pPr>
      <w:r>
        <w:t>3</w:t>
      </w:r>
      <w:r>
        <w:tab/>
      </w:r>
      <w:r>
        <w:t>Conclusion</w:t>
      </w:r>
    </w:p>
    <w:p>
      <w:r>
        <w:rPr>
          <w:highlight w:val="yellow"/>
        </w:rPr>
        <w:t>TBD</w:t>
      </w:r>
    </w:p>
    <w:p>
      <w:pPr>
        <w:pStyle w:val="2"/>
      </w:pPr>
      <w:r>
        <w:t>References</w:t>
      </w:r>
    </w:p>
    <w:p>
      <w:r>
        <w:t xml:space="preserve">[1] </w:t>
      </w:r>
      <w:r>
        <w:fldChar w:fldCharType="begin"/>
      </w:r>
      <w:r>
        <w:instrText xml:space="preserve"> HYPERLINK "https://www.3gpp.org/ftp/tsg_ran/WG2_RL2/TSGR2_111-e/Docs/R2-2008051.zip" </w:instrText>
      </w:r>
      <w:r>
        <w:fldChar w:fldCharType="separate"/>
      </w:r>
      <w:r>
        <w:rPr>
          <w:rStyle w:val="29"/>
        </w:rPr>
        <w:t>R2-2008051</w:t>
      </w:r>
      <w:r>
        <w:rPr>
          <w:rStyle w:val="29"/>
        </w:rPr>
        <w:fldChar w:fldCharType="end"/>
      </w:r>
      <w:r>
        <w:t xml:space="preserve">, </w:t>
      </w:r>
      <w:r>
        <w:rPr>
          <w:i/>
          <w:iCs/>
        </w:rPr>
        <w:t>UE E-CID measurement reporting, Nokia, Nokia Shanghai Bell</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35D2"/>
    <w:multiLevelType w:val="multilevel"/>
    <w:tmpl w:val="384435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7455"/>
    <w:rsid w:val="004A1F7B"/>
    <w:rsid w:val="004B0C98"/>
    <w:rsid w:val="004B3987"/>
    <w:rsid w:val="004C44D2"/>
    <w:rsid w:val="004D3578"/>
    <w:rsid w:val="004D380D"/>
    <w:rsid w:val="004E213A"/>
    <w:rsid w:val="00503171"/>
    <w:rsid w:val="00506C28"/>
    <w:rsid w:val="005237DB"/>
    <w:rsid w:val="005259DD"/>
    <w:rsid w:val="00534DA0"/>
    <w:rsid w:val="00543E6C"/>
    <w:rsid w:val="00565087"/>
    <w:rsid w:val="0056573F"/>
    <w:rsid w:val="005A49C6"/>
    <w:rsid w:val="005B0139"/>
    <w:rsid w:val="005E4B22"/>
    <w:rsid w:val="00611566"/>
    <w:rsid w:val="00643250"/>
    <w:rsid w:val="00646D99"/>
    <w:rsid w:val="00656910"/>
    <w:rsid w:val="006574C0"/>
    <w:rsid w:val="006770BB"/>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465AD"/>
    <w:rsid w:val="0086354A"/>
    <w:rsid w:val="008768CA"/>
    <w:rsid w:val="00877EF9"/>
    <w:rsid w:val="00880559"/>
    <w:rsid w:val="00896A1E"/>
    <w:rsid w:val="008A1CFC"/>
    <w:rsid w:val="008B5306"/>
    <w:rsid w:val="008C203D"/>
    <w:rsid w:val="008C2E2A"/>
    <w:rsid w:val="008C3057"/>
    <w:rsid w:val="008D037E"/>
    <w:rsid w:val="008D28CC"/>
    <w:rsid w:val="008D2E4D"/>
    <w:rsid w:val="008D7472"/>
    <w:rsid w:val="008E6B7F"/>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C0D45"/>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20FA9"/>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 w:val="00FF19BA"/>
    <w:rsid w:val="0EB017A3"/>
    <w:rsid w:val="45814CC9"/>
    <w:rsid w:val="55F91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8"/>
    <w:qFormat/>
    <w:uiPriority w:val="0"/>
    <w:pPr>
      <w:spacing w:after="0"/>
    </w:pPr>
    <w:rPr>
      <w:rFonts w:ascii="Helvetica" w:hAnsi="Helvetica"/>
      <w:sz w:val="18"/>
      <w:szCs w:val="18"/>
    </w:rPr>
  </w:style>
  <w:style w:type="paragraph" w:styleId="22">
    <w:name w:val="footer"/>
    <w:basedOn w:val="23"/>
    <w:uiPriority w:val="0"/>
    <w:pPr>
      <w:jc w:val="center"/>
    </w:pPr>
    <w:rPr>
      <w:i/>
    </w:rPr>
  </w:style>
  <w:style w:type="paragraph" w:styleId="23">
    <w:name w:val="header"/>
    <w:link w:val="65"/>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qFormat/>
    <w:uiPriority w:val="0"/>
    <w:pPr>
      <w:ind w:left="1418" w:hanging="1418"/>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FollowedHyperlink"/>
    <w:basedOn w:val="27"/>
    <w:qFormat/>
    <w:uiPriority w:val="0"/>
    <w:rPr>
      <w:color w:val="954F72" w:themeColor="followedHyperlink"/>
      <w:u w:val="single"/>
      <w14:textFill>
        <w14:solidFill>
          <w14:schemeClr w14:val="folHlink"/>
        </w14:solidFill>
      </w14:textFill>
    </w:rPr>
  </w:style>
  <w:style w:type="character" w:styleId="29">
    <w:name w:val="Hyperlink"/>
    <w:uiPriority w:val="0"/>
    <w:rPr>
      <w:color w:val="0000FF"/>
      <w:u w:val="single"/>
    </w:rPr>
  </w:style>
  <w:style w:type="paragraph" w:customStyle="1" w:styleId="30">
    <w:name w:val="EQ"/>
    <w:basedOn w:val="1"/>
    <w:next w:val="1"/>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uiPriority w:val="0"/>
    <w:pPr>
      <w:outlineLvl w:val="9"/>
    </w:pPr>
  </w:style>
  <w:style w:type="paragraph" w:customStyle="1" w:styleId="34">
    <w:name w:val="NF"/>
    <w:basedOn w:val="35"/>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link w:val="70"/>
    <w:qFormat/>
    <w:uiPriority w:val="0"/>
    <w:pPr>
      <w:keepNext/>
      <w:keepLines/>
      <w:spacing w:after="0"/>
    </w:pPr>
    <w:rPr>
      <w:rFonts w:ascii="Arial" w:hAnsi="Arial"/>
      <w:sz w:val="18"/>
    </w:rPr>
  </w:style>
  <w:style w:type="paragraph" w:customStyle="1" w:styleId="39">
    <w:name w:val="TAH"/>
    <w:basedOn w:val="40"/>
    <w:link w:val="71"/>
    <w:qFormat/>
    <w:uiPriority w:val="0"/>
    <w:rPr>
      <w:b/>
    </w:rPr>
  </w:style>
  <w:style w:type="paragraph" w:customStyle="1" w:styleId="40">
    <w:name w:val="TAC"/>
    <w:basedOn w:val="38"/>
    <w:uiPriority w:val="0"/>
    <w:pPr>
      <w:jc w:val="center"/>
    </w:pPr>
  </w:style>
  <w:style w:type="paragraph" w:customStyle="1" w:styleId="41">
    <w:name w:val="LD"/>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uiPriority w:val="0"/>
    <w:pPr>
      <w:keepNext w:val="0"/>
      <w:spacing w:before="0" w:after="240"/>
    </w:pPr>
  </w:style>
  <w:style w:type="paragraph" w:customStyle="1" w:styleId="56">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uiPriority w:val="0"/>
    <w:pPr>
      <w:ind w:left="851" w:hanging="284"/>
    </w:pPr>
  </w:style>
  <w:style w:type="paragraph" w:customStyle="1" w:styleId="58">
    <w:name w:val="B3"/>
    <w:basedOn w:val="1"/>
    <w:uiPriority w:val="0"/>
    <w:pPr>
      <w:ind w:left="1135" w:hanging="284"/>
    </w:pPr>
  </w:style>
  <w:style w:type="paragraph" w:customStyle="1" w:styleId="59">
    <w:name w:val="B4"/>
    <w:basedOn w:val="1"/>
    <w:uiPriority w:val="0"/>
    <w:pPr>
      <w:ind w:left="1418" w:hanging="284"/>
    </w:pPr>
  </w:style>
  <w:style w:type="paragraph" w:customStyle="1" w:styleId="60">
    <w:name w:val="B5"/>
    <w:basedOn w:val="1"/>
    <w:uiPriority w:val="0"/>
    <w:pPr>
      <w:ind w:left="1702" w:hanging="284"/>
    </w:pPr>
  </w:style>
  <w:style w:type="paragraph" w:customStyle="1" w:styleId="61">
    <w:name w:val="ZTD"/>
    <w:basedOn w:val="50"/>
    <w:uiPriority w:val="0"/>
    <w:pPr>
      <w:framePr w:hRule="auto" w:y="852"/>
    </w:pPr>
    <w:rPr>
      <w:i w:val="0"/>
      <w:sz w:val="40"/>
    </w:rPr>
  </w:style>
  <w:style w:type="paragraph" w:customStyle="1" w:styleId="62">
    <w:name w:val="ZV"/>
    <w:basedOn w:val="52"/>
    <w:uiPriority w:val="0"/>
    <w:pPr>
      <w:framePr w:y="16161"/>
    </w:pPr>
  </w:style>
  <w:style w:type="paragraph" w:customStyle="1" w:styleId="63">
    <w:name w:val="TAJ"/>
    <w:basedOn w:val="48"/>
    <w:uiPriority w:val="0"/>
  </w:style>
  <w:style w:type="paragraph" w:customStyle="1" w:styleId="64">
    <w:name w:val="Guidance"/>
    <w:basedOn w:val="1"/>
    <w:uiPriority w:val="0"/>
    <w:rPr>
      <w:i/>
      <w:color w:val="0000FF"/>
    </w:rPr>
  </w:style>
  <w:style w:type="character" w:customStyle="1" w:styleId="65">
    <w:name w:val="Header Char"/>
    <w:link w:val="23"/>
    <w:uiPriority w:val="0"/>
    <w:rPr>
      <w:rFonts w:ascii="Arial" w:hAnsi="Arial"/>
      <w:b/>
      <w:sz w:val="18"/>
      <w:lang w:val="en-GB" w:eastAsia="ja-JP" w:bidi="ar-SA"/>
    </w:rPr>
  </w:style>
  <w:style w:type="paragraph" w:customStyle="1" w:styleId="66">
    <w:name w:val="CR Cover Page"/>
    <w:uiPriority w:val="0"/>
    <w:pPr>
      <w:spacing w:after="120"/>
    </w:pPr>
    <w:rPr>
      <w:rFonts w:ascii="Arial" w:hAnsi="Arial" w:eastAsia="MS Mincho" w:cs="Times New Roman"/>
      <w:lang w:val="en-GB" w:eastAsia="en-US" w:bidi="ar-SA"/>
    </w:rPr>
  </w:style>
  <w:style w:type="character" w:customStyle="1" w:styleId="67">
    <w:name w:val="Document Map Char"/>
    <w:basedOn w:val="27"/>
    <w:link w:val="19"/>
    <w:qFormat/>
    <w:uiPriority w:val="0"/>
    <w:rPr>
      <w:sz w:val="24"/>
      <w:szCs w:val="24"/>
      <w:lang w:eastAsia="en-US"/>
    </w:rPr>
  </w:style>
  <w:style w:type="character" w:customStyle="1" w:styleId="68">
    <w:name w:val="Balloon Text Char"/>
    <w:basedOn w:val="27"/>
    <w:link w:val="21"/>
    <w:qFormat/>
    <w:uiPriority w:val="0"/>
    <w:rPr>
      <w:rFonts w:ascii="Helvetica" w:hAnsi="Helvetica"/>
      <w:sz w:val="18"/>
      <w:szCs w:val="18"/>
      <w:lang w:eastAsia="en-US"/>
    </w:rPr>
  </w:style>
  <w:style w:type="character" w:customStyle="1" w:styleId="69">
    <w:name w:val="Unresolved Mention1"/>
    <w:basedOn w:val="27"/>
    <w:qFormat/>
    <w:uiPriority w:val="0"/>
    <w:rPr>
      <w:color w:val="605E5C"/>
      <w:shd w:val="clear" w:color="auto" w:fill="E1DFDD"/>
    </w:rPr>
  </w:style>
  <w:style w:type="character" w:customStyle="1" w:styleId="70">
    <w:name w:val="TAL Car"/>
    <w:link w:val="38"/>
    <w:qFormat/>
    <w:uiPriority w:val="0"/>
    <w:rPr>
      <w:rFonts w:ascii="Arial" w:hAnsi="Arial"/>
      <w:sz w:val="18"/>
      <w:lang w:eastAsia="en-US"/>
    </w:rPr>
  </w:style>
  <w:style w:type="character" w:customStyle="1" w:styleId="71">
    <w:name w:val="TAH Car"/>
    <w:link w:val="39"/>
    <w:qFormat/>
    <w:uiPriority w:val="0"/>
    <w:rPr>
      <w:rFonts w:ascii="Arial" w:hAnsi="Arial"/>
      <w:b/>
      <w:sz w:val="18"/>
      <w:lang w:eastAsia="en-US"/>
    </w:rPr>
  </w:style>
  <w:style w:type="paragraph" w:styleId="72">
    <w:name w:val="List Paragraph"/>
    <w:basedOn w:val="1"/>
    <w:qFormat/>
    <w:uiPriority w:val="34"/>
    <w:pPr>
      <w:ind w:left="720"/>
      <w:contextualSpacing/>
    </w:p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E1A67-1E68-4BB6-A199-2AD5B9068861}">
  <ds:schemaRefs/>
</ds:datastoreItem>
</file>

<file path=customXml/itemProps3.xml><?xml version="1.0" encoding="utf-8"?>
<ds:datastoreItem xmlns:ds="http://schemas.openxmlformats.org/officeDocument/2006/customXml" ds:itemID="{96D73BF5-CE29-4F33-AEC1-73B14EF412AF}">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D629CB6A-B079-4667-A8FE-A3BB6E2599D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3</Pages>
  <Words>819</Words>
  <Characters>4669</Characters>
  <Lines>38</Lines>
  <Paragraphs>10</Paragraphs>
  <TotalTime>11</TotalTime>
  <ScaleCrop>false</ScaleCrop>
  <LinksUpToDate>false</LinksUpToDate>
  <CharactersWithSpaces>5478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2020-08-18T18:53:00Z</dcterms:created>
  <dc:creator>Benoist</dc:creator>
  <cp:keywords>CTPClassification=CTP_NT</cp:keywords>
  <cp:lastModifiedBy>ZTE_LYS</cp:lastModifiedBy>
  <dcterms:modified xsi:type="dcterms:W3CDTF">2020-08-19T01:35:02Z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y fmtid="{D5CDD505-2E9C-101B-9397-08002B2CF9AE}" pid="8" name="TitusGUID">
    <vt:lpwstr>b0e4eeae-8d16-4aa2-96fd-d672a7d9583b</vt:lpwstr>
  </property>
  <property fmtid="{D5CDD505-2E9C-101B-9397-08002B2CF9AE}" pid="9" name="CTP_TimeStamp">
    <vt:lpwstr>2020-08-18 07:55:37Z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2052-11.8.2.8411</vt:lpwstr>
  </property>
</Properties>
</file>