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
        <w:rPr>
          <w:lang w:eastAsia="zh-CN"/>
        </w:rPr>
      </w:pPr>
      <w:r>
        <w:rPr>
          <w:rStyle w:val="af2"/>
          <w:rFonts w:ascii="Wingdings" w:hAnsi="Wingdings"/>
        </w:rPr>
        <w:t></w:t>
      </w:r>
      <w:r>
        <w:rPr>
          <w:rStyle w:val="af2"/>
          <w:rFonts w:ascii="Wingdings" w:hAnsi="Wingdings"/>
        </w:rPr>
        <w:t></w:t>
      </w:r>
      <w:r>
        <w:rPr>
          <w:rStyle w:val="af2"/>
        </w:rPr>
        <w:t>[AT111e][109][REDCAP] Reduced capability signalling framework (Intel)</w:t>
      </w:r>
    </w:p>
    <w:p w14:paraId="2BA57E5C" w14:textId="77777777" w:rsidR="00B769AE" w:rsidRDefault="00B769AE" w:rsidP="00B769AE">
      <w:pPr>
        <w:pStyle w:val="af"/>
        <w:ind w:left="1620"/>
      </w:pPr>
      <w:r>
        <w:t xml:space="preserve">Scope: Discuss the proposals in </w:t>
      </w:r>
      <w:hyperlink r:id="rId13" w:tooltip="C:Data3GPPExtractsR2-2006751-redcap-capabilty-framework.docx" w:history="1">
        <w:r>
          <w:rPr>
            <w:rStyle w:val="a4"/>
          </w:rPr>
          <w:t>R2-2006751</w:t>
        </w:r>
      </w:hyperlink>
      <w:r>
        <w:t xml:space="preserve">, </w:t>
      </w:r>
      <w:hyperlink r:id="rId14" w:tooltip="C:Data3GPPExtractsR2-2006911 Framework and Principles for Reduced Capability.docx" w:history="1">
        <w:r>
          <w:rPr>
            <w:rStyle w:val="a4"/>
          </w:rPr>
          <w:t>R2-2006911</w:t>
        </w:r>
      </w:hyperlink>
      <w:r>
        <w:t xml:space="preserve"> and </w:t>
      </w:r>
      <w:hyperlink r:id="rId15"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
        <w:ind w:left="1620"/>
      </w:pPr>
      <w:r>
        <w:t>Initial intended outcome: summary of the offline discussion with e.g.:</w:t>
      </w:r>
    </w:p>
    <w:p w14:paraId="5D451D00" w14:textId="77777777" w:rsidR="00B769AE" w:rsidRDefault="00B769AE" w:rsidP="00B769AE">
      <w:pPr>
        <w:pStyle w:val="af"/>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af"/>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af"/>
        <w:ind w:left="1620"/>
      </w:pPr>
      <w:r>
        <w:t xml:space="preserve">Initial deadline (for companies' feedback): </w:t>
      </w:r>
      <w:r>
        <w:rPr>
          <w:rStyle w:val="af2"/>
        </w:rPr>
        <w:t>Monday 2020-08-24 22:00 UTC</w:t>
      </w:r>
    </w:p>
    <w:p w14:paraId="2CDB47D6" w14:textId="77777777" w:rsidR="00B769AE" w:rsidRDefault="00B769AE" w:rsidP="00B769AE">
      <w:pPr>
        <w:pStyle w:val="af"/>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ad"/>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ad"/>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6" w:history="1">
              <w:r>
                <w:rPr>
                  <w:rStyle w:val="a4"/>
                  <w:lang w:val="de-DE"/>
                </w:rPr>
                <w:t>email@address.com</w:t>
              </w:r>
            </w:hyperlink>
            <w:r>
              <w:rPr>
                <w:lang w:val="de-DE"/>
              </w:rPr>
              <w:t>)</w:t>
            </w:r>
          </w:p>
        </w:tc>
      </w:tr>
      <w:tr w:rsidR="00E8576B" w:rsidRPr="00953F2E"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953F2E"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953F2E"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7" w:history="1">
              <w:r w:rsidR="00CB2FCC" w:rsidRPr="00BB1F50">
                <w:rPr>
                  <w:rStyle w:val="a4"/>
                  <w:sz w:val="22"/>
                  <w:szCs w:val="22"/>
                  <w:lang w:val="de-DE" w:eastAsia="zh-CN"/>
                </w:rPr>
                <w:t>hao.bi@futurewei.com</w:t>
              </w:r>
            </w:hyperlink>
          </w:p>
        </w:tc>
      </w:tr>
      <w:tr w:rsidR="00CB2FCC" w:rsidRPr="00953F2E"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F47D4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F47D4A">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F47D4A">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1C1E4E" w:rsidP="002A2A30">
            <w:pPr>
              <w:jc w:val="center"/>
            </w:pPr>
            <w:hyperlink r:id="rId18" w:history="1">
              <w:r w:rsidR="00737443" w:rsidRPr="001442F3">
                <w:rPr>
                  <w:rStyle w:val="a4"/>
                  <w:sz w:val="22"/>
                  <w:szCs w:val="22"/>
                  <w:lang w:val="de-DE"/>
                </w:rPr>
                <w:t>noam.cayron@sequans.com</w:t>
              </w:r>
            </w:hyperlink>
          </w:p>
        </w:tc>
      </w:tr>
      <w:tr w:rsidR="00737443" w:rsidRPr="00377D3B" w14:paraId="7A1EAAB4"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4307F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hint="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hint="eastAsia"/>
                <w:sz w:val="22"/>
                <w:szCs w:val="22"/>
                <w:lang w:val="de-DE" w:eastAsia="zh-CN"/>
              </w:rPr>
            </w:pPr>
            <w:r>
              <w:rPr>
                <w:rFonts w:eastAsiaTheme="minorEastAsia" w:hint="eastAsia"/>
                <w:sz w:val="22"/>
                <w:szCs w:val="22"/>
                <w:lang w:val="de-DE" w:eastAsia="zh-CN"/>
              </w:rPr>
              <w:t>Erlin Zeng (erlin.zeng@catt.cn)</w:t>
            </w:r>
          </w:p>
        </w:tc>
      </w:tr>
      <w:tr w:rsidR="0081378D" w:rsidRPr="00377D3B" w14:paraId="62EC7D07"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77777777" w:rsidR="0081378D" w:rsidRDefault="0081378D" w:rsidP="00D7295E">
            <w:pPr>
              <w:jc w:val="center"/>
              <w:rPr>
                <w:rFonts w:eastAsia="Yu Mincho"/>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77777777" w:rsidR="0081378D" w:rsidRDefault="0081378D" w:rsidP="00D7295E">
            <w:pPr>
              <w:jc w:val="center"/>
              <w:rPr>
                <w:rFonts w:eastAsia="Yu Mincho"/>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2"/>
        </w:rPr>
        <w:t>How to define the reduced capabilities</w:t>
      </w:r>
    </w:p>
    <w:p w14:paraId="3712AD63" w14:textId="1D6A3D3A" w:rsidR="00772A3F" w:rsidRDefault="00772A3F" w:rsidP="00B83E32">
      <w:pPr>
        <w:spacing w:before="100" w:beforeAutospacing="1" w:after="100" w:afterAutospacing="1"/>
        <w:rPr>
          <w:rStyle w:val="af2"/>
        </w:rPr>
      </w:pPr>
      <w:r>
        <w:rPr>
          <w:rStyle w:val="af2"/>
        </w:rPr>
        <w:t>Question 2.</w:t>
      </w:r>
      <w:r w:rsidR="00B83E32">
        <w:rPr>
          <w:rStyle w:val="af2"/>
        </w:rPr>
        <w:t>1</w:t>
      </w:r>
      <w:r>
        <w:rPr>
          <w:rStyle w:val="af2"/>
        </w:rPr>
        <w:t>-</w:t>
      </w:r>
      <w:r w:rsidR="00201816">
        <w:rPr>
          <w:rStyle w:val="af2"/>
        </w:rPr>
        <w:t>1</w:t>
      </w:r>
      <w:r w:rsidR="00B83E32">
        <w:rPr>
          <w:rStyle w:val="af2"/>
        </w:rPr>
        <w:t xml:space="preserve"> </w:t>
      </w:r>
      <w:r>
        <w:rPr>
          <w:rStyle w:val="af2"/>
        </w:rPr>
        <w:t>T</w:t>
      </w:r>
      <w:r w:rsidR="00B83E32">
        <w:rPr>
          <w:rStyle w:val="af2"/>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lastRenderedPageBreak/>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c"/>
        <w:numPr>
          <w:ilvl w:val="0"/>
          <w:numId w:val="29"/>
        </w:numPr>
        <w:spacing w:before="100" w:beforeAutospacing="1" w:after="100" w:afterAutospacing="1"/>
      </w:pPr>
      <w:r>
        <w:t>access restriction;</w:t>
      </w:r>
    </w:p>
    <w:p w14:paraId="051704EC" w14:textId="220A6E25" w:rsidR="00772A3F" w:rsidRDefault="00772A3F" w:rsidP="00201816">
      <w:pPr>
        <w:pStyle w:val="ac"/>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c"/>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9"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r>
              <w:rPr>
                <w:rFonts w:eastAsia="DengXian"/>
                <w:lang w:eastAsia="zh-CN"/>
              </w:rPr>
              <w:t>Futurewei</w:t>
            </w:r>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w:t>
            </w:r>
            <w:r>
              <w:lastRenderedPageBreak/>
              <w:t xml:space="preserve">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lastRenderedPageBreak/>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r w:rsidRPr="00627F45">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F47D4A">
        <w:tc>
          <w:tcPr>
            <w:tcW w:w="1460" w:type="dxa"/>
            <w:vAlign w:val="center"/>
          </w:tcPr>
          <w:p w14:paraId="21B1242B"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F47D4A">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F47D4A">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3606BC">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942A7A">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553F1F">
        <w:tc>
          <w:tcPr>
            <w:tcW w:w="1460" w:type="dxa"/>
            <w:vAlign w:val="center"/>
          </w:tcPr>
          <w:p w14:paraId="1BFDCFCA" w14:textId="4C53E6E7" w:rsidR="00D7295E" w:rsidRDefault="00D7295E" w:rsidP="00D7295E">
            <w:pPr>
              <w:spacing w:before="60" w:after="60"/>
              <w:rPr>
                <w:rFonts w:eastAsia="Yu Mincho"/>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RedCap,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942A7A">
        <w:tc>
          <w:tcPr>
            <w:tcW w:w="1460" w:type="dxa"/>
            <w:vAlign w:val="center"/>
          </w:tcPr>
          <w:p w14:paraId="2CF795BD" w14:textId="27EEE2A5" w:rsidR="00D7295E" w:rsidRPr="00F365F4" w:rsidRDefault="00F365F4" w:rsidP="00D7295E">
            <w:pPr>
              <w:spacing w:before="60" w:after="60"/>
              <w:rPr>
                <w:rFonts w:eastAsiaTheme="minorEastAsia" w:hint="eastAsia"/>
                <w:lang w:eastAsia="zh-CN"/>
              </w:rPr>
            </w:pPr>
            <w:r>
              <w:rPr>
                <w:rFonts w:eastAsiaTheme="minorEastAsia" w:hint="eastAsia"/>
                <w:lang w:eastAsia="zh-CN"/>
              </w:rPr>
              <w:t>CATT</w:t>
            </w:r>
          </w:p>
        </w:tc>
        <w:tc>
          <w:tcPr>
            <w:tcW w:w="1527" w:type="dxa"/>
          </w:tcPr>
          <w:p w14:paraId="3138367F" w14:textId="7AD00024" w:rsidR="00D7295E" w:rsidRPr="00F365F4" w:rsidRDefault="00F365F4" w:rsidP="00F365F4">
            <w:pPr>
              <w:spacing w:before="60" w:after="60"/>
              <w:rPr>
                <w:rFonts w:eastAsiaTheme="minorEastAsia" w:hint="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rFonts w:hint="eastAsia"/>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framework. </w:t>
            </w:r>
          </w:p>
          <w:p w14:paraId="25C732ED" w14:textId="77777777" w:rsidR="00F365F4" w:rsidRDefault="00F365F4" w:rsidP="00F365F4">
            <w:pPr>
              <w:rPr>
                <w:rFonts w:hint="eastAsia"/>
                <w:lang w:eastAsia="zh-CN"/>
              </w:rPr>
            </w:pPr>
            <w:r>
              <w:rPr>
                <w:rFonts w:hint="eastAsia"/>
                <w:lang w:eastAsia="zh-CN"/>
              </w:rPr>
              <w:t>In our view R2 should progress on the two main topic at the same time</w:t>
            </w:r>
          </w:p>
          <w:p w14:paraId="72F301C5" w14:textId="77777777" w:rsidR="00F365F4" w:rsidRDefault="00F365F4" w:rsidP="00F365F4">
            <w:pPr>
              <w:rPr>
                <w:rFonts w:hint="eastAsia"/>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14:paraId="3008FB25" w14:textId="77777777" w:rsidR="00F365F4" w:rsidRDefault="00F365F4" w:rsidP="00F365F4">
            <w:pPr>
              <w:rPr>
                <w:rFonts w:hint="eastAsia"/>
                <w:lang w:eastAsia="zh-CN"/>
              </w:rPr>
            </w:pPr>
            <w:r>
              <w:rPr>
                <w:rFonts w:hint="eastAsia"/>
                <w:lang w:eastAsia="zh-CN"/>
              </w:rPr>
              <w:t>- device type.</w:t>
            </w:r>
          </w:p>
          <w:p w14:paraId="548F80E0" w14:textId="454F0BCD" w:rsidR="00F365F4" w:rsidRDefault="00F365F4" w:rsidP="00F365F4">
            <w:pPr>
              <w:rPr>
                <w:rFonts w:hint="eastAsia"/>
                <w:lang w:eastAsia="zh-CN"/>
              </w:rPr>
            </w:pPr>
            <w:r>
              <w:rPr>
                <w:rFonts w:hint="eastAsia"/>
                <w:lang w:eastAsia="zh-CN"/>
              </w:rPr>
              <w:t xml:space="preserve">It is a bit unclear how to decide one without discussing the other.  </w:t>
            </w:r>
          </w:p>
        </w:tc>
      </w:tr>
      <w:tr w:rsidR="00F365F4" w14:paraId="2CE352DE" w14:textId="77777777" w:rsidTr="00942A7A">
        <w:tc>
          <w:tcPr>
            <w:tcW w:w="1460" w:type="dxa"/>
            <w:vAlign w:val="center"/>
          </w:tcPr>
          <w:p w14:paraId="37E52463" w14:textId="63977ACE" w:rsidR="00F365F4" w:rsidRDefault="00F365F4" w:rsidP="00D7295E">
            <w:pPr>
              <w:spacing w:before="60" w:after="60"/>
              <w:rPr>
                <w:rFonts w:eastAsia="Yu Mincho"/>
                <w:lang w:eastAsia="ja-JP"/>
              </w:rPr>
            </w:pPr>
          </w:p>
        </w:tc>
        <w:tc>
          <w:tcPr>
            <w:tcW w:w="1527" w:type="dxa"/>
          </w:tcPr>
          <w:p w14:paraId="6CB1CB38" w14:textId="77777777" w:rsidR="00F365F4" w:rsidRDefault="00F365F4" w:rsidP="00D7295E">
            <w:pPr>
              <w:spacing w:before="60" w:after="60"/>
              <w:rPr>
                <w:rFonts w:eastAsia="Yu Mincho"/>
                <w:lang w:eastAsia="ja-JP"/>
              </w:rPr>
            </w:pPr>
          </w:p>
        </w:tc>
        <w:tc>
          <w:tcPr>
            <w:tcW w:w="6372" w:type="dxa"/>
          </w:tcPr>
          <w:p w14:paraId="7BCE1AB4" w14:textId="77777777" w:rsidR="00F365F4" w:rsidRDefault="00F365F4" w:rsidP="00D7295E"/>
        </w:tc>
      </w:tr>
    </w:tbl>
    <w:p w14:paraId="4B3B3270" w14:textId="21FD3567" w:rsidR="00201816" w:rsidRDefault="00201816" w:rsidP="00201816">
      <w:pPr>
        <w:spacing w:before="100" w:beforeAutospacing="1" w:after="100" w:afterAutospacing="1"/>
        <w:rPr>
          <w:rStyle w:val="af2"/>
        </w:rPr>
      </w:pPr>
      <w:r w:rsidRPr="00201816">
        <w:rPr>
          <w:rStyle w:val="af2"/>
        </w:rPr>
        <w:lastRenderedPageBreak/>
        <w:t>Question 2.1-</w:t>
      </w:r>
      <w:r>
        <w:rPr>
          <w:rStyle w:val="af2"/>
        </w:rPr>
        <w:t>2</w:t>
      </w:r>
      <w:r w:rsidR="00B83E32">
        <w:rPr>
          <w:rStyle w:val="af2"/>
        </w:rPr>
        <w:t xml:space="preserve"> </w:t>
      </w:r>
      <w:r>
        <w:rPr>
          <w:rStyle w:val="af2"/>
        </w:rPr>
        <w:t>T</w:t>
      </w:r>
      <w:r w:rsidR="00B83E32">
        <w:rPr>
          <w:rStyle w:val="af2"/>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r>
              <w:rPr>
                <w:rFonts w:eastAsia="DengXian"/>
                <w:lang w:eastAsia="zh-CN"/>
              </w:rPr>
              <w:t>Futurewei</w:t>
            </w:r>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w:t>
            </w:r>
            <w:r w:rsidR="007847C0">
              <w:lastRenderedPageBreak/>
              <w:t xml:space="preserve">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r w:rsidRPr="009D46D4">
              <w:lastRenderedPageBreak/>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F47D4A">
        <w:tc>
          <w:tcPr>
            <w:tcW w:w="1460" w:type="dxa"/>
            <w:vAlign w:val="center"/>
          </w:tcPr>
          <w:p w14:paraId="5655DD2A"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F47D4A">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AD1C9E" w14:paraId="5C378712" w14:textId="77777777" w:rsidTr="00504FD9">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UE capabilities on redcap are always signalled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127DBA">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127DBA">
        <w:tc>
          <w:tcPr>
            <w:tcW w:w="1460" w:type="dxa"/>
            <w:vAlign w:val="center"/>
          </w:tcPr>
          <w:p w14:paraId="2BFE1F10" w14:textId="51E62D58"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504FD9">
        <w:tc>
          <w:tcPr>
            <w:tcW w:w="1460" w:type="dxa"/>
          </w:tcPr>
          <w:p w14:paraId="365B462E" w14:textId="74232F23" w:rsidR="00D7295E" w:rsidRDefault="00526B66" w:rsidP="00D7295E">
            <w:pPr>
              <w:spacing w:before="60" w:after="60"/>
              <w:rPr>
                <w:rFonts w:hint="eastAsia"/>
                <w:lang w:eastAsia="zh-CN"/>
              </w:rPr>
            </w:pPr>
            <w:r>
              <w:rPr>
                <w:rFonts w:hint="eastAsia"/>
                <w:lang w:eastAsia="zh-CN"/>
              </w:rPr>
              <w:t>CATT</w:t>
            </w:r>
          </w:p>
        </w:tc>
        <w:tc>
          <w:tcPr>
            <w:tcW w:w="1527" w:type="dxa"/>
          </w:tcPr>
          <w:p w14:paraId="66A02235" w14:textId="04D45A2A" w:rsidR="00D7295E" w:rsidRDefault="00526B66" w:rsidP="00D7295E">
            <w:pPr>
              <w:spacing w:before="60" w:after="60"/>
              <w:rPr>
                <w:rFonts w:hint="eastAsia"/>
                <w:lang w:eastAsia="zh-CN"/>
              </w:rPr>
            </w:pPr>
            <w:r>
              <w:rPr>
                <w:rFonts w:hint="eastAsia"/>
                <w:lang w:eastAsia="zh-CN"/>
              </w:rPr>
              <w:t>agree</w:t>
            </w:r>
          </w:p>
        </w:tc>
        <w:tc>
          <w:tcPr>
            <w:tcW w:w="6372" w:type="dxa"/>
          </w:tcPr>
          <w:p w14:paraId="1C3FC896" w14:textId="77777777" w:rsidR="00D7295E" w:rsidRDefault="00526B66" w:rsidP="00D7295E">
            <w:pPr>
              <w:rPr>
                <w:rFonts w:hint="eastAsia"/>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rFonts w:hint="eastAsia"/>
                <w:lang w:eastAsia="zh-CN"/>
              </w:rPr>
            </w:pPr>
            <w:r>
              <w:rPr>
                <w:lang w:eastAsia="zh-CN"/>
              </w:rPr>
              <w:t>W</w:t>
            </w:r>
            <w:r>
              <w:rPr>
                <w:rFonts w:hint="eastAsia"/>
                <w:lang w:eastAsia="zh-CN"/>
              </w:rPr>
              <w:t xml:space="preserve">e think this proposal makes more sense. </w:t>
            </w:r>
          </w:p>
        </w:tc>
      </w:tr>
    </w:tbl>
    <w:p w14:paraId="483B79EE" w14:textId="55FED345" w:rsidR="00B83E32" w:rsidRDefault="00B83E32" w:rsidP="00B83E32">
      <w:pPr>
        <w:pStyle w:val="ac"/>
        <w:ind w:left="1080"/>
        <w:rPr>
          <w:rFonts w:ascii="Calibri" w:hAnsi="Calibri" w:cs="Calibri"/>
        </w:rPr>
      </w:pPr>
    </w:p>
    <w:p w14:paraId="47F08149" w14:textId="0EEFBED5" w:rsidR="009D3F9C" w:rsidRDefault="009D3F9C" w:rsidP="009D3F9C">
      <w:pPr>
        <w:spacing w:before="100" w:beforeAutospacing="1" w:after="100" w:afterAutospacing="1"/>
        <w:rPr>
          <w:rStyle w:val="af2"/>
        </w:rPr>
      </w:pPr>
      <w:r w:rsidRPr="00201816">
        <w:rPr>
          <w:rStyle w:val="af2"/>
        </w:rPr>
        <w:t>Question 2.1-</w:t>
      </w:r>
      <w:r>
        <w:rPr>
          <w:rStyle w:val="af2"/>
        </w:rPr>
        <w:t xml:space="preserve">3 </w:t>
      </w:r>
      <w:r w:rsidR="00F77475">
        <w:rPr>
          <w:rStyle w:val="af2"/>
        </w:rPr>
        <w:t>How to define the</w:t>
      </w:r>
      <w:r w:rsidR="00B83E32">
        <w:rPr>
          <w:rStyle w:val="af2"/>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lastRenderedPageBreak/>
        <w:t>Summary</w:t>
      </w:r>
      <w:r>
        <w:t xml:space="preserve">: [1] [2] [3] proposed similar way, i.e. </w:t>
      </w:r>
    </w:p>
    <w:p w14:paraId="2275C62A" w14:textId="33224692" w:rsidR="00B83E32" w:rsidRPr="00F77475" w:rsidRDefault="00B83E32" w:rsidP="00F77475">
      <w:pPr>
        <w:pStyle w:val="ac"/>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r>
              <w:rPr>
                <w:rFonts w:eastAsia="DengXian"/>
                <w:lang w:eastAsia="zh-CN"/>
              </w:rPr>
              <w:t xml:space="preserve">Futurewei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One type, or an indication, can be used for Redcap UE to indicate reduced capability than normally required (# of antenna, BW, etc). Network use it to let RAN provide service to UE of lower capabilities. It can also be used for access restriction and 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w:t>
            </w:r>
            <w:r w:rsidR="00A9443F">
              <w:lastRenderedPageBreak/>
              <w:t xml:space="preserve">Antennas, BW, etc)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lastRenderedPageBreak/>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Futurewei. See also our earlier comments. </w:t>
            </w:r>
          </w:p>
          <w:p w14:paraId="07E10FEC" w14:textId="5AA08D97" w:rsidR="004B017B" w:rsidRDefault="008C4F5F" w:rsidP="00C27837">
            <w:pPr>
              <w:spacing w:before="60" w:after="60"/>
            </w:pPr>
            <w:r>
              <w:t>We don't see need to have more than one general definition of a RedCap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r w:rsidRPr="003704CF">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F47D4A">
        <w:tc>
          <w:tcPr>
            <w:tcW w:w="1460" w:type="dxa"/>
            <w:vAlign w:val="center"/>
          </w:tcPr>
          <w:p w14:paraId="1237E819" w14:textId="77777777" w:rsidR="00AD1C9E" w:rsidRDefault="00AD1C9E" w:rsidP="00F47D4A">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F47D4A">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CC6FD2">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Agree with Futurewei and Ericsson</w:t>
            </w:r>
          </w:p>
        </w:tc>
      </w:tr>
      <w:tr w:rsidR="005B2D5F" w14:paraId="2BDDE7CC" w14:textId="77777777" w:rsidTr="00AC7A40">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AC7A40">
        <w:tc>
          <w:tcPr>
            <w:tcW w:w="1460" w:type="dxa"/>
            <w:vAlign w:val="center"/>
          </w:tcPr>
          <w:p w14:paraId="71169F4D" w14:textId="46F169D0" w:rsidR="00D7295E" w:rsidRDefault="00D7295E" w:rsidP="00D7295E">
            <w:pPr>
              <w:spacing w:before="60" w:after="60"/>
              <w:rPr>
                <w:rFonts w:eastAsia="Yu Mincho"/>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CC6FD2">
        <w:tc>
          <w:tcPr>
            <w:tcW w:w="1460" w:type="dxa"/>
          </w:tcPr>
          <w:p w14:paraId="498D81B3" w14:textId="6FA3D72C" w:rsidR="00D7295E" w:rsidRDefault="00526B66" w:rsidP="00D7295E">
            <w:pPr>
              <w:spacing w:before="60" w:after="60"/>
              <w:rPr>
                <w:rFonts w:hint="eastAsia"/>
                <w:lang w:eastAsia="zh-CN"/>
              </w:rPr>
            </w:pPr>
            <w:r>
              <w:rPr>
                <w:rFonts w:hint="eastAsia"/>
                <w:lang w:eastAsia="zh-CN"/>
              </w:rPr>
              <w:t>CATT</w:t>
            </w:r>
          </w:p>
        </w:tc>
        <w:tc>
          <w:tcPr>
            <w:tcW w:w="1527" w:type="dxa"/>
          </w:tcPr>
          <w:p w14:paraId="54B59568" w14:textId="7B82ABB1" w:rsidR="00D7295E" w:rsidRDefault="00526B66" w:rsidP="00D7295E">
            <w:pPr>
              <w:spacing w:before="60" w:after="60"/>
              <w:rPr>
                <w:rFonts w:hint="eastAsia"/>
                <w:lang w:eastAsia="zh-CN"/>
              </w:rPr>
            </w:pPr>
            <w:r>
              <w:rPr>
                <w:rFonts w:hint="eastAsia"/>
                <w:lang w:eastAsia="zh-CN"/>
              </w:rPr>
              <w:t>Agree</w:t>
            </w:r>
          </w:p>
        </w:tc>
        <w:tc>
          <w:tcPr>
            <w:tcW w:w="6372" w:type="dxa"/>
          </w:tcPr>
          <w:p w14:paraId="55318767" w14:textId="64DF8214" w:rsidR="00D7295E" w:rsidRDefault="00526B66" w:rsidP="00D7295E">
            <w:pPr>
              <w:rPr>
                <w:rFonts w:hint="eastAsia"/>
                <w:lang w:eastAsia="zh-CN"/>
              </w:rPr>
            </w:pPr>
            <w:r>
              <w:rPr>
                <w:lang w:eastAsia="zh-CN"/>
              </w:rPr>
              <w:t>Y</w:t>
            </w:r>
            <w:r>
              <w:rPr>
                <w:rFonts w:hint="eastAsia"/>
                <w:lang w:eastAsia="zh-CN"/>
              </w:rPr>
              <w:t>es, see our comments to Q1 and Q2.</w:t>
            </w:r>
          </w:p>
        </w:tc>
      </w:tr>
      <w:tr w:rsidR="00526B66" w14:paraId="711938C5" w14:textId="77777777" w:rsidTr="00CC6FD2">
        <w:tc>
          <w:tcPr>
            <w:tcW w:w="1460" w:type="dxa"/>
          </w:tcPr>
          <w:p w14:paraId="060044AD" w14:textId="77777777" w:rsidR="00526B66" w:rsidRDefault="00526B66" w:rsidP="00D7295E">
            <w:pPr>
              <w:spacing w:before="60" w:after="60"/>
            </w:pPr>
          </w:p>
        </w:tc>
        <w:tc>
          <w:tcPr>
            <w:tcW w:w="1527" w:type="dxa"/>
          </w:tcPr>
          <w:p w14:paraId="53574DA7" w14:textId="77777777" w:rsidR="00526B66" w:rsidRDefault="00526B66" w:rsidP="00D7295E">
            <w:pPr>
              <w:spacing w:before="60" w:after="60"/>
            </w:pPr>
          </w:p>
        </w:tc>
        <w:tc>
          <w:tcPr>
            <w:tcW w:w="6372" w:type="dxa"/>
          </w:tcPr>
          <w:p w14:paraId="574AF155" w14:textId="77777777" w:rsidR="00526B66" w:rsidRDefault="00526B66" w:rsidP="00D7295E"/>
        </w:tc>
      </w:tr>
    </w:tbl>
    <w:p w14:paraId="2EFA3B60" w14:textId="77777777" w:rsidR="00F77475" w:rsidRDefault="00F77475" w:rsidP="00F77475">
      <w:pPr>
        <w:pStyle w:val="ac"/>
        <w:ind w:left="1080"/>
        <w:rPr>
          <w:rFonts w:ascii="Calibri" w:hAnsi="Calibri" w:cs="Calibri"/>
        </w:rPr>
      </w:pPr>
    </w:p>
    <w:p w14:paraId="549A7BB8" w14:textId="0720A868" w:rsidR="003F12CB" w:rsidRDefault="003F12CB" w:rsidP="003F12CB">
      <w:pPr>
        <w:spacing w:before="100" w:beforeAutospacing="1" w:after="100" w:afterAutospacing="1"/>
        <w:rPr>
          <w:rStyle w:val="af2"/>
        </w:rPr>
      </w:pPr>
      <w:r w:rsidRPr="00201816">
        <w:rPr>
          <w:rStyle w:val="af2"/>
        </w:rPr>
        <w:t>Question 2.1-</w:t>
      </w:r>
      <w:r>
        <w:rPr>
          <w:rStyle w:val="af2"/>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c"/>
        <w:numPr>
          <w:ilvl w:val="0"/>
          <w:numId w:val="29"/>
        </w:numPr>
        <w:spacing w:before="100" w:beforeAutospacing="1" w:after="100" w:afterAutospacing="1"/>
        <w:rPr>
          <w:b/>
          <w:bCs/>
        </w:rPr>
      </w:pPr>
      <w:r>
        <w:rPr>
          <w:b/>
          <w:bCs/>
        </w:rPr>
        <w:lastRenderedPageBreak/>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c"/>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RedCap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r>
              <w:rPr>
                <w:rFonts w:eastAsia="DengXian"/>
                <w:lang w:eastAsia="zh-CN"/>
              </w:rPr>
              <w:t>Futurewei</w:t>
            </w:r>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F47D4A">
        <w:tc>
          <w:tcPr>
            <w:tcW w:w="1460" w:type="dxa"/>
            <w:vAlign w:val="center"/>
          </w:tcPr>
          <w:p w14:paraId="7D17108F"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F47D4A">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F47D4A">
            <w:r>
              <w:t>Similar views as Qualcomm.</w:t>
            </w:r>
          </w:p>
        </w:tc>
      </w:tr>
      <w:tr w:rsidR="00AD1C9E" w14:paraId="06547472" w14:textId="77777777" w:rsidTr="00C310D1">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493D36">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493D36">
        <w:tc>
          <w:tcPr>
            <w:tcW w:w="1460" w:type="dxa"/>
            <w:vAlign w:val="center"/>
          </w:tcPr>
          <w:p w14:paraId="6574D71F" w14:textId="23C03AA0"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C310D1">
        <w:tc>
          <w:tcPr>
            <w:tcW w:w="1460" w:type="dxa"/>
          </w:tcPr>
          <w:p w14:paraId="66F0CFE8" w14:textId="6449F051" w:rsidR="00D7295E" w:rsidRDefault="00526B66" w:rsidP="00D7295E">
            <w:pPr>
              <w:spacing w:before="60" w:after="60"/>
              <w:rPr>
                <w:rFonts w:hint="eastAsia"/>
                <w:lang w:eastAsia="zh-CN"/>
              </w:rPr>
            </w:pPr>
            <w:r>
              <w:rPr>
                <w:rFonts w:hint="eastAsia"/>
                <w:lang w:eastAsia="zh-CN"/>
              </w:rPr>
              <w:t>CATT</w:t>
            </w:r>
          </w:p>
        </w:tc>
        <w:tc>
          <w:tcPr>
            <w:tcW w:w="1527" w:type="dxa"/>
          </w:tcPr>
          <w:p w14:paraId="3F64EA26" w14:textId="039547DE" w:rsidR="00D7295E" w:rsidRDefault="00526B66" w:rsidP="00D7295E">
            <w:pPr>
              <w:spacing w:before="60" w:after="60"/>
              <w:rPr>
                <w:rFonts w:hint="eastAsia"/>
                <w:lang w:eastAsia="zh-CN"/>
              </w:rPr>
            </w:pPr>
            <w:r>
              <w:rPr>
                <w:rFonts w:hint="eastAsia"/>
                <w:lang w:eastAsia="zh-CN"/>
              </w:rPr>
              <w:t>Option 2</w:t>
            </w:r>
          </w:p>
        </w:tc>
        <w:tc>
          <w:tcPr>
            <w:tcW w:w="6372" w:type="dxa"/>
          </w:tcPr>
          <w:p w14:paraId="1D7778BE" w14:textId="46DAABDA" w:rsidR="00D7295E" w:rsidRDefault="00526B66" w:rsidP="00D7295E">
            <w:pPr>
              <w:rPr>
                <w:rFonts w:hint="eastAsia"/>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rsidR="00526B66" w14:paraId="5B0B8714" w14:textId="77777777" w:rsidTr="00C310D1">
        <w:tc>
          <w:tcPr>
            <w:tcW w:w="1460" w:type="dxa"/>
          </w:tcPr>
          <w:p w14:paraId="4344EF1C" w14:textId="77777777" w:rsidR="00526B66" w:rsidRDefault="00526B66" w:rsidP="00D7295E">
            <w:pPr>
              <w:spacing w:before="60" w:after="60"/>
            </w:pPr>
          </w:p>
        </w:tc>
        <w:tc>
          <w:tcPr>
            <w:tcW w:w="1527" w:type="dxa"/>
          </w:tcPr>
          <w:p w14:paraId="4695EB73" w14:textId="77777777" w:rsidR="00526B66" w:rsidRDefault="00526B66" w:rsidP="00D7295E">
            <w:pPr>
              <w:spacing w:before="60" w:after="60"/>
            </w:pPr>
          </w:p>
        </w:tc>
        <w:tc>
          <w:tcPr>
            <w:tcW w:w="6372" w:type="dxa"/>
          </w:tcPr>
          <w:p w14:paraId="0076724C" w14:textId="77777777" w:rsidR="00526B66" w:rsidRDefault="00526B66" w:rsidP="00D7295E"/>
        </w:tc>
      </w:tr>
    </w:tbl>
    <w:p w14:paraId="66633057" w14:textId="64545F72" w:rsidR="00B83E32" w:rsidRDefault="00C20268" w:rsidP="00B83E32">
      <w:pPr>
        <w:spacing w:before="100" w:beforeAutospacing="1" w:after="100" w:afterAutospacing="1"/>
        <w:rPr>
          <w:rStyle w:val="af2"/>
        </w:rPr>
      </w:pPr>
      <w:r w:rsidRPr="00201816">
        <w:rPr>
          <w:rStyle w:val="af2"/>
        </w:rPr>
        <w:t>Question 2.1-</w:t>
      </w:r>
      <w:r>
        <w:rPr>
          <w:rStyle w:val="af2"/>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lastRenderedPageBreak/>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r>
              <w:rPr>
                <w:rFonts w:eastAsia="DengXian"/>
                <w:lang w:eastAsia="zh-CN"/>
              </w:rPr>
              <w:t>Futurewei</w:t>
            </w:r>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r w:rsidRPr="005956AF">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We believe this can be discussed further during the SI to help develop a common RAN2 understanding, and then the detail of the signalling can be finalized in the normative phase.</w:t>
            </w:r>
          </w:p>
        </w:tc>
      </w:tr>
      <w:tr w:rsidR="00AD1C9E" w14:paraId="6CEA742C" w14:textId="77777777" w:rsidTr="00CB1B51">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CB1B51">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Not clear that anything more than capabilities signalling is needed, and that should be determined at a later stage</w:t>
            </w:r>
          </w:p>
        </w:tc>
      </w:tr>
      <w:tr w:rsidR="00DF67BB" w14:paraId="33C14413" w14:textId="77777777" w:rsidTr="00251C96">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 xml:space="preserve">it is used only for access </w:t>
            </w:r>
            <w:r>
              <w:rPr>
                <w:rFonts w:eastAsia="Yu Mincho"/>
                <w:lang w:eastAsia="ja-JP"/>
              </w:rPr>
              <w:lastRenderedPageBreak/>
              <w:t>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251C96">
        <w:tc>
          <w:tcPr>
            <w:tcW w:w="1460" w:type="dxa"/>
            <w:vAlign w:val="center"/>
          </w:tcPr>
          <w:p w14:paraId="1F9D3880" w14:textId="18365B14" w:rsidR="00D7295E" w:rsidRDefault="00D7295E" w:rsidP="00D7295E">
            <w:pPr>
              <w:spacing w:before="60" w:after="60"/>
              <w:rPr>
                <w:rFonts w:eastAsia="Yu Mincho"/>
                <w:lang w:eastAsia="ja-JP"/>
              </w:rPr>
            </w:pPr>
            <w:r>
              <w:rPr>
                <w:rFonts w:eastAsia="DengXian"/>
                <w:lang w:eastAsia="zh-CN"/>
              </w:rPr>
              <w:lastRenderedPageBreak/>
              <w:t>Samsung</w:t>
            </w:r>
          </w:p>
        </w:tc>
        <w:tc>
          <w:tcPr>
            <w:tcW w:w="1527" w:type="dxa"/>
          </w:tcPr>
          <w:p w14:paraId="6D8D4D4E" w14:textId="7850C2A3" w:rsidR="00D7295E" w:rsidRDefault="00D7295E" w:rsidP="00D7295E">
            <w:pPr>
              <w:spacing w:before="60" w:after="60"/>
              <w:rPr>
                <w:rFonts w:eastAsia="Yu Mincho"/>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CB1B51">
        <w:tc>
          <w:tcPr>
            <w:tcW w:w="1460" w:type="dxa"/>
          </w:tcPr>
          <w:p w14:paraId="34CA0B3F" w14:textId="23695D17" w:rsidR="00D7295E" w:rsidRDefault="00B7041E" w:rsidP="00D7295E">
            <w:pPr>
              <w:spacing w:before="60" w:after="60"/>
              <w:rPr>
                <w:rFonts w:hint="eastAsia"/>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DengXian"/>
                <w:lang w:eastAsia="zh-CN"/>
              </w:rPr>
            </w:pPr>
            <w:r>
              <w:rPr>
                <w:rFonts w:eastAsia="DengXian"/>
                <w:lang w:eastAsia="zh-CN"/>
              </w:rPr>
              <w:t>see our comments to the previous question</w:t>
            </w:r>
          </w:p>
        </w:tc>
        <w:tc>
          <w:tcPr>
            <w:tcW w:w="6372" w:type="dxa"/>
          </w:tcPr>
          <w:p w14:paraId="134FB2A0" w14:textId="77777777" w:rsidR="00D7295E" w:rsidRDefault="00D7295E" w:rsidP="00D7295E"/>
        </w:tc>
      </w:tr>
      <w:tr w:rsidR="00B7041E" w14:paraId="2394ED89" w14:textId="77777777" w:rsidTr="00CB1B51">
        <w:tc>
          <w:tcPr>
            <w:tcW w:w="1460" w:type="dxa"/>
          </w:tcPr>
          <w:p w14:paraId="1C550235" w14:textId="77777777" w:rsidR="00B7041E" w:rsidRDefault="00B7041E" w:rsidP="00D7295E">
            <w:pPr>
              <w:spacing w:before="60" w:after="60"/>
            </w:pPr>
          </w:p>
        </w:tc>
        <w:tc>
          <w:tcPr>
            <w:tcW w:w="1527" w:type="dxa"/>
          </w:tcPr>
          <w:p w14:paraId="04426A7F" w14:textId="77777777" w:rsidR="00B7041E" w:rsidRDefault="00B7041E" w:rsidP="00D7295E">
            <w:pPr>
              <w:spacing w:before="60" w:after="60"/>
              <w:rPr>
                <w:rFonts w:eastAsia="DengXian"/>
                <w:lang w:eastAsia="zh-CN"/>
              </w:rPr>
            </w:pPr>
          </w:p>
        </w:tc>
        <w:tc>
          <w:tcPr>
            <w:tcW w:w="6372" w:type="dxa"/>
          </w:tcPr>
          <w:p w14:paraId="02FC494E" w14:textId="77777777" w:rsidR="00B7041E" w:rsidRDefault="00B7041E" w:rsidP="00D7295E"/>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2"/>
        </w:rPr>
      </w:pPr>
      <w:r>
        <w:rPr>
          <w:rStyle w:val="af2"/>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lastRenderedPageBreak/>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r>
              <w:rPr>
                <w:rFonts w:eastAsia="DengXian"/>
                <w:lang w:eastAsia="zh-CN"/>
              </w:rPr>
              <w:t>Futurewei</w:t>
            </w:r>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r w:rsidRPr="00DC5532">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F47D4A">
        <w:tc>
          <w:tcPr>
            <w:tcW w:w="1460" w:type="dxa"/>
            <w:vAlign w:val="center"/>
          </w:tcPr>
          <w:p w14:paraId="5097AC9D"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F47D4A">
            <w:r>
              <w:t xml:space="preserve">In addition, we think NAS signaling can also contribute to this, during registration. </w:t>
            </w:r>
          </w:p>
        </w:tc>
      </w:tr>
      <w:tr w:rsidR="00AD1C9E" w14:paraId="607D79D2" w14:textId="77777777" w:rsidTr="008050C2">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D6565E">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406FC7">
        <w:tc>
          <w:tcPr>
            <w:tcW w:w="1460" w:type="dxa"/>
            <w:vAlign w:val="center"/>
          </w:tcPr>
          <w:p w14:paraId="1C28E738" w14:textId="071EEAF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8050C2">
        <w:tc>
          <w:tcPr>
            <w:tcW w:w="1460" w:type="dxa"/>
          </w:tcPr>
          <w:p w14:paraId="5EFA93E1" w14:textId="031D460F" w:rsidR="00D7295E" w:rsidRDefault="00F225B6" w:rsidP="00D7295E">
            <w:pPr>
              <w:spacing w:before="60" w:after="60"/>
              <w:rPr>
                <w:rFonts w:hint="eastAsia"/>
                <w:lang w:eastAsia="zh-CN"/>
              </w:rPr>
            </w:pPr>
            <w:r>
              <w:rPr>
                <w:rFonts w:hint="eastAsia"/>
                <w:lang w:eastAsia="zh-CN"/>
              </w:rPr>
              <w:t>CATT</w:t>
            </w:r>
          </w:p>
        </w:tc>
        <w:tc>
          <w:tcPr>
            <w:tcW w:w="1527" w:type="dxa"/>
          </w:tcPr>
          <w:p w14:paraId="4E0819C5" w14:textId="15156845" w:rsidR="00D7295E" w:rsidRDefault="00F225B6" w:rsidP="00D7295E">
            <w:pPr>
              <w:spacing w:before="60" w:after="60"/>
              <w:rPr>
                <w:rFonts w:hint="eastAsia"/>
                <w:lang w:eastAsia="zh-CN"/>
              </w:rPr>
            </w:pPr>
            <w:r>
              <w:rPr>
                <w:rFonts w:hint="eastAsia"/>
                <w:lang w:eastAsia="zh-CN"/>
              </w:rPr>
              <w:t>Agree</w:t>
            </w:r>
          </w:p>
        </w:tc>
        <w:tc>
          <w:tcPr>
            <w:tcW w:w="6372" w:type="dxa"/>
          </w:tcPr>
          <w:p w14:paraId="27D17E26" w14:textId="074690D4" w:rsidR="00D7295E" w:rsidRDefault="00F225B6" w:rsidP="00D7295E">
            <w:pPr>
              <w:rPr>
                <w:rFonts w:hint="eastAsia"/>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F225B6" w14:paraId="2563DCE0" w14:textId="77777777" w:rsidTr="008050C2">
        <w:tc>
          <w:tcPr>
            <w:tcW w:w="1460" w:type="dxa"/>
          </w:tcPr>
          <w:p w14:paraId="31DB78CC" w14:textId="77777777" w:rsidR="00F225B6" w:rsidRDefault="00F225B6" w:rsidP="00D7295E">
            <w:pPr>
              <w:spacing w:before="60" w:after="60"/>
            </w:pPr>
          </w:p>
        </w:tc>
        <w:tc>
          <w:tcPr>
            <w:tcW w:w="1527" w:type="dxa"/>
          </w:tcPr>
          <w:p w14:paraId="4BB5EBD2" w14:textId="77777777" w:rsidR="00F225B6" w:rsidRDefault="00F225B6" w:rsidP="00D7295E">
            <w:pPr>
              <w:spacing w:before="60" w:after="60"/>
            </w:pPr>
          </w:p>
        </w:tc>
        <w:tc>
          <w:tcPr>
            <w:tcW w:w="6372" w:type="dxa"/>
          </w:tcPr>
          <w:p w14:paraId="1D24BC98" w14:textId="77777777" w:rsidR="00F225B6" w:rsidRDefault="00F225B6" w:rsidP="00D7295E"/>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lastRenderedPageBreak/>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r>
              <w:rPr>
                <w:rFonts w:eastAsia="DengXian"/>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r w:rsidRPr="00A45784">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F47D4A">
        <w:tc>
          <w:tcPr>
            <w:tcW w:w="1460" w:type="dxa"/>
            <w:vAlign w:val="center"/>
          </w:tcPr>
          <w:p w14:paraId="04D361C1" w14:textId="77777777" w:rsidR="00AD1C9E" w:rsidRDefault="00AD1C9E" w:rsidP="00F47D4A">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F47D4A">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9F5987">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81496">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81496">
        <w:tc>
          <w:tcPr>
            <w:tcW w:w="1460" w:type="dxa"/>
            <w:vAlign w:val="center"/>
          </w:tcPr>
          <w:p w14:paraId="1EC66569" w14:textId="1678026D" w:rsidR="00D7295E" w:rsidRDefault="00D7295E" w:rsidP="00D7295E">
            <w:pPr>
              <w:spacing w:before="60" w:after="60"/>
              <w:rPr>
                <w:rFonts w:eastAsia="Yu Mincho"/>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9F5987">
        <w:tc>
          <w:tcPr>
            <w:tcW w:w="1460" w:type="dxa"/>
          </w:tcPr>
          <w:p w14:paraId="48764867" w14:textId="5D9DC47D" w:rsidR="00D7295E" w:rsidRDefault="00E56F88" w:rsidP="00D7295E">
            <w:pPr>
              <w:spacing w:before="60" w:after="60"/>
              <w:rPr>
                <w:rFonts w:hint="eastAsia"/>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rFonts w:hint="eastAsia"/>
                <w:lang w:eastAsia="zh-CN"/>
              </w:rPr>
            </w:pPr>
            <w:r>
              <w:rPr>
                <w:rFonts w:hint="eastAsia"/>
                <w:lang w:eastAsia="zh-CN"/>
              </w:rPr>
              <w:t xml:space="preserve">Option 1 and 2 can both be considered. </w:t>
            </w:r>
            <w:bookmarkStart w:id="2" w:name="_GoBack"/>
            <w:bookmarkEnd w:id="2"/>
          </w:p>
        </w:tc>
      </w:tr>
      <w:tr w:rsidR="00E56F88" w14:paraId="79160A80" w14:textId="77777777" w:rsidTr="009F5987">
        <w:tc>
          <w:tcPr>
            <w:tcW w:w="1460" w:type="dxa"/>
          </w:tcPr>
          <w:p w14:paraId="30026167" w14:textId="77777777" w:rsidR="00E56F88" w:rsidRDefault="00E56F88" w:rsidP="00D7295E">
            <w:pPr>
              <w:spacing w:before="60" w:after="60"/>
            </w:pPr>
          </w:p>
        </w:tc>
        <w:tc>
          <w:tcPr>
            <w:tcW w:w="7877" w:type="dxa"/>
            <w:gridSpan w:val="2"/>
          </w:tcPr>
          <w:p w14:paraId="665F8249" w14:textId="77777777" w:rsidR="00E56F88" w:rsidRDefault="00E56F88" w:rsidP="00D7295E">
            <w:pPr>
              <w:spacing w:before="60" w:after="60"/>
            </w:pP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2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6E2CB" w14:textId="77777777" w:rsidR="001C1E4E" w:rsidRDefault="001C1E4E" w:rsidP="000830F2">
      <w:pPr>
        <w:spacing w:after="0"/>
      </w:pPr>
      <w:r>
        <w:separator/>
      </w:r>
    </w:p>
  </w:endnote>
  <w:endnote w:type="continuationSeparator" w:id="0">
    <w:p w14:paraId="7A1E0C34" w14:textId="77777777" w:rsidR="001C1E4E" w:rsidRDefault="001C1E4E"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DengXian">
    <w:altName w:val="宋体"/>
    <w:charset w:val="86"/>
    <w:family w:val="auto"/>
    <w:pitch w:val="variable"/>
    <w:sig w:usb0="A00002BF" w:usb1="38CF7CFA" w:usb2="00000016" w:usb3="00000000" w:csb0="0004000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2BEA" w14:textId="77777777" w:rsidR="00B4197F" w:rsidRDefault="00B4197F">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9495" w14:textId="77777777" w:rsidR="001C1E4E" w:rsidRDefault="001C1E4E" w:rsidP="000830F2">
      <w:pPr>
        <w:spacing w:after="0"/>
      </w:pPr>
      <w:r>
        <w:separator/>
      </w:r>
    </w:p>
  </w:footnote>
  <w:footnote w:type="continuationSeparator" w:id="0">
    <w:p w14:paraId="30A714AA" w14:textId="77777777" w:rsidR="001C1E4E" w:rsidRDefault="001C1E4E"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styleId="af2">
    <w:name w:val="Strong"/>
    <w:basedOn w:val="a1"/>
    <w:uiPriority w:val="22"/>
    <w:qFormat/>
    <w:rsid w:val="00B83E32"/>
    <w:rPr>
      <w:b/>
      <w:bCs/>
    </w:rPr>
  </w:style>
  <w:style w:type="character" w:customStyle="1" w:styleId="UnresolvedMention">
    <w:name w:val="Unresolved Mention"/>
    <w:basedOn w:val="a1"/>
    <w:uiPriority w:val="99"/>
    <w:semiHidden/>
    <w:unhideWhenUsed/>
    <w:rsid w:val="00CB2F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styleId="af2">
    <w:name w:val="Strong"/>
    <w:basedOn w:val="a1"/>
    <w:uiPriority w:val="22"/>
    <w:qFormat/>
    <w:rsid w:val="00B83E32"/>
    <w:rPr>
      <w:b/>
      <w:bCs/>
    </w:rPr>
  </w:style>
  <w:style w:type="character" w:customStyle="1" w:styleId="UnresolvedMention">
    <w:name w:val="Unresolved Mention"/>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6751-redcap-capabilty-framework.docx" TargetMode="External"/><Relationship Id="rId18" Type="http://schemas.openxmlformats.org/officeDocument/2006/relationships/hyperlink" Target="mailto:noam.cayron@sequans.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hao.bi@futurewei.com" TargetMode="External"/><Relationship Id="rId2" Type="http://schemas.openxmlformats.org/officeDocument/2006/relationships/customXml" Target="../customXml/item1.xml"/><Relationship Id="rId16" Type="http://schemas.openxmlformats.org/officeDocument/2006/relationships/hyperlink" Target="mailto:email@address.co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10" Type="http://schemas.openxmlformats.org/officeDocument/2006/relationships/webSettings" Target="webSettings.xml"/><Relationship Id="rId19" Type="http://schemas.openxmlformats.org/officeDocument/2006/relationships/hyperlink" Target="file:///C:\Data\3GPP\Extracts\R2-2006751-redcap-capabilty-framework.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4934</Words>
  <Characters>28127</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32996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8</cp:revision>
  <dcterms:created xsi:type="dcterms:W3CDTF">2020-08-24T02:22:00Z</dcterms:created>
  <dcterms:modified xsi:type="dcterms:W3CDTF">2020-08-24T02:33:00Z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D:\Archives\BizTrip\202008.TSGR2_111-e\Drafts\[Offline-109][REDCAP] Reduced capability signalling framework (Intel)\R2-200xxxx Summary of 109 Reduced Cap signalling framework_v9_NEC.docx</vt:lpwstr>
  </property>
</Properties>
</file>