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54E10D64" w14:textId="221683E2" w:rsidR="005475B9" w:rsidRDefault="0061683F" w:rsidP="005475B9">
            <w:pPr>
              <w:pStyle w:val="BodyText"/>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p>
        </w:tc>
      </w:tr>
      <w:tr w:rsidR="00F978FF" w14:paraId="1C6EC55C" w14:textId="77777777" w:rsidTr="005A3EE6">
        <w:tc>
          <w:tcPr>
            <w:tcW w:w="2405" w:type="dxa"/>
          </w:tcPr>
          <w:p w14:paraId="222CAFF0" w14:textId="19BF45F1" w:rsidR="00F978FF" w:rsidRDefault="00F978FF" w:rsidP="005475B9">
            <w:pPr>
              <w:pStyle w:val="BodyText"/>
            </w:pPr>
            <w:r>
              <w:t>Apple</w:t>
            </w:r>
          </w:p>
        </w:tc>
        <w:tc>
          <w:tcPr>
            <w:tcW w:w="7460" w:type="dxa"/>
          </w:tcPr>
          <w:p w14:paraId="276658F0" w14:textId="38AB241E" w:rsidR="00F978FF" w:rsidRDefault="00F978FF" w:rsidP="005475B9">
            <w:pPr>
              <w:pStyle w:val="BodyText"/>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bl>
    <w:p w14:paraId="3E15CC9A" w14:textId="51E5584B"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6DC49DEA"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Pr>
      </w:pPr>
    </w:p>
    <w:p w14:paraId="78975ECA" w14:textId="367406FD" w:rsidR="00373DAE" w:rsidRDefault="00AE3CEB" w:rsidP="00F63950">
      <w:pPr>
        <w:pStyle w:val="Heading2"/>
      </w:pPr>
      <w:r>
        <w:lastRenderedPageBreak/>
        <w:t xml:space="preserve"> </w:t>
      </w:r>
    </w:p>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t xml:space="preserve">This study also has close relation with other R17 SI/Wis, such as power saving. Hence, extending its scope without approval from RAN is not recommended. </w:t>
            </w:r>
          </w:p>
        </w:tc>
      </w:tr>
      <w:tr w:rsidR="00F978FF" w14:paraId="45310283" w14:textId="77777777" w:rsidTr="00084917">
        <w:tc>
          <w:tcPr>
            <w:tcW w:w="2405" w:type="dxa"/>
          </w:tcPr>
          <w:p w14:paraId="401DEF25" w14:textId="08341B50" w:rsidR="00F978FF" w:rsidRPr="000D4239" w:rsidRDefault="00F978FF" w:rsidP="005475B9">
            <w:pPr>
              <w:pStyle w:val="BodyText"/>
            </w:pPr>
            <w:r>
              <w:t>Apple</w:t>
            </w:r>
          </w:p>
        </w:tc>
        <w:tc>
          <w:tcPr>
            <w:tcW w:w="1134" w:type="dxa"/>
          </w:tcPr>
          <w:p w14:paraId="576C3369" w14:textId="2DA9B34F" w:rsidR="00F978FF" w:rsidRPr="000D4239" w:rsidRDefault="00F978FF" w:rsidP="005475B9">
            <w:pPr>
              <w:pStyle w:val="BodyText"/>
            </w:pPr>
            <w:r>
              <w:t>No</w:t>
            </w:r>
          </w:p>
        </w:tc>
        <w:tc>
          <w:tcPr>
            <w:tcW w:w="6090" w:type="dxa"/>
          </w:tcPr>
          <w:p w14:paraId="6CFD1C3B" w14:textId="491D8282" w:rsidR="00F978FF" w:rsidRDefault="00F978FF" w:rsidP="005475B9">
            <w:pPr>
              <w:pStyle w:val="BodyText"/>
            </w:pPr>
            <w:r>
              <w:t>C-DRX should also be considered for power-saving. The RedCap UEs should also benifit from power-saving in connected mode.</w:t>
            </w: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w:t>
      </w:r>
      <w:r w:rsidR="004D3E0F">
        <w:lastRenderedPageBreak/>
        <w:t xml:space="preserve">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F978FF" w:rsidRPr="00E86BD8" w14:paraId="6A5C6BB6" w14:textId="77777777" w:rsidTr="00C27281">
        <w:tc>
          <w:tcPr>
            <w:tcW w:w="1597" w:type="dxa"/>
          </w:tcPr>
          <w:p w14:paraId="4761713B" w14:textId="002462E4" w:rsidR="00F978FF" w:rsidRPr="00E86BD8" w:rsidRDefault="00F978FF" w:rsidP="005475B9">
            <w:pPr>
              <w:pStyle w:val="BodyText"/>
            </w:pPr>
            <w:r>
              <w:t>Apple</w:t>
            </w:r>
          </w:p>
        </w:tc>
        <w:tc>
          <w:tcPr>
            <w:tcW w:w="2161" w:type="dxa"/>
          </w:tcPr>
          <w:p w14:paraId="0041B057" w14:textId="0BD57379" w:rsidR="00F978FF" w:rsidRPr="00E86BD8" w:rsidRDefault="00F978FF" w:rsidP="005475B9">
            <w:pPr>
              <w:pStyle w:val="BodyText"/>
            </w:pPr>
            <w:r>
              <w:t xml:space="preserve">Both </w:t>
            </w:r>
          </w:p>
        </w:tc>
        <w:tc>
          <w:tcPr>
            <w:tcW w:w="1624" w:type="dxa"/>
          </w:tcPr>
          <w:p w14:paraId="7316AD27" w14:textId="144D2502" w:rsidR="00F978FF" w:rsidRPr="00E86BD8" w:rsidRDefault="00F978FF" w:rsidP="005475B9">
            <w:pPr>
              <w:pStyle w:val="BodyText"/>
            </w:pPr>
            <w:r>
              <w:t>All states</w:t>
            </w:r>
          </w:p>
        </w:tc>
        <w:tc>
          <w:tcPr>
            <w:tcW w:w="4247" w:type="dxa"/>
          </w:tcPr>
          <w:p w14:paraId="47FDB02C" w14:textId="77777777" w:rsidR="00F978FF" w:rsidRPr="00E86BD8" w:rsidRDefault="00F978FF" w:rsidP="00E86BD8">
            <w:pPr>
              <w:pStyle w:val="BodyText"/>
              <w:jc w:val="left"/>
            </w:pP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084917">
        <w:tc>
          <w:tcPr>
            <w:tcW w:w="2405"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134" w:type="dxa"/>
          </w:tcPr>
          <w:p w14:paraId="27FA29EB" w14:textId="0DBB4EFF" w:rsidR="00E528F9" w:rsidRPr="002760F6" w:rsidRDefault="00124235" w:rsidP="00084917">
            <w:pPr>
              <w:pStyle w:val="BodyText"/>
              <w:rPr>
                <w:sz w:val="20"/>
                <w:szCs w:val="20"/>
              </w:rPr>
            </w:pPr>
            <w:r>
              <w:rPr>
                <w:sz w:val="20"/>
                <w:szCs w:val="20"/>
              </w:rPr>
              <w:t>Yes</w:t>
            </w:r>
          </w:p>
        </w:tc>
        <w:tc>
          <w:tcPr>
            <w:tcW w:w="6090"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084917">
        <w:tc>
          <w:tcPr>
            <w:tcW w:w="2405"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134"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90"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084917">
        <w:tc>
          <w:tcPr>
            <w:tcW w:w="2405"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90"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084917">
        <w:tc>
          <w:tcPr>
            <w:tcW w:w="2405" w:type="dxa"/>
          </w:tcPr>
          <w:p w14:paraId="519BC134" w14:textId="19CBD719" w:rsidR="005475B9" w:rsidRPr="00AA496B" w:rsidRDefault="00AA496B" w:rsidP="005475B9">
            <w:pPr>
              <w:pStyle w:val="BodyText"/>
              <w:rPr>
                <w:sz w:val="20"/>
                <w:szCs w:val="20"/>
              </w:rPr>
            </w:pPr>
            <w:r w:rsidRPr="00AA496B">
              <w:rPr>
                <w:sz w:val="20"/>
                <w:szCs w:val="20"/>
              </w:rPr>
              <w:lastRenderedPageBreak/>
              <w:t>Ericsson</w:t>
            </w:r>
          </w:p>
        </w:tc>
        <w:tc>
          <w:tcPr>
            <w:tcW w:w="1134"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90"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084917">
        <w:tc>
          <w:tcPr>
            <w:tcW w:w="2405"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134"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90"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r w:rsidR="00384B49" w14:paraId="1F0C1ECD" w14:textId="77777777" w:rsidTr="00084917">
        <w:tc>
          <w:tcPr>
            <w:tcW w:w="2405" w:type="dxa"/>
          </w:tcPr>
          <w:p w14:paraId="2DC76A27" w14:textId="6E55BB42" w:rsidR="00384B49" w:rsidRPr="008317CB" w:rsidRDefault="00384B49" w:rsidP="001B7966">
            <w:pPr>
              <w:pStyle w:val="BodyText"/>
            </w:pPr>
            <w:r>
              <w:t>Apple</w:t>
            </w:r>
          </w:p>
        </w:tc>
        <w:tc>
          <w:tcPr>
            <w:tcW w:w="1134" w:type="dxa"/>
          </w:tcPr>
          <w:p w14:paraId="56402B8A" w14:textId="2FE1FBB5" w:rsidR="00384B49" w:rsidRPr="008317CB" w:rsidRDefault="00384B49" w:rsidP="001B7966">
            <w:pPr>
              <w:pStyle w:val="BodyText"/>
            </w:pPr>
            <w:r>
              <w:t>Yes</w:t>
            </w:r>
          </w:p>
        </w:tc>
        <w:tc>
          <w:tcPr>
            <w:tcW w:w="6090" w:type="dxa"/>
          </w:tcPr>
          <w:p w14:paraId="7CC707C4" w14:textId="3FA3BCB6" w:rsidR="00384B49" w:rsidRDefault="00384B49" w:rsidP="001B7966">
            <w:pPr>
              <w:pStyle w:val="BodyText"/>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64BCCCF1" w14:textId="77777777" w:rsidR="00384B49" w:rsidRDefault="00384B49" w:rsidP="001B7966">
            <w:pPr>
              <w:pStyle w:val="BodyText"/>
            </w:pPr>
          </w:p>
          <w:p w14:paraId="76D33102" w14:textId="2D3ABE1A" w:rsidR="00384B49" w:rsidRPr="008317CB" w:rsidRDefault="00384B49" w:rsidP="001B7966">
            <w:pPr>
              <w:pStyle w:val="BodyText"/>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084917">
        <w:tc>
          <w:tcPr>
            <w:tcW w:w="2405"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134" w:type="dxa"/>
          </w:tcPr>
          <w:p w14:paraId="17218114" w14:textId="7951094F" w:rsidR="00E528F9" w:rsidRPr="00C84F90" w:rsidRDefault="000E49E3" w:rsidP="00084917">
            <w:pPr>
              <w:pStyle w:val="BodyText"/>
              <w:rPr>
                <w:sz w:val="20"/>
                <w:szCs w:val="20"/>
              </w:rPr>
            </w:pPr>
            <w:r>
              <w:rPr>
                <w:sz w:val="20"/>
                <w:szCs w:val="20"/>
              </w:rPr>
              <w:t>No</w:t>
            </w:r>
          </w:p>
        </w:tc>
        <w:tc>
          <w:tcPr>
            <w:tcW w:w="6090"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084917">
        <w:tc>
          <w:tcPr>
            <w:tcW w:w="2405"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134"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90"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084917">
        <w:tc>
          <w:tcPr>
            <w:tcW w:w="2405"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134"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90"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084917">
        <w:tc>
          <w:tcPr>
            <w:tcW w:w="2405"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134" w:type="dxa"/>
          </w:tcPr>
          <w:p w14:paraId="178B350B" w14:textId="602BCBAA" w:rsidR="005475B9" w:rsidRPr="00AA496B" w:rsidRDefault="00DD27F6" w:rsidP="005475B9">
            <w:pPr>
              <w:pStyle w:val="BodyText"/>
              <w:rPr>
                <w:sz w:val="20"/>
                <w:szCs w:val="20"/>
              </w:rPr>
            </w:pPr>
            <w:r>
              <w:rPr>
                <w:sz w:val="20"/>
                <w:szCs w:val="20"/>
              </w:rPr>
              <w:t>-</w:t>
            </w:r>
          </w:p>
        </w:tc>
        <w:tc>
          <w:tcPr>
            <w:tcW w:w="6090"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084917">
        <w:tc>
          <w:tcPr>
            <w:tcW w:w="2405" w:type="dxa"/>
          </w:tcPr>
          <w:p w14:paraId="736880F9" w14:textId="18626406" w:rsidR="007248B9" w:rsidRPr="00AE3CEB" w:rsidRDefault="007248B9" w:rsidP="007248B9">
            <w:pPr>
              <w:pStyle w:val="BodyText"/>
              <w:rPr>
                <w:b/>
                <w:bCs/>
                <w:sz w:val="20"/>
                <w:szCs w:val="20"/>
              </w:rPr>
            </w:pPr>
            <w:r w:rsidRPr="008317CB">
              <w:rPr>
                <w:sz w:val="20"/>
                <w:szCs w:val="20"/>
              </w:rPr>
              <w:t>Futurewei</w:t>
            </w:r>
          </w:p>
        </w:tc>
        <w:tc>
          <w:tcPr>
            <w:tcW w:w="1134"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90"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r w:rsidR="00384B49" w14:paraId="787E9F76" w14:textId="77777777" w:rsidTr="00084917">
        <w:tc>
          <w:tcPr>
            <w:tcW w:w="2405" w:type="dxa"/>
          </w:tcPr>
          <w:p w14:paraId="10053A86" w14:textId="3279AD39" w:rsidR="00384B49" w:rsidRPr="008317CB" w:rsidRDefault="00384B49" w:rsidP="007248B9">
            <w:pPr>
              <w:pStyle w:val="BodyText"/>
            </w:pPr>
            <w:r>
              <w:t>Apple</w:t>
            </w:r>
          </w:p>
        </w:tc>
        <w:tc>
          <w:tcPr>
            <w:tcW w:w="1134" w:type="dxa"/>
          </w:tcPr>
          <w:p w14:paraId="33A2D3DD" w14:textId="2609EC2A" w:rsidR="00384B49" w:rsidRPr="008317CB" w:rsidRDefault="00384B49" w:rsidP="007248B9">
            <w:pPr>
              <w:pStyle w:val="BodyText"/>
            </w:pPr>
            <w:r>
              <w:t>??</w:t>
            </w:r>
          </w:p>
        </w:tc>
        <w:tc>
          <w:tcPr>
            <w:tcW w:w="6090" w:type="dxa"/>
          </w:tcPr>
          <w:p w14:paraId="08A68D12" w14:textId="60F714AE" w:rsidR="00384B49" w:rsidRPr="008317CB" w:rsidRDefault="00384B49" w:rsidP="007248B9">
            <w:pPr>
              <w:pStyle w:val="BodyText"/>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bl>
    <w:p w14:paraId="6DFF43E4" w14:textId="76574229" w:rsidR="00E528F9" w:rsidRDefault="00E528F9" w:rsidP="00406AF2">
      <w:pPr>
        <w:pStyle w:val="BodyText"/>
        <w:rPr>
          <w:rFonts w:eastAsia="SimSun"/>
          <w:b/>
          <w:bCs/>
          <w:lang w:val="en-US"/>
        </w:rPr>
      </w:pPr>
    </w:p>
    <w:p w14:paraId="0C922638" w14:textId="227DEB9C"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lastRenderedPageBreak/>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2F03EB6"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E25E023" w:rsidR="005475B9" w:rsidRPr="006E52DE" w:rsidRDefault="00F806C3" w:rsidP="005475B9">
            <w:pPr>
              <w:pStyle w:val="BodyText"/>
              <w:rPr>
                <w:b/>
                <w:bCs/>
                <w:sz w:val="20"/>
                <w:szCs w:val="20"/>
              </w:rPr>
            </w:pPr>
            <w:r w:rsidRPr="006E52DE">
              <w:rPr>
                <w:sz w:val="20"/>
                <w:szCs w:val="20"/>
              </w:rPr>
              <w:t>Note that CT/SA must be involved for the part on "</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r w:rsidR="00384B49" w14:paraId="5066D21C" w14:textId="77777777" w:rsidTr="00084917">
        <w:tc>
          <w:tcPr>
            <w:tcW w:w="2405" w:type="dxa"/>
          </w:tcPr>
          <w:p w14:paraId="248CDBAD" w14:textId="027D739C" w:rsidR="00384B49" w:rsidRPr="008317CB" w:rsidRDefault="00384B49" w:rsidP="00FD2A50">
            <w:pPr>
              <w:pStyle w:val="BodyText"/>
            </w:pPr>
            <w:r>
              <w:t>Apple</w:t>
            </w:r>
          </w:p>
        </w:tc>
        <w:tc>
          <w:tcPr>
            <w:tcW w:w="1134" w:type="dxa"/>
          </w:tcPr>
          <w:p w14:paraId="4AD43B9C" w14:textId="574A1B04" w:rsidR="00384B49" w:rsidRPr="008317CB" w:rsidRDefault="00384B49" w:rsidP="00FD2A50">
            <w:pPr>
              <w:pStyle w:val="BodyText"/>
            </w:pPr>
            <w:r>
              <w:t>Yes</w:t>
            </w:r>
            <w:r w:rsidR="00F01BA6">
              <w:t>, but</w:t>
            </w:r>
            <w:r w:rsidR="0070639F">
              <w:t>sssss</w:t>
            </w:r>
          </w:p>
        </w:tc>
        <w:tc>
          <w:tcPr>
            <w:tcW w:w="6090" w:type="dxa"/>
          </w:tcPr>
          <w:p w14:paraId="4AFFBF9D" w14:textId="254800F1" w:rsidR="00384B49" w:rsidRPr="008317CB" w:rsidRDefault="00384B49" w:rsidP="00FD2A50">
            <w:pPr>
              <w:pStyle w:val="BodyText"/>
            </w:pPr>
            <w:r>
              <w:t xml:space="preserve">Yes to discuss, but ensuring RedCap UEs are used for intended purposes is something that can be taken care of by CT (NAS signaling). </w:t>
            </w: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35D3AE59"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5475B9" w14:paraId="19E04F52" w14:textId="77777777" w:rsidTr="00084917">
        <w:tc>
          <w:tcPr>
            <w:tcW w:w="2405" w:type="dxa"/>
          </w:tcPr>
          <w:p w14:paraId="5026B822" w14:textId="65558AF5" w:rsidR="005475B9" w:rsidRPr="00F01BA6" w:rsidRDefault="00F01BA6" w:rsidP="005475B9">
            <w:pPr>
              <w:pStyle w:val="BodyText"/>
              <w:rPr>
                <w:sz w:val="20"/>
                <w:szCs w:val="20"/>
              </w:rPr>
            </w:pPr>
            <w:r w:rsidRPr="00F01BA6">
              <w:rPr>
                <w:sz w:val="20"/>
                <w:szCs w:val="20"/>
              </w:rPr>
              <w:t>Apple</w:t>
            </w:r>
          </w:p>
        </w:tc>
        <w:tc>
          <w:tcPr>
            <w:tcW w:w="1134" w:type="dxa"/>
          </w:tcPr>
          <w:p w14:paraId="7872D8A6" w14:textId="75BC8951" w:rsidR="005475B9" w:rsidRPr="00F01BA6" w:rsidRDefault="00F01BA6" w:rsidP="005475B9">
            <w:pPr>
              <w:pStyle w:val="BodyText"/>
              <w:rPr>
                <w:sz w:val="20"/>
                <w:szCs w:val="20"/>
              </w:rPr>
            </w:pPr>
            <w:r w:rsidRPr="00F01BA6">
              <w:rPr>
                <w:sz w:val="20"/>
                <w:szCs w:val="20"/>
              </w:rPr>
              <w:t>Yes</w:t>
            </w:r>
            <w:r>
              <w:rPr>
                <w:sz w:val="20"/>
                <w:szCs w:val="20"/>
              </w:rPr>
              <w:t>, but</w:t>
            </w:r>
          </w:p>
        </w:tc>
        <w:tc>
          <w:tcPr>
            <w:tcW w:w="6090" w:type="dxa"/>
          </w:tcPr>
          <w:p w14:paraId="68EE5283" w14:textId="1E2C1B31" w:rsidR="005475B9" w:rsidRPr="00F01BA6" w:rsidRDefault="00F01BA6" w:rsidP="005475B9">
            <w:pPr>
              <w:pStyle w:val="BodyText"/>
              <w:rPr>
                <w:sz w:val="20"/>
                <w:szCs w:val="20"/>
              </w:rPr>
            </w:pPr>
            <w:r w:rsidRPr="00F01BA6">
              <w:rPr>
                <w:sz w:val="20"/>
                <w:szCs w:val="20"/>
              </w:rPr>
              <w:t xml:space="preserve">Yes to discuss. But we are not keen on identifying mechanisms to idenity RedCap UEs  (they are known anyway with Ue capability). If identification is needed for restricting acces, we do not see the </w:t>
            </w:r>
            <w:r w:rsidRPr="00F01BA6">
              <w:rPr>
                <w:sz w:val="20"/>
                <w:szCs w:val="20"/>
              </w:rPr>
              <w:lastRenderedPageBreak/>
              <w:t>need for the NW to identify before restricting, UAC can just bar without the need for the NW to identify.</w:t>
            </w: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588FDF90" w14:textId="77777777" w:rsidR="00671CC6" w:rsidRDefault="00671CC6" w:rsidP="00222627">
      <w:pPr>
        <w:pStyle w:val="Heading2"/>
      </w:pPr>
    </w:p>
    <w:p w14:paraId="181339FA" w14:textId="08472080"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754197" w14:paraId="02B280A6" w14:textId="77777777" w:rsidTr="009B1700">
        <w:tc>
          <w:tcPr>
            <w:tcW w:w="2405" w:type="dxa"/>
          </w:tcPr>
          <w:p w14:paraId="2851BB30" w14:textId="359E456E" w:rsidR="00754197" w:rsidRPr="0070639F" w:rsidRDefault="0070639F" w:rsidP="009B1700">
            <w:pPr>
              <w:pStyle w:val="BodyText"/>
              <w:rPr>
                <w:sz w:val="20"/>
                <w:szCs w:val="20"/>
              </w:rPr>
            </w:pPr>
            <w:r w:rsidRPr="0070639F">
              <w:rPr>
                <w:sz w:val="20"/>
                <w:szCs w:val="20"/>
              </w:rPr>
              <w:t>Apple</w:t>
            </w:r>
          </w:p>
        </w:tc>
        <w:tc>
          <w:tcPr>
            <w:tcW w:w="1134" w:type="dxa"/>
          </w:tcPr>
          <w:p w14:paraId="6286ED3D" w14:textId="2AFAA17E" w:rsidR="00754197" w:rsidRPr="0070639F" w:rsidRDefault="0070639F" w:rsidP="009B1700">
            <w:pPr>
              <w:pStyle w:val="BodyText"/>
              <w:rPr>
                <w:sz w:val="20"/>
                <w:szCs w:val="20"/>
              </w:rPr>
            </w:pPr>
            <w:r w:rsidRPr="0070639F">
              <w:rPr>
                <w:sz w:val="20"/>
                <w:szCs w:val="20"/>
              </w:rPr>
              <w:t>Partially Yes</w:t>
            </w:r>
          </w:p>
        </w:tc>
        <w:tc>
          <w:tcPr>
            <w:tcW w:w="6090" w:type="dxa"/>
          </w:tcPr>
          <w:p w14:paraId="6D481DF7" w14:textId="30B86618" w:rsidR="00754197" w:rsidRPr="0070639F" w:rsidRDefault="0070639F" w:rsidP="009B1700">
            <w:pPr>
              <w:pStyle w:val="BodyText"/>
              <w:rPr>
                <w:sz w:val="20"/>
                <w:szCs w:val="20"/>
              </w:rPr>
            </w:pPr>
            <w:r w:rsidRPr="0070639F">
              <w:rPr>
                <w:sz w:val="20"/>
                <w:szCs w:val="20"/>
              </w:rPr>
              <w:t>Same view as Futurewei.</w:t>
            </w: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3"/>
      <w:bookmarkEnd w:id="4"/>
      <w:r>
        <w:t xml:space="preserve">, Scope of RedCap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1"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43223857" w:rsidR="00CA6A0D" w:rsidRPr="00CA6A0D" w:rsidRDefault="00CA6A0D" w:rsidP="007C6EF4">
      <w:pPr>
        <w:pStyle w:val="Reference"/>
        <w:numPr>
          <w:ilvl w:val="0"/>
          <w:numId w:val="0"/>
        </w:numPr>
        <w:ind w:left="567" w:hanging="567"/>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0156"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0156"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0156"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CA6A0D" w:rsidRPr="005F0156" w14:paraId="4A7600EA"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398E53DA" w:rsidR="00CA6A0D" w:rsidRDefault="00DA0259" w:rsidP="00CA6A0D">
            <w:pPr>
              <w:jc w:val="center"/>
              <w:rPr>
                <w:lang w:val="de-DE"/>
              </w:rPr>
            </w:pPr>
            <w:r>
              <w:rPr>
                <w:lang w:val="de-DE"/>
              </w:rPr>
              <w:t>Apple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5D471699" w:rsidR="00CA6A0D" w:rsidRDefault="00DA0259" w:rsidP="00CA6A0D">
            <w:pPr>
              <w:jc w:val="center"/>
              <w:rPr>
                <w:sz w:val="22"/>
                <w:szCs w:val="22"/>
                <w:lang w:val="de-DE"/>
              </w:rPr>
            </w:pPr>
            <w:r>
              <w:rPr>
                <w:sz w:val="22"/>
                <w:szCs w:val="22"/>
                <w:lang w:val="de-DE"/>
              </w:rPr>
              <w:t>Naveen Palle  (naveen.palle@apple.com)</w:t>
            </w: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D0149" w14:textId="77777777" w:rsidR="000D07B3" w:rsidRDefault="000D07B3">
      <w:r>
        <w:separator/>
      </w:r>
    </w:p>
  </w:endnote>
  <w:endnote w:type="continuationSeparator" w:id="0">
    <w:p w14:paraId="0ED21D01" w14:textId="77777777" w:rsidR="000D07B3" w:rsidRDefault="000D07B3">
      <w:r>
        <w:continuationSeparator/>
      </w:r>
    </w:p>
  </w:endnote>
  <w:endnote w:type="continuationNotice" w:id="1">
    <w:p w14:paraId="3D725823" w14:textId="77777777" w:rsidR="000D07B3" w:rsidRDefault="000D07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A97F" w14:textId="21FD92E1" w:rsidR="00384B49" w:rsidRDefault="00384B4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8D414" w14:textId="77777777" w:rsidR="000D07B3" w:rsidRDefault="000D07B3">
      <w:r>
        <w:separator/>
      </w:r>
    </w:p>
  </w:footnote>
  <w:footnote w:type="continuationSeparator" w:id="0">
    <w:p w14:paraId="5C56FCFB" w14:textId="77777777" w:rsidR="000D07B3" w:rsidRDefault="000D07B3">
      <w:r>
        <w:continuationSeparator/>
      </w:r>
    </w:p>
  </w:footnote>
  <w:footnote w:type="continuationNotice" w:id="1">
    <w:p w14:paraId="3A4D21D9" w14:textId="77777777" w:rsidR="000D07B3" w:rsidRDefault="000D07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1D0E" w14:textId="77777777" w:rsidR="00384B49" w:rsidRDefault="00384B4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D07B3"/>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BD"/>
    <w:rsid w:val="00315363"/>
    <w:rsid w:val="003203ED"/>
    <w:rsid w:val="00321866"/>
    <w:rsid w:val="00322C9F"/>
    <w:rsid w:val="00322CB1"/>
    <w:rsid w:val="00324D23"/>
    <w:rsid w:val="00330D94"/>
    <w:rsid w:val="00331751"/>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4B49"/>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263E"/>
    <w:rsid w:val="00413AAC"/>
    <w:rsid w:val="00413E92"/>
    <w:rsid w:val="00417D73"/>
    <w:rsid w:val="00421105"/>
    <w:rsid w:val="00421F6C"/>
    <w:rsid w:val="00422AA4"/>
    <w:rsid w:val="004242F4"/>
    <w:rsid w:val="00427248"/>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B4E"/>
    <w:rsid w:val="004F0B6C"/>
    <w:rsid w:val="004F2078"/>
    <w:rsid w:val="004F4DA3"/>
    <w:rsid w:val="004F54BF"/>
    <w:rsid w:val="005009F1"/>
    <w:rsid w:val="0050139E"/>
    <w:rsid w:val="00506557"/>
    <w:rsid w:val="0050677A"/>
    <w:rsid w:val="005108D8"/>
    <w:rsid w:val="005116F9"/>
    <w:rsid w:val="005138F4"/>
    <w:rsid w:val="005153A7"/>
    <w:rsid w:val="00516387"/>
    <w:rsid w:val="005219CF"/>
    <w:rsid w:val="00523EF8"/>
    <w:rsid w:val="005262EB"/>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639F"/>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13E54"/>
    <w:rsid w:val="00A17F63"/>
    <w:rsid w:val="00A218F2"/>
    <w:rsid w:val="00A2193B"/>
    <w:rsid w:val="00A2351A"/>
    <w:rsid w:val="00A264A9"/>
    <w:rsid w:val="00A26DCF"/>
    <w:rsid w:val="00A2736C"/>
    <w:rsid w:val="00A27785"/>
    <w:rsid w:val="00A30187"/>
    <w:rsid w:val="00A3448A"/>
    <w:rsid w:val="00A36297"/>
    <w:rsid w:val="00A41E2B"/>
    <w:rsid w:val="00A45B74"/>
    <w:rsid w:val="00A52E1D"/>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9FB"/>
    <w:rsid w:val="00AC5A10"/>
    <w:rsid w:val="00AD0AA3"/>
    <w:rsid w:val="00AD3F94"/>
    <w:rsid w:val="00AD4A5A"/>
    <w:rsid w:val="00AD4C84"/>
    <w:rsid w:val="00AD5CF3"/>
    <w:rsid w:val="00AE27AC"/>
    <w:rsid w:val="00AE3CEB"/>
    <w:rsid w:val="00AE40E0"/>
    <w:rsid w:val="00AE4DBA"/>
    <w:rsid w:val="00AE4F07"/>
    <w:rsid w:val="00AF1C5D"/>
    <w:rsid w:val="00AF42D7"/>
    <w:rsid w:val="00B006FE"/>
    <w:rsid w:val="00B007CB"/>
    <w:rsid w:val="00B02AA9"/>
    <w:rsid w:val="00B02FA3"/>
    <w:rsid w:val="00B05084"/>
    <w:rsid w:val="00B157F9"/>
    <w:rsid w:val="00B20256"/>
    <w:rsid w:val="00B20D09"/>
    <w:rsid w:val="00B2156A"/>
    <w:rsid w:val="00B2763F"/>
    <w:rsid w:val="00B27AAC"/>
    <w:rsid w:val="00B30929"/>
    <w:rsid w:val="00B372AA"/>
    <w:rsid w:val="00B40445"/>
    <w:rsid w:val="00B409E0"/>
    <w:rsid w:val="00B41888"/>
    <w:rsid w:val="00B45A52"/>
    <w:rsid w:val="00B46175"/>
    <w:rsid w:val="00B548B7"/>
    <w:rsid w:val="00B56219"/>
    <w:rsid w:val="00B664C7"/>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23A5"/>
    <w:rsid w:val="00BC3053"/>
    <w:rsid w:val="00BC4D2E"/>
    <w:rsid w:val="00BD48AC"/>
    <w:rsid w:val="00BD5F1A"/>
    <w:rsid w:val="00BE009C"/>
    <w:rsid w:val="00BE1234"/>
    <w:rsid w:val="00BE1CAE"/>
    <w:rsid w:val="00BE2FA6"/>
    <w:rsid w:val="00BE333F"/>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D87"/>
    <w:rsid w:val="00D40B33"/>
    <w:rsid w:val="00D4318F"/>
    <w:rsid w:val="00D438BF"/>
    <w:rsid w:val="00D440F8"/>
    <w:rsid w:val="00D53581"/>
    <w:rsid w:val="00D546FF"/>
    <w:rsid w:val="00D55AD5"/>
    <w:rsid w:val="00D576CA"/>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A0259"/>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D1006"/>
    <w:rsid w:val="00EE566C"/>
    <w:rsid w:val="00EF18FE"/>
    <w:rsid w:val="00EF35C5"/>
    <w:rsid w:val="00EF54B7"/>
    <w:rsid w:val="00EF5787"/>
    <w:rsid w:val="00EF60D0"/>
    <w:rsid w:val="00F01BA6"/>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978FF"/>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FD0713-18BA-4F6D-A038-5DC50D9B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26632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Maruthi Alamuri</cp:lastModifiedBy>
  <cp:revision>16</cp:revision>
  <cp:lastPrinted>2008-01-31T07:09:00Z</cp:lastPrinted>
  <dcterms:created xsi:type="dcterms:W3CDTF">2020-08-21T17:18:00Z</dcterms:created>
  <dcterms:modified xsi:type="dcterms:W3CDTF">2020-08-21T18:17:00Z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ies>
</file>