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6FA2" w14:textId="5F5C06D0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</w:t>
      </w:r>
      <w:r w:rsidR="0036459E">
        <w:rPr>
          <w:bCs/>
          <w:noProof w:val="0"/>
          <w:sz w:val="24"/>
          <w:szCs w:val="24"/>
        </w:rPr>
        <w:t>11</w:t>
      </w:r>
      <w:r w:rsidR="00EF612C">
        <w:rPr>
          <w:bCs/>
          <w:noProof w:val="0"/>
          <w:sz w:val="24"/>
          <w:szCs w:val="24"/>
        </w:rPr>
        <w:t>1</w:t>
      </w:r>
      <w:r w:rsidR="00244A05">
        <w:rPr>
          <w:bCs/>
          <w:noProof w:val="0"/>
          <w:sz w:val="24"/>
          <w:szCs w:val="24"/>
        </w:rPr>
        <w:t xml:space="preserve"> Electronic</w:t>
      </w:r>
      <w:r w:rsidRPr="00B266B0">
        <w:rPr>
          <w:bCs/>
          <w:noProof w:val="0"/>
          <w:sz w:val="24"/>
          <w:szCs w:val="24"/>
        </w:rPr>
        <w:tab/>
      </w:r>
      <w:r w:rsidR="00C937C7" w:rsidRPr="00896A1E">
        <w:rPr>
          <w:bCs/>
          <w:noProof w:val="0"/>
          <w:sz w:val="24"/>
          <w:szCs w:val="24"/>
        </w:rPr>
        <w:t>R2-20</w:t>
      </w:r>
      <w:r w:rsidR="00C937C7">
        <w:rPr>
          <w:bCs/>
          <w:noProof w:val="0"/>
          <w:sz w:val="24"/>
          <w:szCs w:val="24"/>
        </w:rPr>
        <w:t>xxxxx</w:t>
      </w:r>
    </w:p>
    <w:p w14:paraId="11776FA6" w14:textId="06900D54" w:rsidR="00A209D6" w:rsidRPr="00465587" w:rsidRDefault="009928A9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>Elbonia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, </w:t>
      </w:r>
      <w:r w:rsidR="006D35DE">
        <w:rPr>
          <w:rFonts w:eastAsia="SimSun"/>
          <w:bCs/>
          <w:sz w:val="24"/>
          <w:szCs w:val="24"/>
          <w:lang w:eastAsia="zh-CN"/>
        </w:rPr>
        <w:t>17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– </w:t>
      </w:r>
      <w:r w:rsidR="006D35DE">
        <w:rPr>
          <w:rFonts w:eastAsia="SimSun"/>
          <w:bCs/>
          <w:sz w:val="24"/>
          <w:szCs w:val="24"/>
          <w:lang w:eastAsia="zh-CN"/>
        </w:rPr>
        <w:t>28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</w:t>
      </w:r>
      <w:r w:rsidR="006D35DE">
        <w:rPr>
          <w:rFonts w:eastAsia="SimSun"/>
          <w:bCs/>
          <w:sz w:val="24"/>
          <w:szCs w:val="24"/>
          <w:lang w:eastAsia="zh-CN"/>
        </w:rPr>
        <w:t>August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20</w:t>
      </w:r>
      <w:r w:rsidR="009376CD">
        <w:rPr>
          <w:rFonts w:eastAsia="SimSun"/>
          <w:bCs/>
          <w:sz w:val="24"/>
          <w:szCs w:val="24"/>
          <w:lang w:eastAsia="zh-CN"/>
        </w:rPr>
        <w:t>20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0CAB3B6F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9C0A90">
        <w:rPr>
          <w:rFonts w:cs="Arial"/>
          <w:b/>
          <w:bCs/>
          <w:sz w:val="24"/>
          <w:lang w:eastAsia="ja-JP"/>
        </w:rPr>
        <w:t>6.2.5</w:t>
      </w:r>
    </w:p>
    <w:p w14:paraId="73188B46" w14:textId="131E3A5B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</w:t>
      </w:r>
      <w:r w:rsidR="009C0A90">
        <w:rPr>
          <w:rFonts w:ascii="Arial" w:hAnsi="Arial" w:cs="Arial"/>
          <w:b/>
          <w:bCs/>
          <w:sz w:val="24"/>
        </w:rPr>
        <w:t xml:space="preserve"> (Summary Rapporteur)</w:t>
      </w:r>
    </w:p>
    <w:p w14:paraId="0FA3EF00" w14:textId="1D132F07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227C92">
        <w:rPr>
          <w:rFonts w:ascii="Arial" w:hAnsi="Arial" w:cs="Arial"/>
          <w:b/>
          <w:bCs/>
          <w:sz w:val="24"/>
        </w:rPr>
        <w:t>Summary of [AT111-e][</w:t>
      </w:r>
      <w:proofErr w:type="gramStart"/>
      <w:r w:rsidR="00227C92">
        <w:rPr>
          <w:rFonts w:ascii="Arial" w:hAnsi="Arial" w:cs="Arial"/>
          <w:b/>
          <w:bCs/>
          <w:sz w:val="24"/>
        </w:rPr>
        <w:t>030]</w:t>
      </w:r>
      <w:r w:rsidR="00037227">
        <w:rPr>
          <w:rFonts w:ascii="Arial" w:hAnsi="Arial" w:cs="Arial"/>
          <w:b/>
          <w:bCs/>
          <w:sz w:val="24"/>
        </w:rPr>
        <w:t>[</w:t>
      </w:r>
      <w:proofErr w:type="gramEnd"/>
      <w:r w:rsidR="00037227">
        <w:rPr>
          <w:rFonts w:ascii="Arial" w:hAnsi="Arial" w:cs="Arial"/>
          <w:b/>
          <w:bCs/>
          <w:sz w:val="24"/>
        </w:rPr>
        <w:t>IAB]</w:t>
      </w:r>
      <w:r w:rsidR="00227C92">
        <w:rPr>
          <w:rFonts w:ascii="Arial" w:hAnsi="Arial" w:cs="Arial"/>
          <w:b/>
          <w:bCs/>
          <w:sz w:val="24"/>
        </w:rPr>
        <w:t xml:space="preserve"> UE capabilities</w:t>
      </w:r>
      <w:r w:rsidR="008D28CC">
        <w:rPr>
          <w:rFonts w:ascii="Arial" w:hAnsi="Arial" w:cs="Arial"/>
          <w:b/>
          <w:bCs/>
          <w:sz w:val="24"/>
        </w:rPr>
        <w:t xml:space="preserve"> (Nokia)</w:t>
      </w:r>
    </w:p>
    <w:p w14:paraId="1F147C23" w14:textId="23E39057" w:rsidR="00A209D6" w:rsidRPr="00B266B0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9C0A90">
        <w:rPr>
          <w:rFonts w:ascii="Arial" w:hAnsi="Arial" w:cs="Arial"/>
          <w:b/>
          <w:bCs/>
          <w:sz w:val="24"/>
        </w:rPr>
        <w:t xml:space="preserve">NR_IAB </w:t>
      </w:r>
      <w:r>
        <w:rPr>
          <w:rFonts w:ascii="Arial" w:hAnsi="Arial" w:cs="Arial"/>
          <w:b/>
          <w:bCs/>
          <w:sz w:val="24"/>
        </w:rPr>
        <w:t xml:space="preserve">- Release </w:t>
      </w:r>
      <w:r w:rsidR="009C0A90">
        <w:rPr>
          <w:rFonts w:ascii="Arial" w:hAnsi="Arial" w:cs="Arial"/>
          <w:b/>
          <w:bCs/>
          <w:sz w:val="24"/>
        </w:rPr>
        <w:t>16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31EC6E66" w14:textId="3712C24F" w:rsidR="007F2E08" w:rsidRDefault="009C0A90" w:rsidP="00A209D6">
      <w:r>
        <w:t xml:space="preserve">This is to provide a summary of </w:t>
      </w:r>
      <w:proofErr w:type="spellStart"/>
      <w:r>
        <w:t>TDocs</w:t>
      </w:r>
      <w:proofErr w:type="spellEnd"/>
      <w:r>
        <w:t xml:space="preserve"> submitted for IAB UE capabilities</w:t>
      </w:r>
      <w:r w:rsidR="008D7472">
        <w:t xml:space="preserve"> under AI 6.2.1 and 6.2.5</w:t>
      </w:r>
      <w:r>
        <w:t xml:space="preserve"> which include [1-</w:t>
      </w:r>
      <w:r w:rsidR="0029717E">
        <w:t>6</w:t>
      </w:r>
      <w:r>
        <w:t>].</w:t>
      </w:r>
    </w:p>
    <w:p w14:paraId="760F191B" w14:textId="5F4CD946" w:rsidR="00C937C7" w:rsidRDefault="00C937C7" w:rsidP="00C937C7">
      <w:pPr>
        <w:pStyle w:val="EmailDiscussion"/>
      </w:pPr>
      <w:r>
        <w:t>[AT111-e][</w:t>
      </w:r>
      <w:proofErr w:type="gramStart"/>
      <w:r>
        <w:t>030][</w:t>
      </w:r>
      <w:proofErr w:type="gramEnd"/>
      <w:r>
        <w:t>IAB] UE capabilities (Nokia</w:t>
      </w:r>
      <w:r w:rsidR="00EC1546">
        <w:t>)</w:t>
      </w:r>
    </w:p>
    <w:p w14:paraId="3C431253" w14:textId="77777777" w:rsidR="00C937C7" w:rsidRDefault="00C937C7" w:rsidP="00C937C7">
      <w:pPr>
        <w:pStyle w:val="EmailDiscussion2"/>
      </w:pPr>
      <w:r>
        <w:tab/>
        <w:t xml:space="preserve">Scope: </w:t>
      </w:r>
    </w:p>
    <w:p w14:paraId="7422DB2E" w14:textId="77777777" w:rsidR="00C937C7" w:rsidRDefault="00C937C7" w:rsidP="00C937C7">
      <w:pPr>
        <w:pStyle w:val="EmailDiscussion2"/>
      </w:pPr>
      <w:r>
        <w:tab/>
        <w:t>Deadline: Short UE cap</w:t>
      </w:r>
    </w:p>
    <w:p w14:paraId="6DFF4BE2" w14:textId="77777777" w:rsidR="00C937C7" w:rsidRPr="006E13D1" w:rsidRDefault="00C937C7" w:rsidP="00A209D6"/>
    <w:p w14:paraId="2BBFF540" w14:textId="41DE9201" w:rsidR="00A209D6" w:rsidRPr="006E13D1" w:rsidRDefault="00A209D6" w:rsidP="00A209D6">
      <w:pPr>
        <w:pStyle w:val="Heading1"/>
      </w:pPr>
      <w:r w:rsidRPr="006E13D1">
        <w:t>2</w:t>
      </w:r>
      <w:r w:rsidRPr="006E13D1">
        <w:tab/>
      </w:r>
      <w:r w:rsidR="00F66DF4">
        <w:t>Summary</w:t>
      </w:r>
    </w:p>
    <w:p w14:paraId="281F3B4D" w14:textId="666E3809" w:rsidR="004B0C98" w:rsidRDefault="004B0C98" w:rsidP="004B0C98">
      <w:r>
        <w:t>The discussion paper in [1] proposes to introduce the following IAB specific capabilities: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4B0C98" w14:paraId="5D03CB00" w14:textId="77777777" w:rsidTr="004B0C98">
        <w:tc>
          <w:tcPr>
            <w:tcW w:w="9631" w:type="dxa"/>
            <w:shd w:val="clear" w:color="auto" w:fill="F2F2F2" w:themeFill="background1" w:themeFillShade="F2"/>
          </w:tcPr>
          <w:p w14:paraId="73820B1F" w14:textId="77777777" w:rsidR="004B0C98" w:rsidRPr="004B0C98" w:rsidRDefault="004B0C98" w:rsidP="004B0C98">
            <w:pPr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</w:pPr>
            <w:r w:rsidRPr="004B0C98"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  <w:t>Proposal 1: Add the following parameter for Feature 4-1 in 38.306:</w:t>
            </w:r>
          </w:p>
          <w:p w14:paraId="5EF1879D" w14:textId="77777777" w:rsidR="004B0C98" w:rsidRDefault="004B0C98" w:rsidP="004B0C98">
            <w:pPr>
              <w:rPr>
                <w:rFonts w:ascii="Calibri" w:eastAsia="Calibri" w:hAnsi="Calibri"/>
                <w:sz w:val="22"/>
                <w:szCs w:val="22"/>
              </w:rPr>
            </w:pPr>
          </w:p>
          <w:tbl>
            <w:tblPr>
              <w:tblW w:w="9529" w:type="dxa"/>
              <w:tblInd w:w="105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A0" w:firstRow="1" w:lastRow="0" w:firstColumn="1" w:lastColumn="0" w:noHBand="0" w:noVBand="0"/>
            </w:tblPr>
            <w:tblGrid>
              <w:gridCol w:w="6807"/>
              <w:gridCol w:w="709"/>
              <w:gridCol w:w="564"/>
              <w:gridCol w:w="712"/>
              <w:gridCol w:w="737"/>
            </w:tblGrid>
            <w:tr w:rsidR="004B0C98" w:rsidRPr="00773085" w14:paraId="78567382" w14:textId="77777777" w:rsidTr="009342DD">
              <w:trPr>
                <w:cantSplit/>
              </w:trPr>
              <w:tc>
                <w:tcPr>
                  <w:tcW w:w="680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EC8CD7" w14:textId="77777777" w:rsidR="004B0C98" w:rsidRPr="00773085" w:rsidRDefault="004B0C98" w:rsidP="004B0C98">
                  <w:pPr>
                    <w:pStyle w:val="TAL"/>
                    <w:rPr>
                      <w:rFonts w:cs="Arial"/>
                      <w:b/>
                      <w:bCs/>
                      <w:i/>
                      <w:iCs/>
                      <w:szCs w:val="18"/>
                    </w:rPr>
                  </w:pPr>
                  <w:r w:rsidRPr="00773085">
                    <w:rPr>
                      <w:rFonts w:cs="Arial"/>
                      <w:b/>
                      <w:bCs/>
                      <w:i/>
                      <w:iCs/>
                      <w:szCs w:val="18"/>
                    </w:rPr>
                    <w:t>Definitions for parameters</w:t>
                  </w:r>
                </w:p>
              </w:tc>
              <w:tc>
                <w:tcPr>
                  <w:tcW w:w="7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E40924" w14:textId="77777777" w:rsidR="004B0C98" w:rsidRPr="00773085" w:rsidRDefault="004B0C98" w:rsidP="004B0C98">
                  <w:pPr>
                    <w:pStyle w:val="TAL"/>
                    <w:rPr>
                      <w:rFonts w:cs="Arial"/>
                      <w:bCs/>
                      <w:iCs/>
                      <w:szCs w:val="18"/>
                    </w:rPr>
                  </w:pPr>
                  <w:r w:rsidRPr="00773085">
                    <w:rPr>
                      <w:rFonts w:cs="Arial"/>
                      <w:bCs/>
                      <w:iCs/>
                      <w:szCs w:val="18"/>
                    </w:rPr>
                    <w:t>Per</w:t>
                  </w:r>
                </w:p>
              </w:tc>
              <w:tc>
                <w:tcPr>
                  <w:tcW w:w="56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3F9FCB" w14:textId="77777777" w:rsidR="004B0C98" w:rsidRPr="00773085" w:rsidRDefault="004B0C98" w:rsidP="004B0C98">
                  <w:pPr>
                    <w:pStyle w:val="TAL"/>
                    <w:rPr>
                      <w:rFonts w:cs="Arial"/>
                      <w:bCs/>
                      <w:iCs/>
                      <w:szCs w:val="18"/>
                    </w:rPr>
                  </w:pPr>
                  <w:r w:rsidRPr="00773085">
                    <w:rPr>
                      <w:rFonts w:cs="Arial"/>
                      <w:bCs/>
                      <w:iCs/>
                      <w:szCs w:val="18"/>
                    </w:rPr>
                    <w:t>M</w:t>
                  </w:r>
                </w:p>
              </w:tc>
              <w:tc>
                <w:tcPr>
                  <w:tcW w:w="71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E1F002" w14:textId="77777777" w:rsidR="004B0C98" w:rsidRPr="00773085" w:rsidRDefault="004B0C98" w:rsidP="004B0C98">
                  <w:pPr>
                    <w:pStyle w:val="TAL"/>
                    <w:rPr>
                      <w:rFonts w:cs="Arial"/>
                      <w:bCs/>
                      <w:iCs/>
                      <w:szCs w:val="18"/>
                    </w:rPr>
                  </w:pPr>
                  <w:r w:rsidRPr="00773085">
                    <w:rPr>
                      <w:rFonts w:cs="Arial"/>
                      <w:bCs/>
                      <w:iCs/>
                      <w:szCs w:val="18"/>
                    </w:rPr>
                    <w:t>FDD-TDD DIFF</w:t>
                  </w:r>
                </w:p>
              </w:tc>
              <w:tc>
                <w:tcPr>
                  <w:tcW w:w="73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C15E96" w14:textId="77777777" w:rsidR="004B0C98" w:rsidRPr="00773085" w:rsidRDefault="004B0C98" w:rsidP="004B0C98">
                  <w:pPr>
                    <w:pStyle w:val="TAL"/>
                    <w:rPr>
                      <w:rFonts w:eastAsia="MS Mincho" w:cs="Arial"/>
                      <w:bCs/>
                      <w:iCs/>
                      <w:szCs w:val="18"/>
                    </w:rPr>
                  </w:pPr>
                  <w:r w:rsidRPr="00773085">
                    <w:rPr>
                      <w:rFonts w:eastAsia="MS Mincho" w:cs="Arial"/>
                      <w:bCs/>
                      <w:iCs/>
                      <w:szCs w:val="18"/>
                    </w:rPr>
                    <w:t>FR1-FR2 DIFF</w:t>
                  </w:r>
                </w:p>
              </w:tc>
            </w:tr>
            <w:tr w:rsidR="004B0C98" w:rsidRPr="000E09AA" w14:paraId="4A1C3C48" w14:textId="77777777" w:rsidTr="009342DD">
              <w:trPr>
                <w:cantSplit/>
              </w:trPr>
              <w:tc>
                <w:tcPr>
                  <w:tcW w:w="6807" w:type="dxa"/>
                </w:tcPr>
                <w:p w14:paraId="279A4C52" w14:textId="77777777" w:rsidR="004B0C98" w:rsidRPr="000E09AA" w:rsidRDefault="004B0C98" w:rsidP="004B0C98">
                  <w:pPr>
                    <w:pStyle w:val="TAL"/>
                    <w:rPr>
                      <w:rFonts w:cs="Arial"/>
                      <w:b/>
                      <w:bCs/>
                      <w:i/>
                      <w:iCs/>
                      <w:szCs w:val="18"/>
                    </w:rPr>
                  </w:pPr>
                  <w:r w:rsidRPr="000E09AA">
                    <w:rPr>
                      <w:rFonts w:cs="Arial"/>
                      <w:b/>
                      <w:bCs/>
                      <w:i/>
                      <w:iCs/>
                      <w:szCs w:val="18"/>
                    </w:rPr>
                    <w:t>intraAndInterF-MeasAndReport</w:t>
                  </w:r>
                  <w:r>
                    <w:rPr>
                      <w:rFonts w:cs="Arial"/>
                      <w:b/>
                      <w:bCs/>
                      <w:i/>
                      <w:iCs/>
                      <w:szCs w:val="18"/>
                    </w:rPr>
                    <w:t>-IAB-r16</w:t>
                  </w:r>
                </w:p>
                <w:p w14:paraId="656EB6A2" w14:textId="77777777" w:rsidR="004B0C98" w:rsidRPr="000E09AA" w:rsidRDefault="004B0C98" w:rsidP="004B0C98">
                  <w:pPr>
                    <w:pStyle w:val="TAL"/>
                    <w:rPr>
                      <w:rFonts w:cs="Arial"/>
                      <w:b/>
                      <w:bCs/>
                      <w:i/>
                      <w:iCs/>
                      <w:szCs w:val="18"/>
                    </w:rPr>
                  </w:pPr>
                  <w:r w:rsidRPr="000E09AA">
                    <w:rPr>
                      <w:rFonts w:cs="Arial"/>
                      <w:bCs/>
                      <w:iCs/>
                      <w:szCs w:val="18"/>
                    </w:rPr>
                    <w:t xml:space="preserve">Indicates whether the </w:t>
                  </w:r>
                  <w:r>
                    <w:rPr>
                      <w:rFonts w:cs="Arial"/>
                      <w:bCs/>
                      <w:iCs/>
                      <w:szCs w:val="18"/>
                    </w:rPr>
                    <w:t>IAB-MT</w:t>
                  </w:r>
                  <w:r w:rsidRPr="000E09AA">
                    <w:rPr>
                      <w:rFonts w:cs="Arial"/>
                      <w:bCs/>
                      <w:iCs/>
                      <w:szCs w:val="18"/>
                    </w:rPr>
                    <w:t xml:space="preserve"> supports NR intra-frequency and inter-frequency measurements and at least periodical reporting. </w:t>
                  </w:r>
                  <w:r>
                    <w:t>Note: It is up to the IAB node to set the capability bit</w:t>
                  </w:r>
                </w:p>
              </w:tc>
              <w:tc>
                <w:tcPr>
                  <w:tcW w:w="709" w:type="dxa"/>
                </w:tcPr>
                <w:p w14:paraId="636164AD" w14:textId="77777777" w:rsidR="004B0C98" w:rsidRPr="000E09AA" w:rsidRDefault="004B0C98" w:rsidP="004B0C98">
                  <w:pPr>
                    <w:pStyle w:val="TAL"/>
                    <w:jc w:val="center"/>
                    <w:rPr>
                      <w:rFonts w:cs="Arial"/>
                      <w:bCs/>
                      <w:iCs/>
                      <w:szCs w:val="18"/>
                    </w:rPr>
                  </w:pPr>
                  <w:r w:rsidRPr="000E09AA">
                    <w:rPr>
                      <w:rFonts w:cs="Arial"/>
                      <w:bCs/>
                      <w:iCs/>
                      <w:szCs w:val="18"/>
                    </w:rPr>
                    <w:t>UE</w:t>
                  </w:r>
                </w:p>
              </w:tc>
              <w:tc>
                <w:tcPr>
                  <w:tcW w:w="564" w:type="dxa"/>
                </w:tcPr>
                <w:p w14:paraId="2A603C68" w14:textId="77777777" w:rsidR="004B0C98" w:rsidRPr="000E09AA" w:rsidRDefault="004B0C98" w:rsidP="004B0C98">
                  <w:pPr>
                    <w:pStyle w:val="TAL"/>
                    <w:jc w:val="center"/>
                    <w:rPr>
                      <w:rFonts w:cs="Arial"/>
                      <w:bCs/>
                      <w:iCs/>
                      <w:szCs w:val="18"/>
                    </w:rPr>
                  </w:pPr>
                  <w:r w:rsidRPr="000E09AA">
                    <w:rPr>
                      <w:rFonts w:cs="Arial"/>
                      <w:bCs/>
                      <w:iCs/>
                      <w:szCs w:val="18"/>
                    </w:rPr>
                    <w:t>Yes</w:t>
                  </w:r>
                </w:p>
              </w:tc>
              <w:tc>
                <w:tcPr>
                  <w:tcW w:w="712" w:type="dxa"/>
                </w:tcPr>
                <w:p w14:paraId="48FA296A" w14:textId="77777777" w:rsidR="004B0C98" w:rsidRPr="000E09AA" w:rsidRDefault="004B0C98" w:rsidP="004B0C98">
                  <w:pPr>
                    <w:pStyle w:val="TAL"/>
                    <w:jc w:val="center"/>
                    <w:rPr>
                      <w:rFonts w:cs="Arial"/>
                      <w:bCs/>
                      <w:iCs/>
                      <w:szCs w:val="18"/>
                    </w:rPr>
                  </w:pPr>
                  <w:r w:rsidRPr="000E09AA">
                    <w:rPr>
                      <w:rFonts w:cs="Arial"/>
                      <w:bCs/>
                      <w:iCs/>
                      <w:szCs w:val="18"/>
                    </w:rPr>
                    <w:t>Yes</w:t>
                  </w:r>
                </w:p>
              </w:tc>
              <w:tc>
                <w:tcPr>
                  <w:tcW w:w="737" w:type="dxa"/>
                </w:tcPr>
                <w:p w14:paraId="401393DC" w14:textId="77777777" w:rsidR="004B0C98" w:rsidRPr="000E09AA" w:rsidRDefault="004B0C98" w:rsidP="004B0C98">
                  <w:pPr>
                    <w:pStyle w:val="TAL"/>
                    <w:jc w:val="center"/>
                    <w:rPr>
                      <w:rFonts w:eastAsia="MS Mincho" w:cs="Arial"/>
                      <w:bCs/>
                      <w:iCs/>
                      <w:szCs w:val="18"/>
                    </w:rPr>
                  </w:pPr>
                  <w:r w:rsidRPr="000E09AA">
                    <w:rPr>
                      <w:rFonts w:eastAsia="MS Mincho" w:cs="Arial"/>
                      <w:bCs/>
                      <w:iCs/>
                      <w:szCs w:val="18"/>
                    </w:rPr>
                    <w:t>No</w:t>
                  </w:r>
                </w:p>
              </w:tc>
            </w:tr>
          </w:tbl>
          <w:p w14:paraId="434F85D7" w14:textId="77777777" w:rsidR="004B0C98" w:rsidRDefault="004B0C98" w:rsidP="004B0C98"/>
          <w:p w14:paraId="341B293D" w14:textId="77777777" w:rsidR="004B0C98" w:rsidRPr="004B0C98" w:rsidRDefault="004B0C98" w:rsidP="004B0C98">
            <w:pPr>
              <w:rPr>
                <w:rFonts w:ascii="Calibri" w:eastAsia="Calibri" w:hAnsi="Calibri"/>
                <w:i/>
                <w:iCs/>
                <w:sz w:val="22"/>
                <w:szCs w:val="22"/>
              </w:rPr>
            </w:pPr>
            <w:r w:rsidRPr="004B0C98"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  <w:t>Proposal 2: Add the following parameter for Feature 7-1, component 2) in 38.306:</w:t>
            </w:r>
          </w:p>
          <w:p w14:paraId="1109E001" w14:textId="77777777" w:rsidR="004B0C98" w:rsidRDefault="004B0C98" w:rsidP="004B0C98">
            <w:pPr>
              <w:rPr>
                <w:rFonts w:ascii="Calibri" w:eastAsia="Calibri" w:hAnsi="Calibri"/>
                <w:sz w:val="22"/>
                <w:szCs w:val="22"/>
              </w:rPr>
            </w:pPr>
          </w:p>
          <w:tbl>
            <w:tblPr>
              <w:tblW w:w="9630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6946"/>
              <w:gridCol w:w="680"/>
              <w:gridCol w:w="567"/>
              <w:gridCol w:w="807"/>
              <w:gridCol w:w="630"/>
            </w:tblGrid>
            <w:tr w:rsidR="004B0C98" w:rsidRPr="000E09AA" w14:paraId="1C92EFB7" w14:textId="77777777" w:rsidTr="009342DD">
              <w:trPr>
                <w:cantSplit/>
                <w:tblHeader/>
              </w:trPr>
              <w:tc>
                <w:tcPr>
                  <w:tcW w:w="6946" w:type="dxa"/>
                </w:tcPr>
                <w:p w14:paraId="42E34DD8" w14:textId="77777777" w:rsidR="004B0C98" w:rsidRPr="000E09AA" w:rsidRDefault="004B0C98" w:rsidP="004B0C98">
                  <w:pPr>
                    <w:pStyle w:val="TAH"/>
                  </w:pPr>
                  <w:r w:rsidRPr="000E09AA">
                    <w:t>Definitions for parameters</w:t>
                  </w:r>
                </w:p>
              </w:tc>
              <w:tc>
                <w:tcPr>
                  <w:tcW w:w="680" w:type="dxa"/>
                </w:tcPr>
                <w:p w14:paraId="252E3C40" w14:textId="77777777" w:rsidR="004B0C98" w:rsidRPr="000E09AA" w:rsidRDefault="004B0C98" w:rsidP="004B0C98">
                  <w:pPr>
                    <w:pStyle w:val="TAH"/>
                  </w:pPr>
                  <w:r w:rsidRPr="000E09AA">
                    <w:t>Per</w:t>
                  </w:r>
                </w:p>
              </w:tc>
              <w:tc>
                <w:tcPr>
                  <w:tcW w:w="567" w:type="dxa"/>
                </w:tcPr>
                <w:p w14:paraId="79CA227C" w14:textId="77777777" w:rsidR="004B0C98" w:rsidRPr="000E09AA" w:rsidRDefault="004B0C98" w:rsidP="004B0C98">
                  <w:pPr>
                    <w:pStyle w:val="TAH"/>
                  </w:pPr>
                  <w:r w:rsidRPr="000E09AA">
                    <w:t>M</w:t>
                  </w:r>
                </w:p>
              </w:tc>
              <w:tc>
                <w:tcPr>
                  <w:tcW w:w="807" w:type="dxa"/>
                </w:tcPr>
                <w:p w14:paraId="5A99FAF0" w14:textId="77777777" w:rsidR="004B0C98" w:rsidRPr="000E09AA" w:rsidRDefault="004B0C98" w:rsidP="004B0C98">
                  <w:pPr>
                    <w:pStyle w:val="TAH"/>
                  </w:pPr>
                  <w:r w:rsidRPr="000E09AA">
                    <w:t>FDD-TDD</w:t>
                  </w:r>
                </w:p>
                <w:p w14:paraId="603CA7D2" w14:textId="77777777" w:rsidR="004B0C98" w:rsidRPr="000E09AA" w:rsidRDefault="004B0C98" w:rsidP="004B0C98">
                  <w:pPr>
                    <w:pStyle w:val="TAH"/>
                  </w:pPr>
                  <w:r w:rsidRPr="000E09AA">
                    <w:t>DIFF</w:t>
                  </w:r>
                </w:p>
              </w:tc>
              <w:tc>
                <w:tcPr>
                  <w:tcW w:w="630" w:type="dxa"/>
                </w:tcPr>
                <w:p w14:paraId="11FF0CF1" w14:textId="77777777" w:rsidR="004B0C98" w:rsidRPr="000E09AA" w:rsidRDefault="004B0C98" w:rsidP="004B0C98">
                  <w:pPr>
                    <w:pStyle w:val="TAH"/>
                  </w:pPr>
                  <w:r w:rsidRPr="000E09AA">
                    <w:t>FR1-FR2</w:t>
                  </w:r>
                </w:p>
                <w:p w14:paraId="00A03160" w14:textId="77777777" w:rsidR="004B0C98" w:rsidRPr="000E09AA" w:rsidRDefault="004B0C98" w:rsidP="004B0C98">
                  <w:pPr>
                    <w:pStyle w:val="TAH"/>
                  </w:pPr>
                  <w:r w:rsidRPr="000E09AA">
                    <w:t>DIFF</w:t>
                  </w:r>
                </w:p>
              </w:tc>
            </w:tr>
            <w:tr w:rsidR="004B0C98" w:rsidRPr="000E09AA" w14:paraId="6446804B" w14:textId="77777777" w:rsidTr="009342DD">
              <w:trPr>
                <w:cantSplit/>
                <w:tblHeader/>
              </w:trPr>
              <w:tc>
                <w:tcPr>
                  <w:tcW w:w="6946" w:type="dxa"/>
                </w:tcPr>
                <w:p w14:paraId="4C031007" w14:textId="77777777" w:rsidR="004B0C98" w:rsidRPr="000E09AA" w:rsidRDefault="004B0C98" w:rsidP="004B0C98">
                  <w:pPr>
                    <w:pStyle w:val="TAL"/>
                    <w:rPr>
                      <w:bCs/>
                      <w:i/>
                      <w:iCs/>
                    </w:rPr>
                  </w:pPr>
                  <w:r w:rsidRPr="000E09AA">
                    <w:rPr>
                      <w:b/>
                      <w:bCs/>
                      <w:i/>
                      <w:iCs/>
                    </w:rPr>
                    <w:t>handoverInt</w:t>
                  </w:r>
                  <w:r>
                    <w:rPr>
                      <w:b/>
                      <w:bCs/>
                      <w:i/>
                      <w:iCs/>
                    </w:rPr>
                    <w:t>er</w:t>
                  </w:r>
                  <w:r w:rsidRPr="000E09AA">
                    <w:rPr>
                      <w:b/>
                      <w:bCs/>
                      <w:i/>
                      <w:iCs/>
                    </w:rPr>
                    <w:t>F-IAB-r16</w:t>
                  </w:r>
                </w:p>
                <w:p w14:paraId="2C8ACC00" w14:textId="77777777" w:rsidR="004B0C98" w:rsidRPr="000E09AA" w:rsidRDefault="004B0C98" w:rsidP="004B0C98">
                  <w:pPr>
                    <w:pStyle w:val="TAL"/>
                    <w:rPr>
                      <w:bCs/>
                    </w:rPr>
                  </w:pPr>
                  <w:r w:rsidRPr="000E09AA">
                    <w:rPr>
                      <w:bCs/>
                    </w:rPr>
                    <w:t>Indicates whether the IAB-MT supports int</w:t>
                  </w:r>
                  <w:r>
                    <w:rPr>
                      <w:bCs/>
                    </w:rPr>
                    <w:t>er</w:t>
                  </w:r>
                  <w:r w:rsidRPr="000E09AA">
                    <w:rPr>
                      <w:bCs/>
                    </w:rPr>
                    <w:t xml:space="preserve">-frequency HO. It </w:t>
                  </w:r>
                  <w:r w:rsidRPr="000E09AA">
                    <w:t>indicates the support for int</w:t>
                  </w:r>
                  <w:r>
                    <w:t>er</w:t>
                  </w:r>
                  <w:r w:rsidRPr="000E09AA">
                    <w:t xml:space="preserve">-frequency HO from the corresponding duplex mode if this capability is included in </w:t>
                  </w:r>
                  <w:proofErr w:type="spellStart"/>
                  <w:r w:rsidRPr="000E09AA">
                    <w:rPr>
                      <w:i/>
                    </w:rPr>
                    <w:t>fdd</w:t>
                  </w:r>
                  <w:proofErr w:type="spellEnd"/>
                  <w:r w:rsidRPr="000E09AA">
                    <w:rPr>
                      <w:i/>
                    </w:rPr>
                    <w:t>-Add-UE-NR-Capabilities</w:t>
                  </w:r>
                  <w:r w:rsidRPr="000E09AA">
                    <w:t xml:space="preserve"> or </w:t>
                  </w:r>
                  <w:proofErr w:type="spellStart"/>
                  <w:r w:rsidRPr="000E09AA">
                    <w:rPr>
                      <w:i/>
                    </w:rPr>
                    <w:t>tdd</w:t>
                  </w:r>
                  <w:proofErr w:type="spellEnd"/>
                  <w:r w:rsidRPr="000E09AA">
                    <w:rPr>
                      <w:i/>
                    </w:rPr>
                    <w:t>-Add-UE-NR-Capabilities</w:t>
                  </w:r>
                  <w:r w:rsidRPr="000E09AA">
                    <w:t>. It indicates the support for int</w:t>
                  </w:r>
                  <w:r>
                    <w:t>er</w:t>
                  </w:r>
                  <w:r w:rsidRPr="000E09AA">
                    <w:t xml:space="preserve">-frequency HO in the corresponding frequency range if this capability is included in </w:t>
                  </w:r>
                  <w:r w:rsidRPr="000E09AA">
                    <w:rPr>
                      <w:i/>
                    </w:rPr>
                    <w:t>fr1-Add-UE-NR-Capabilities</w:t>
                  </w:r>
                  <w:r w:rsidRPr="000E09AA">
                    <w:t xml:space="preserve"> or </w:t>
                  </w:r>
                  <w:r w:rsidRPr="000E09AA">
                    <w:rPr>
                      <w:i/>
                    </w:rPr>
                    <w:t>fr2-Add-UE-NR-Capabilities</w:t>
                  </w:r>
                  <w:r w:rsidRPr="000E09AA">
                    <w:t xml:space="preserve">. </w:t>
                  </w:r>
                </w:p>
              </w:tc>
              <w:tc>
                <w:tcPr>
                  <w:tcW w:w="680" w:type="dxa"/>
                </w:tcPr>
                <w:p w14:paraId="63C0E9EC" w14:textId="77777777" w:rsidR="004B0C98" w:rsidRPr="000E09AA" w:rsidRDefault="004B0C98" w:rsidP="004B0C98">
                  <w:pPr>
                    <w:pStyle w:val="TAL"/>
                    <w:jc w:val="center"/>
                    <w:rPr>
                      <w:bCs/>
                    </w:rPr>
                  </w:pPr>
                  <w:r w:rsidRPr="000E09AA">
                    <w:rPr>
                      <w:bCs/>
                    </w:rPr>
                    <w:t>IAB-MT</w:t>
                  </w:r>
                </w:p>
              </w:tc>
              <w:tc>
                <w:tcPr>
                  <w:tcW w:w="567" w:type="dxa"/>
                </w:tcPr>
                <w:p w14:paraId="7ADAFF56" w14:textId="77777777" w:rsidR="004B0C98" w:rsidRPr="000E09AA" w:rsidRDefault="004B0C98" w:rsidP="004B0C98">
                  <w:pPr>
                    <w:pStyle w:val="TAL"/>
                    <w:jc w:val="center"/>
                    <w:rPr>
                      <w:bCs/>
                    </w:rPr>
                  </w:pPr>
                  <w:r w:rsidRPr="000E09AA">
                    <w:rPr>
                      <w:bCs/>
                    </w:rPr>
                    <w:t>No</w:t>
                  </w:r>
                </w:p>
              </w:tc>
              <w:tc>
                <w:tcPr>
                  <w:tcW w:w="807" w:type="dxa"/>
                </w:tcPr>
                <w:p w14:paraId="3E828911" w14:textId="77777777" w:rsidR="004B0C98" w:rsidRPr="000E09AA" w:rsidRDefault="004B0C98" w:rsidP="004B0C98">
                  <w:pPr>
                    <w:pStyle w:val="TAL"/>
                    <w:jc w:val="center"/>
                    <w:rPr>
                      <w:bCs/>
                    </w:rPr>
                  </w:pPr>
                  <w:r w:rsidRPr="000E09AA">
                    <w:rPr>
                      <w:bCs/>
                    </w:rPr>
                    <w:t>Yes</w:t>
                  </w:r>
                </w:p>
              </w:tc>
              <w:tc>
                <w:tcPr>
                  <w:tcW w:w="630" w:type="dxa"/>
                </w:tcPr>
                <w:p w14:paraId="30D130B6" w14:textId="77777777" w:rsidR="004B0C98" w:rsidRPr="000E09AA" w:rsidRDefault="004B0C98" w:rsidP="004B0C98">
                  <w:pPr>
                    <w:pStyle w:val="TAL"/>
                    <w:jc w:val="center"/>
                    <w:rPr>
                      <w:bCs/>
                    </w:rPr>
                  </w:pPr>
                  <w:r w:rsidRPr="000E09AA">
                    <w:rPr>
                      <w:bCs/>
                    </w:rPr>
                    <w:t>Yes</w:t>
                  </w:r>
                </w:p>
              </w:tc>
            </w:tr>
          </w:tbl>
          <w:p w14:paraId="48C5881E" w14:textId="38417C6F" w:rsidR="004B0C98" w:rsidRDefault="004B0C98" w:rsidP="004B0C98"/>
        </w:tc>
      </w:tr>
    </w:tbl>
    <w:p w14:paraId="2D68A842" w14:textId="77777777" w:rsidR="004B0C98" w:rsidRDefault="004B0C98" w:rsidP="004B0C98"/>
    <w:p w14:paraId="5132BB5C" w14:textId="2E3AA7F6" w:rsidR="004B0C98" w:rsidRDefault="004B0C98" w:rsidP="004B0C98">
      <w:r>
        <w:t>Companies are invited to provide their views whether they agree with the proposals.</w:t>
      </w:r>
    </w:p>
    <w:p w14:paraId="224A8FB7" w14:textId="495AD0CB" w:rsidR="004B0C98" w:rsidRDefault="004B0C98" w:rsidP="004B0C98">
      <w:pPr>
        <w:rPr>
          <w:rFonts w:eastAsia="Malgun Gothic"/>
          <w:b/>
          <w:lang w:eastAsia="ko-KR"/>
        </w:rPr>
      </w:pPr>
      <w:r>
        <w:rPr>
          <w:rFonts w:eastAsia="Malgun Gothic"/>
          <w:b/>
          <w:lang w:eastAsia="ko-KR"/>
        </w:rPr>
        <w:t>Q1: Do you agree with the proposals in [1]? If not, please provide comments.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440"/>
        <w:gridCol w:w="6610"/>
      </w:tblGrid>
      <w:tr w:rsidR="004B0C98" w14:paraId="709211D9" w14:textId="77777777" w:rsidTr="009342DD">
        <w:tc>
          <w:tcPr>
            <w:tcW w:w="1589" w:type="dxa"/>
            <w:shd w:val="clear" w:color="auto" w:fill="BFBFBF"/>
            <w:vAlign w:val="center"/>
          </w:tcPr>
          <w:p w14:paraId="21782A69" w14:textId="77777777" w:rsidR="004B0C98" w:rsidRDefault="004B0C98" w:rsidP="009342D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440" w:type="dxa"/>
            <w:shd w:val="clear" w:color="auto" w:fill="BFBFBF"/>
            <w:vAlign w:val="center"/>
          </w:tcPr>
          <w:p w14:paraId="19FFCA33" w14:textId="77777777" w:rsidR="004B0C98" w:rsidRDefault="004B0C98" w:rsidP="009342D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Preference</w:t>
            </w:r>
            <w:r>
              <w:rPr>
                <w:rFonts w:hint="eastAsia"/>
                <w:b/>
              </w:rPr>
              <w:t xml:space="preserve"> (Y/N)</w:t>
            </w:r>
          </w:p>
        </w:tc>
        <w:tc>
          <w:tcPr>
            <w:tcW w:w="6610" w:type="dxa"/>
            <w:shd w:val="clear" w:color="auto" w:fill="BFBFBF"/>
            <w:vAlign w:val="center"/>
          </w:tcPr>
          <w:p w14:paraId="04FCC805" w14:textId="77777777" w:rsidR="004B0C98" w:rsidRDefault="004B0C98" w:rsidP="009342D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Detailed Comments</w:t>
            </w:r>
          </w:p>
        </w:tc>
      </w:tr>
      <w:tr w:rsidR="004B0C98" w14:paraId="244DC370" w14:textId="77777777" w:rsidTr="009342DD">
        <w:tc>
          <w:tcPr>
            <w:tcW w:w="1589" w:type="dxa"/>
            <w:shd w:val="clear" w:color="auto" w:fill="auto"/>
          </w:tcPr>
          <w:p w14:paraId="2EC3AE37" w14:textId="77777777" w:rsidR="004B0C98" w:rsidRDefault="004B0C98" w:rsidP="009342DD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23FF3B8A" w14:textId="77777777" w:rsidR="004B0C98" w:rsidRDefault="004B0C98" w:rsidP="009342DD">
            <w:pPr>
              <w:spacing w:after="120"/>
              <w:jc w:val="center"/>
            </w:pPr>
          </w:p>
        </w:tc>
        <w:tc>
          <w:tcPr>
            <w:tcW w:w="6610" w:type="dxa"/>
            <w:shd w:val="clear" w:color="auto" w:fill="auto"/>
          </w:tcPr>
          <w:p w14:paraId="119BE285" w14:textId="77777777" w:rsidR="004B0C98" w:rsidRPr="00AE6643" w:rsidRDefault="004B0C98" w:rsidP="009342DD">
            <w:pPr>
              <w:spacing w:after="120"/>
            </w:pPr>
          </w:p>
        </w:tc>
      </w:tr>
      <w:tr w:rsidR="004B0C98" w14:paraId="154F1C12" w14:textId="77777777" w:rsidTr="009342DD">
        <w:tc>
          <w:tcPr>
            <w:tcW w:w="1589" w:type="dxa"/>
            <w:shd w:val="clear" w:color="auto" w:fill="auto"/>
          </w:tcPr>
          <w:p w14:paraId="564F5F3A" w14:textId="77777777" w:rsidR="004B0C98" w:rsidRDefault="004B0C98" w:rsidP="009342DD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3E050F1C" w14:textId="77777777" w:rsidR="004B0C98" w:rsidRDefault="004B0C98" w:rsidP="009342DD">
            <w:pPr>
              <w:spacing w:after="120"/>
            </w:pPr>
          </w:p>
        </w:tc>
        <w:tc>
          <w:tcPr>
            <w:tcW w:w="6610" w:type="dxa"/>
            <w:shd w:val="clear" w:color="auto" w:fill="auto"/>
          </w:tcPr>
          <w:p w14:paraId="6321733F" w14:textId="77777777" w:rsidR="004B0C98" w:rsidRDefault="004B0C98" w:rsidP="009342DD">
            <w:pPr>
              <w:spacing w:after="120"/>
            </w:pPr>
          </w:p>
        </w:tc>
      </w:tr>
      <w:tr w:rsidR="004B0C98" w14:paraId="6CF7B678" w14:textId="77777777" w:rsidTr="009342DD">
        <w:tc>
          <w:tcPr>
            <w:tcW w:w="1589" w:type="dxa"/>
            <w:shd w:val="clear" w:color="auto" w:fill="auto"/>
          </w:tcPr>
          <w:p w14:paraId="16F48C66" w14:textId="77777777" w:rsidR="004B0C98" w:rsidRDefault="004B0C98" w:rsidP="009342DD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3EBADED3" w14:textId="77777777" w:rsidR="004B0C98" w:rsidRDefault="004B0C98" w:rsidP="009342DD">
            <w:pPr>
              <w:spacing w:after="120"/>
            </w:pPr>
          </w:p>
        </w:tc>
        <w:tc>
          <w:tcPr>
            <w:tcW w:w="6610" w:type="dxa"/>
            <w:shd w:val="clear" w:color="auto" w:fill="auto"/>
          </w:tcPr>
          <w:p w14:paraId="22032038" w14:textId="77777777" w:rsidR="004B0C98" w:rsidRDefault="004B0C98" w:rsidP="009342DD">
            <w:pPr>
              <w:spacing w:after="120"/>
            </w:pPr>
          </w:p>
        </w:tc>
      </w:tr>
    </w:tbl>
    <w:p w14:paraId="76200749" w14:textId="77777777" w:rsidR="004B0C98" w:rsidRDefault="004B0C98" w:rsidP="004B0C98"/>
    <w:p w14:paraId="600B3120" w14:textId="259DCFBD" w:rsidR="00262235" w:rsidRDefault="00262235" w:rsidP="00262235">
      <w:r>
        <w:t xml:space="preserve">The CR in [2] proposes changes to TS 38.306 based on the conclusions agreed </w:t>
      </w:r>
      <w:r w:rsidR="00C66E46">
        <w:t xml:space="preserve">by RAN Plenary </w:t>
      </w:r>
      <w:r>
        <w:t xml:space="preserve">and captured in </w:t>
      </w:r>
      <w:hyperlink r:id="rId13" w:history="1">
        <w:r w:rsidRPr="00262235">
          <w:rPr>
            <w:rStyle w:val="Hyperlink"/>
          </w:rPr>
          <w:t>RP-201292</w:t>
        </w:r>
      </w:hyperlink>
      <w:r>
        <w:t>.</w:t>
      </w:r>
      <w:r w:rsidR="00C66E46">
        <w:t xml:space="preserve"> The changes intend to </w:t>
      </w:r>
      <w:r w:rsidR="00C66E46">
        <w:rPr>
          <w:noProof/>
        </w:rPr>
        <w:t xml:space="preserve">clarify </w:t>
      </w:r>
      <w:r w:rsidR="00AB11D3">
        <w:rPr>
          <w:noProof/>
        </w:rPr>
        <w:t>accordingly</w:t>
      </w:r>
      <w:r w:rsidR="00C66E46">
        <w:rPr>
          <w:noProof/>
        </w:rPr>
        <w:t xml:space="preserve"> </w:t>
      </w:r>
      <w:r w:rsidR="00C66E46" w:rsidRPr="00A00E80">
        <w:rPr>
          <w:i/>
          <w:iCs/>
          <w:noProof/>
        </w:rPr>
        <w:t>eventA-MeasAndReport</w:t>
      </w:r>
      <w:r w:rsidR="00C66E46">
        <w:rPr>
          <w:noProof/>
        </w:rPr>
        <w:t xml:space="preserve"> and </w:t>
      </w:r>
      <w:r w:rsidR="00C66E46" w:rsidRPr="003E481F">
        <w:rPr>
          <w:i/>
          <w:iCs/>
          <w:noProof/>
        </w:rPr>
        <w:t>intraAndInterF-MeasAndReport</w:t>
      </w:r>
      <w:r w:rsidR="00C66E46">
        <w:rPr>
          <w:noProof/>
        </w:rPr>
        <w:t xml:space="preserve"> features </w:t>
      </w:r>
      <w:r w:rsidR="00AA0F9E">
        <w:rPr>
          <w:noProof/>
        </w:rPr>
        <w:t>support</w:t>
      </w:r>
      <w:r w:rsidR="00C66E46">
        <w:rPr>
          <w:noProof/>
        </w:rPr>
        <w:t>.</w:t>
      </w:r>
    </w:p>
    <w:p w14:paraId="19C2BA72" w14:textId="644CE101" w:rsidR="00262235" w:rsidRDefault="00262235" w:rsidP="00262235">
      <w:r>
        <w:t>Companies are invited to provide their views whether they agree with the changes.</w:t>
      </w:r>
    </w:p>
    <w:p w14:paraId="44EB6199" w14:textId="126F7589" w:rsidR="00262235" w:rsidRDefault="004B0C98" w:rsidP="00262235">
      <w:pPr>
        <w:rPr>
          <w:rFonts w:eastAsia="Malgun Gothic"/>
          <w:b/>
          <w:lang w:eastAsia="ko-KR"/>
        </w:rPr>
      </w:pPr>
      <w:r>
        <w:rPr>
          <w:rFonts w:eastAsia="Malgun Gothic"/>
          <w:b/>
          <w:lang w:eastAsia="ko-KR"/>
        </w:rPr>
        <w:t>Q2</w:t>
      </w:r>
      <w:r w:rsidR="00262235">
        <w:rPr>
          <w:rFonts w:eastAsia="Malgun Gothic"/>
          <w:b/>
          <w:lang w:eastAsia="ko-KR"/>
        </w:rPr>
        <w:t>: Do you agree with the changes proposed in [2]? If not, please provide comments.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440"/>
        <w:gridCol w:w="6610"/>
      </w:tblGrid>
      <w:tr w:rsidR="00262235" w14:paraId="49E50054" w14:textId="77777777" w:rsidTr="009342DD">
        <w:tc>
          <w:tcPr>
            <w:tcW w:w="1589" w:type="dxa"/>
            <w:shd w:val="clear" w:color="auto" w:fill="BFBFBF"/>
            <w:vAlign w:val="center"/>
          </w:tcPr>
          <w:p w14:paraId="150C0FBD" w14:textId="3DE334A9" w:rsidR="00262235" w:rsidRDefault="00262235" w:rsidP="009342D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440" w:type="dxa"/>
            <w:shd w:val="clear" w:color="auto" w:fill="BFBFBF"/>
            <w:vAlign w:val="center"/>
          </w:tcPr>
          <w:p w14:paraId="0AC48162" w14:textId="77777777" w:rsidR="00262235" w:rsidRDefault="00262235" w:rsidP="009342D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Preference</w:t>
            </w:r>
            <w:r>
              <w:rPr>
                <w:rFonts w:hint="eastAsia"/>
                <w:b/>
              </w:rPr>
              <w:t xml:space="preserve"> (Y/N)</w:t>
            </w:r>
          </w:p>
        </w:tc>
        <w:tc>
          <w:tcPr>
            <w:tcW w:w="6610" w:type="dxa"/>
            <w:shd w:val="clear" w:color="auto" w:fill="BFBFBF"/>
            <w:vAlign w:val="center"/>
          </w:tcPr>
          <w:p w14:paraId="2FA4372A" w14:textId="77777777" w:rsidR="00262235" w:rsidRDefault="00262235" w:rsidP="009342D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Detailed Comments</w:t>
            </w:r>
          </w:p>
        </w:tc>
      </w:tr>
      <w:tr w:rsidR="00262235" w14:paraId="118BBD87" w14:textId="77777777" w:rsidTr="009342DD">
        <w:tc>
          <w:tcPr>
            <w:tcW w:w="1589" w:type="dxa"/>
            <w:shd w:val="clear" w:color="auto" w:fill="auto"/>
          </w:tcPr>
          <w:p w14:paraId="714A6796" w14:textId="77777777" w:rsidR="00262235" w:rsidRDefault="00262235" w:rsidP="009342DD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4E74D3DC" w14:textId="77777777" w:rsidR="00262235" w:rsidRDefault="00262235" w:rsidP="009342DD">
            <w:pPr>
              <w:spacing w:after="120"/>
              <w:jc w:val="center"/>
            </w:pPr>
          </w:p>
        </w:tc>
        <w:tc>
          <w:tcPr>
            <w:tcW w:w="6610" w:type="dxa"/>
            <w:shd w:val="clear" w:color="auto" w:fill="auto"/>
          </w:tcPr>
          <w:p w14:paraId="72F08E30" w14:textId="77777777" w:rsidR="00262235" w:rsidRPr="00AE6643" w:rsidRDefault="00262235" w:rsidP="009342DD">
            <w:pPr>
              <w:spacing w:after="120"/>
            </w:pPr>
          </w:p>
        </w:tc>
      </w:tr>
      <w:tr w:rsidR="00262235" w14:paraId="5873B4C6" w14:textId="77777777" w:rsidTr="009342DD">
        <w:tc>
          <w:tcPr>
            <w:tcW w:w="1589" w:type="dxa"/>
            <w:shd w:val="clear" w:color="auto" w:fill="auto"/>
          </w:tcPr>
          <w:p w14:paraId="38F2A1B6" w14:textId="77777777" w:rsidR="00262235" w:rsidRDefault="00262235" w:rsidP="009342DD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4F328966" w14:textId="77777777" w:rsidR="00262235" w:rsidRDefault="00262235" w:rsidP="009342DD">
            <w:pPr>
              <w:spacing w:after="120"/>
            </w:pPr>
          </w:p>
        </w:tc>
        <w:tc>
          <w:tcPr>
            <w:tcW w:w="6610" w:type="dxa"/>
            <w:shd w:val="clear" w:color="auto" w:fill="auto"/>
          </w:tcPr>
          <w:p w14:paraId="60CDF66E" w14:textId="77777777" w:rsidR="00262235" w:rsidRDefault="00262235" w:rsidP="009342DD">
            <w:pPr>
              <w:spacing w:after="120"/>
            </w:pPr>
          </w:p>
        </w:tc>
      </w:tr>
      <w:tr w:rsidR="00262235" w14:paraId="526C83EF" w14:textId="77777777" w:rsidTr="009342DD">
        <w:tc>
          <w:tcPr>
            <w:tcW w:w="1589" w:type="dxa"/>
            <w:shd w:val="clear" w:color="auto" w:fill="auto"/>
          </w:tcPr>
          <w:p w14:paraId="69EAEF76" w14:textId="77777777" w:rsidR="00262235" w:rsidRDefault="00262235" w:rsidP="009342DD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74F17268" w14:textId="77777777" w:rsidR="00262235" w:rsidRDefault="00262235" w:rsidP="009342DD">
            <w:pPr>
              <w:spacing w:after="120"/>
            </w:pPr>
          </w:p>
        </w:tc>
        <w:tc>
          <w:tcPr>
            <w:tcW w:w="6610" w:type="dxa"/>
            <w:shd w:val="clear" w:color="auto" w:fill="auto"/>
          </w:tcPr>
          <w:p w14:paraId="6DBEF93D" w14:textId="77777777" w:rsidR="00262235" w:rsidRDefault="00262235" w:rsidP="009342DD">
            <w:pPr>
              <w:spacing w:after="120"/>
            </w:pPr>
          </w:p>
        </w:tc>
      </w:tr>
    </w:tbl>
    <w:p w14:paraId="7460E210" w14:textId="77777777" w:rsidR="00262235" w:rsidRDefault="00262235" w:rsidP="00262235"/>
    <w:p w14:paraId="53192CEB" w14:textId="687E3559" w:rsidR="00F66DF4" w:rsidRDefault="00F66DF4" w:rsidP="00A209D6">
      <w:r>
        <w:t>The CR in [</w:t>
      </w:r>
      <w:r w:rsidR="00262235">
        <w:t>3</w:t>
      </w:r>
      <w:r>
        <w:t xml:space="preserve">] proposes </w:t>
      </w:r>
      <w:r w:rsidR="00227C92">
        <w:t>additions into TS 38.300 to implement the following agreement:</w:t>
      </w:r>
    </w:p>
    <w:p w14:paraId="4EF6F09B" w14:textId="19A440DC" w:rsidR="00F66DF4" w:rsidRPr="00F66DF4" w:rsidRDefault="00F66DF4" w:rsidP="00A209D6">
      <w:pPr>
        <w:pStyle w:val="CRCoverPage"/>
        <w:numPr>
          <w:ilvl w:val="0"/>
          <w:numId w:val="8"/>
        </w:numPr>
        <w:rPr>
          <w:i/>
          <w:iCs/>
          <w:lang w:val="pl-PL" w:eastAsia="ko-KR"/>
        </w:rPr>
      </w:pPr>
      <w:r w:rsidRPr="00F66DF4">
        <w:rPr>
          <w:rFonts w:hint="eastAsia"/>
          <w:b/>
          <w:bCs/>
          <w:i/>
          <w:iCs/>
          <w:lang w:val="pl-PL" w:eastAsia="ko-KR"/>
        </w:rPr>
        <w:t xml:space="preserve">R2 to </w:t>
      </w:r>
      <w:proofErr w:type="spellStart"/>
      <w:r w:rsidRPr="00F66DF4">
        <w:rPr>
          <w:rFonts w:hint="eastAsia"/>
          <w:b/>
          <w:bCs/>
          <w:i/>
          <w:iCs/>
          <w:lang w:val="pl-PL" w:eastAsia="ko-KR"/>
        </w:rPr>
        <w:t>specify</w:t>
      </w:r>
      <w:proofErr w:type="spellEnd"/>
      <w:r w:rsidRPr="00F66DF4">
        <w:rPr>
          <w:rFonts w:hint="eastAsia"/>
          <w:b/>
          <w:bCs/>
          <w:i/>
          <w:iCs/>
          <w:lang w:val="pl-PL" w:eastAsia="ko-KR"/>
        </w:rPr>
        <w:t xml:space="preserve"> </w:t>
      </w:r>
      <w:proofErr w:type="spellStart"/>
      <w:r w:rsidRPr="00F66DF4">
        <w:rPr>
          <w:rFonts w:hint="eastAsia"/>
          <w:b/>
          <w:bCs/>
          <w:i/>
          <w:iCs/>
          <w:lang w:val="pl-PL" w:eastAsia="ko-KR"/>
        </w:rPr>
        <w:t>that</w:t>
      </w:r>
      <w:proofErr w:type="spellEnd"/>
      <w:r w:rsidRPr="00F66DF4">
        <w:rPr>
          <w:rFonts w:hint="eastAsia"/>
          <w:b/>
          <w:bCs/>
          <w:i/>
          <w:iCs/>
          <w:lang w:val="pl-PL" w:eastAsia="ko-KR"/>
        </w:rPr>
        <w:t xml:space="preserve"> IAB-</w:t>
      </w:r>
      <w:proofErr w:type="spellStart"/>
      <w:r w:rsidRPr="00F66DF4">
        <w:rPr>
          <w:rFonts w:hint="eastAsia"/>
          <w:b/>
          <w:bCs/>
          <w:i/>
          <w:iCs/>
          <w:lang w:val="pl-PL" w:eastAsia="ko-KR"/>
        </w:rPr>
        <w:t>MTs</w:t>
      </w:r>
      <w:proofErr w:type="spellEnd"/>
      <w:r w:rsidRPr="00F66DF4">
        <w:rPr>
          <w:rFonts w:hint="eastAsia"/>
          <w:b/>
          <w:bCs/>
          <w:i/>
          <w:iCs/>
          <w:lang w:val="pl-PL" w:eastAsia="ko-KR"/>
        </w:rPr>
        <w:t xml:space="preserve"> </w:t>
      </w:r>
      <w:proofErr w:type="spellStart"/>
      <w:r w:rsidRPr="00F66DF4">
        <w:rPr>
          <w:rFonts w:hint="eastAsia"/>
          <w:b/>
          <w:bCs/>
          <w:i/>
          <w:iCs/>
          <w:lang w:val="pl-PL" w:eastAsia="ko-KR"/>
        </w:rPr>
        <w:t>can</w:t>
      </w:r>
      <w:proofErr w:type="spellEnd"/>
      <w:r w:rsidRPr="00F66DF4">
        <w:rPr>
          <w:rFonts w:hint="eastAsia"/>
          <w:b/>
          <w:bCs/>
          <w:i/>
          <w:iCs/>
          <w:lang w:val="pl-PL" w:eastAsia="ko-KR"/>
        </w:rPr>
        <w:t xml:space="preserve"> </w:t>
      </w:r>
      <w:proofErr w:type="spellStart"/>
      <w:r w:rsidRPr="00F66DF4">
        <w:rPr>
          <w:rFonts w:hint="eastAsia"/>
          <w:b/>
          <w:bCs/>
          <w:i/>
          <w:iCs/>
          <w:lang w:val="pl-PL" w:eastAsia="ko-KR"/>
        </w:rPr>
        <w:t>make</w:t>
      </w:r>
      <w:proofErr w:type="spellEnd"/>
      <w:r w:rsidRPr="00F66DF4">
        <w:rPr>
          <w:rFonts w:hint="eastAsia"/>
          <w:b/>
          <w:bCs/>
          <w:i/>
          <w:iCs/>
          <w:lang w:val="pl-PL" w:eastAsia="ko-KR"/>
        </w:rPr>
        <w:t xml:space="preserve"> </w:t>
      </w:r>
      <w:proofErr w:type="spellStart"/>
      <w:r w:rsidRPr="00F66DF4">
        <w:rPr>
          <w:rFonts w:hint="eastAsia"/>
          <w:b/>
          <w:bCs/>
          <w:i/>
          <w:iCs/>
          <w:lang w:val="pl-PL" w:eastAsia="ko-KR"/>
        </w:rPr>
        <w:t>use</w:t>
      </w:r>
      <w:proofErr w:type="spellEnd"/>
      <w:r w:rsidRPr="00F66DF4">
        <w:rPr>
          <w:rFonts w:hint="eastAsia"/>
          <w:b/>
          <w:bCs/>
          <w:i/>
          <w:iCs/>
          <w:lang w:val="pl-PL" w:eastAsia="ko-KR"/>
        </w:rPr>
        <w:t xml:space="preserve"> of the UE </w:t>
      </w:r>
      <w:proofErr w:type="spellStart"/>
      <w:r w:rsidRPr="00F66DF4">
        <w:rPr>
          <w:rFonts w:hint="eastAsia"/>
          <w:b/>
          <w:bCs/>
          <w:i/>
          <w:iCs/>
          <w:lang w:val="pl-PL" w:eastAsia="ko-KR"/>
        </w:rPr>
        <w:t>capability</w:t>
      </w:r>
      <w:proofErr w:type="spellEnd"/>
      <w:r w:rsidRPr="00F66DF4">
        <w:rPr>
          <w:rFonts w:hint="eastAsia"/>
          <w:b/>
          <w:bCs/>
          <w:i/>
          <w:iCs/>
          <w:lang w:val="pl-PL" w:eastAsia="ko-KR"/>
        </w:rPr>
        <w:t xml:space="preserve"> </w:t>
      </w:r>
      <w:proofErr w:type="spellStart"/>
      <w:r w:rsidRPr="00F66DF4">
        <w:rPr>
          <w:rFonts w:hint="eastAsia"/>
          <w:b/>
          <w:bCs/>
          <w:i/>
          <w:iCs/>
          <w:lang w:val="pl-PL" w:eastAsia="ko-KR"/>
        </w:rPr>
        <w:t>signaling</w:t>
      </w:r>
      <w:proofErr w:type="spellEnd"/>
      <w:r w:rsidRPr="00F66DF4">
        <w:rPr>
          <w:rFonts w:hint="eastAsia"/>
          <w:b/>
          <w:bCs/>
          <w:i/>
          <w:iCs/>
          <w:lang w:val="pl-PL" w:eastAsia="ko-KR"/>
        </w:rPr>
        <w:t xml:space="preserve"> </w:t>
      </w:r>
      <w:proofErr w:type="spellStart"/>
      <w:r w:rsidRPr="00F66DF4">
        <w:rPr>
          <w:rFonts w:hint="eastAsia"/>
          <w:b/>
          <w:bCs/>
          <w:i/>
          <w:iCs/>
          <w:lang w:val="pl-PL" w:eastAsia="ko-KR"/>
        </w:rPr>
        <w:t>framework</w:t>
      </w:r>
      <w:proofErr w:type="spellEnd"/>
      <w:r w:rsidRPr="00F66DF4">
        <w:rPr>
          <w:rFonts w:hint="eastAsia"/>
          <w:b/>
          <w:bCs/>
          <w:i/>
          <w:iCs/>
          <w:lang w:val="pl-PL" w:eastAsia="ko-KR"/>
        </w:rPr>
        <w:t xml:space="preserve"> (</w:t>
      </w:r>
      <w:proofErr w:type="spellStart"/>
      <w:r w:rsidRPr="00F66DF4">
        <w:rPr>
          <w:rFonts w:hint="eastAsia"/>
          <w:b/>
          <w:bCs/>
          <w:i/>
          <w:iCs/>
          <w:lang w:val="pl-PL" w:eastAsia="ko-KR"/>
        </w:rPr>
        <w:t>including</w:t>
      </w:r>
      <w:proofErr w:type="spellEnd"/>
      <w:r w:rsidRPr="00F66DF4">
        <w:rPr>
          <w:rFonts w:hint="eastAsia"/>
          <w:b/>
          <w:bCs/>
          <w:i/>
          <w:iCs/>
          <w:lang w:val="pl-PL" w:eastAsia="ko-KR"/>
        </w:rPr>
        <w:t xml:space="preserve"> </w:t>
      </w:r>
      <w:proofErr w:type="spellStart"/>
      <w:r w:rsidRPr="00F66DF4">
        <w:rPr>
          <w:rFonts w:hint="eastAsia"/>
          <w:b/>
          <w:bCs/>
          <w:i/>
          <w:iCs/>
          <w:lang w:val="pl-PL" w:eastAsia="ko-KR"/>
        </w:rPr>
        <w:t>specification</w:t>
      </w:r>
      <w:proofErr w:type="spellEnd"/>
      <w:r w:rsidRPr="00F66DF4">
        <w:rPr>
          <w:rFonts w:hint="eastAsia"/>
          <w:b/>
          <w:bCs/>
          <w:i/>
          <w:iCs/>
          <w:lang w:val="pl-PL" w:eastAsia="ko-KR"/>
        </w:rPr>
        <w:t xml:space="preserve"> of minimum set). </w:t>
      </w:r>
      <w:proofErr w:type="spellStart"/>
      <w:r w:rsidRPr="00F66DF4">
        <w:rPr>
          <w:rFonts w:hint="eastAsia"/>
          <w:b/>
          <w:bCs/>
          <w:i/>
          <w:iCs/>
          <w:lang w:val="pl-PL" w:eastAsia="ko-KR"/>
        </w:rPr>
        <w:t>Whether</w:t>
      </w:r>
      <w:proofErr w:type="spellEnd"/>
      <w:r w:rsidRPr="00F66DF4">
        <w:rPr>
          <w:rFonts w:hint="eastAsia"/>
          <w:b/>
          <w:bCs/>
          <w:i/>
          <w:iCs/>
          <w:lang w:val="pl-PL" w:eastAsia="ko-KR"/>
        </w:rPr>
        <w:t xml:space="preserve"> </w:t>
      </w:r>
      <w:proofErr w:type="spellStart"/>
      <w:r w:rsidRPr="00F66DF4">
        <w:rPr>
          <w:rFonts w:hint="eastAsia"/>
          <w:b/>
          <w:bCs/>
          <w:i/>
          <w:iCs/>
          <w:lang w:val="pl-PL" w:eastAsia="ko-KR"/>
        </w:rPr>
        <w:t>it</w:t>
      </w:r>
      <w:proofErr w:type="spellEnd"/>
      <w:r w:rsidRPr="00F66DF4">
        <w:rPr>
          <w:rFonts w:hint="eastAsia"/>
          <w:b/>
          <w:bCs/>
          <w:i/>
          <w:iCs/>
          <w:lang w:val="pl-PL" w:eastAsia="ko-KR"/>
        </w:rPr>
        <w:t xml:space="preserve"> </w:t>
      </w:r>
      <w:proofErr w:type="spellStart"/>
      <w:r w:rsidRPr="00F66DF4">
        <w:rPr>
          <w:rFonts w:hint="eastAsia"/>
          <w:b/>
          <w:bCs/>
          <w:i/>
          <w:iCs/>
          <w:lang w:val="pl-PL" w:eastAsia="ko-KR"/>
        </w:rPr>
        <w:t>is</w:t>
      </w:r>
      <w:proofErr w:type="spellEnd"/>
      <w:r w:rsidRPr="00F66DF4">
        <w:rPr>
          <w:rFonts w:hint="eastAsia"/>
          <w:b/>
          <w:bCs/>
          <w:i/>
          <w:iCs/>
          <w:lang w:val="pl-PL" w:eastAsia="ko-KR"/>
        </w:rPr>
        <w:t xml:space="preserve"> </w:t>
      </w:r>
      <w:proofErr w:type="spellStart"/>
      <w:r w:rsidRPr="00F66DF4">
        <w:rPr>
          <w:rFonts w:hint="eastAsia"/>
          <w:b/>
          <w:bCs/>
          <w:i/>
          <w:iCs/>
          <w:lang w:val="pl-PL" w:eastAsia="ko-KR"/>
        </w:rPr>
        <w:t>actually</w:t>
      </w:r>
      <w:proofErr w:type="spellEnd"/>
      <w:r w:rsidRPr="00F66DF4">
        <w:rPr>
          <w:rFonts w:hint="eastAsia"/>
          <w:b/>
          <w:bCs/>
          <w:i/>
          <w:iCs/>
          <w:lang w:val="pl-PL" w:eastAsia="ko-KR"/>
        </w:rPr>
        <w:t xml:space="preserve"> </w:t>
      </w:r>
      <w:proofErr w:type="spellStart"/>
      <w:r w:rsidRPr="00F66DF4">
        <w:rPr>
          <w:rFonts w:hint="eastAsia"/>
          <w:b/>
          <w:bCs/>
          <w:i/>
          <w:iCs/>
          <w:lang w:val="pl-PL" w:eastAsia="ko-KR"/>
        </w:rPr>
        <w:t>used</w:t>
      </w:r>
      <w:proofErr w:type="spellEnd"/>
      <w:r w:rsidRPr="00F66DF4">
        <w:rPr>
          <w:rFonts w:hint="eastAsia"/>
          <w:b/>
          <w:bCs/>
          <w:i/>
          <w:iCs/>
          <w:lang w:val="pl-PL" w:eastAsia="ko-KR"/>
        </w:rPr>
        <w:t xml:space="preserve"> for </w:t>
      </w:r>
      <w:proofErr w:type="spellStart"/>
      <w:r w:rsidRPr="00F66DF4">
        <w:rPr>
          <w:rFonts w:hint="eastAsia"/>
          <w:b/>
          <w:bCs/>
          <w:i/>
          <w:iCs/>
          <w:lang w:val="pl-PL" w:eastAsia="ko-KR"/>
        </w:rPr>
        <w:t>e.</w:t>
      </w:r>
      <w:proofErr w:type="gramStart"/>
      <w:r w:rsidRPr="00F66DF4">
        <w:rPr>
          <w:rFonts w:hint="eastAsia"/>
          <w:b/>
          <w:bCs/>
          <w:i/>
          <w:iCs/>
          <w:lang w:val="pl-PL" w:eastAsia="ko-KR"/>
        </w:rPr>
        <w:t>g</w:t>
      </w:r>
      <w:proofErr w:type="spellEnd"/>
      <w:proofErr w:type="gramEnd"/>
      <w:r w:rsidRPr="00F66DF4">
        <w:rPr>
          <w:rFonts w:hint="eastAsia"/>
          <w:b/>
          <w:bCs/>
          <w:i/>
          <w:iCs/>
          <w:lang w:val="pl-PL" w:eastAsia="ko-KR"/>
        </w:rPr>
        <w:t xml:space="preserve">. </w:t>
      </w:r>
      <w:proofErr w:type="spellStart"/>
      <w:r w:rsidRPr="00F66DF4">
        <w:rPr>
          <w:rFonts w:hint="eastAsia"/>
          <w:b/>
          <w:bCs/>
          <w:i/>
          <w:iCs/>
          <w:lang w:val="pl-PL" w:eastAsia="ko-KR"/>
        </w:rPr>
        <w:t>Wide</w:t>
      </w:r>
      <w:proofErr w:type="spellEnd"/>
      <w:r w:rsidRPr="00F66DF4">
        <w:rPr>
          <w:rFonts w:hint="eastAsia"/>
          <w:b/>
          <w:bCs/>
          <w:i/>
          <w:iCs/>
          <w:lang w:val="pl-PL" w:eastAsia="ko-KR"/>
        </w:rPr>
        <w:t xml:space="preserve"> </w:t>
      </w:r>
      <w:proofErr w:type="spellStart"/>
      <w:r w:rsidRPr="00F66DF4">
        <w:rPr>
          <w:rFonts w:hint="eastAsia"/>
          <w:b/>
          <w:bCs/>
          <w:i/>
          <w:iCs/>
          <w:lang w:val="pl-PL" w:eastAsia="ko-KR"/>
        </w:rPr>
        <w:t>Area</w:t>
      </w:r>
      <w:proofErr w:type="spellEnd"/>
      <w:r w:rsidRPr="00F66DF4">
        <w:rPr>
          <w:rFonts w:hint="eastAsia"/>
          <w:b/>
          <w:bCs/>
          <w:i/>
          <w:iCs/>
          <w:lang w:val="pl-PL" w:eastAsia="ko-KR"/>
        </w:rPr>
        <w:t xml:space="preserve"> IAB-</w:t>
      </w:r>
      <w:proofErr w:type="spellStart"/>
      <w:r w:rsidRPr="00F66DF4">
        <w:rPr>
          <w:rFonts w:hint="eastAsia"/>
          <w:b/>
          <w:bCs/>
          <w:i/>
          <w:iCs/>
          <w:lang w:val="pl-PL" w:eastAsia="ko-KR"/>
        </w:rPr>
        <w:t>MTs</w:t>
      </w:r>
      <w:proofErr w:type="spellEnd"/>
      <w:r w:rsidRPr="00F66DF4">
        <w:rPr>
          <w:rFonts w:hint="eastAsia"/>
          <w:b/>
          <w:bCs/>
          <w:i/>
          <w:iCs/>
          <w:lang w:val="pl-PL" w:eastAsia="ko-KR"/>
        </w:rPr>
        <w:t xml:space="preserve"> </w:t>
      </w:r>
      <w:proofErr w:type="spellStart"/>
      <w:r w:rsidRPr="00F66DF4">
        <w:rPr>
          <w:rFonts w:hint="eastAsia"/>
          <w:b/>
          <w:bCs/>
          <w:i/>
          <w:iCs/>
          <w:lang w:val="pl-PL" w:eastAsia="ko-KR"/>
        </w:rPr>
        <w:t>may</w:t>
      </w:r>
      <w:proofErr w:type="spellEnd"/>
      <w:r w:rsidRPr="00F66DF4">
        <w:rPr>
          <w:rFonts w:hint="eastAsia"/>
          <w:b/>
          <w:bCs/>
          <w:i/>
          <w:iCs/>
          <w:lang w:val="pl-PL" w:eastAsia="ko-KR"/>
        </w:rPr>
        <w:t xml:space="preserve"> be </w:t>
      </w:r>
      <w:proofErr w:type="spellStart"/>
      <w:r w:rsidRPr="00F66DF4">
        <w:rPr>
          <w:rFonts w:hint="eastAsia"/>
          <w:b/>
          <w:bCs/>
          <w:i/>
          <w:iCs/>
          <w:lang w:val="pl-PL" w:eastAsia="ko-KR"/>
        </w:rPr>
        <w:t>up</w:t>
      </w:r>
      <w:proofErr w:type="spellEnd"/>
      <w:r w:rsidRPr="00F66DF4">
        <w:rPr>
          <w:rFonts w:hint="eastAsia"/>
          <w:b/>
          <w:bCs/>
          <w:i/>
          <w:iCs/>
          <w:lang w:val="pl-PL" w:eastAsia="ko-KR"/>
        </w:rPr>
        <w:t xml:space="preserve"> to </w:t>
      </w:r>
      <w:proofErr w:type="spellStart"/>
      <w:r w:rsidRPr="00F66DF4">
        <w:rPr>
          <w:rFonts w:hint="eastAsia"/>
          <w:b/>
          <w:bCs/>
          <w:i/>
          <w:iCs/>
          <w:lang w:val="pl-PL" w:eastAsia="ko-KR"/>
        </w:rPr>
        <w:t>implementation</w:t>
      </w:r>
      <w:proofErr w:type="spellEnd"/>
      <w:r w:rsidRPr="00F66DF4">
        <w:rPr>
          <w:rFonts w:hint="eastAsia"/>
          <w:b/>
          <w:bCs/>
          <w:i/>
          <w:iCs/>
          <w:lang w:val="pl-PL" w:eastAsia="ko-K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27C92" w14:paraId="7A2B5517" w14:textId="77777777" w:rsidTr="009342DD">
        <w:tc>
          <w:tcPr>
            <w:tcW w:w="9631" w:type="dxa"/>
            <w:shd w:val="clear" w:color="auto" w:fill="F2F2F2" w:themeFill="background1" w:themeFillShade="F2"/>
          </w:tcPr>
          <w:p w14:paraId="77072064" w14:textId="77777777" w:rsidR="00227C92" w:rsidRPr="00985D1C" w:rsidRDefault="00227C92" w:rsidP="009342DD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80"/>
              <w:ind w:left="1134" w:hanging="1134"/>
              <w:textAlignment w:val="baseline"/>
              <w:outlineLvl w:val="1"/>
              <w:rPr>
                <w:rFonts w:ascii="Arial" w:hAnsi="Arial"/>
                <w:sz w:val="32"/>
                <w:lang w:eastAsia="ja-JP"/>
              </w:rPr>
            </w:pPr>
            <w:r w:rsidRPr="00985D1C">
              <w:rPr>
                <w:rFonts w:ascii="Arial" w:hAnsi="Arial"/>
                <w:sz w:val="32"/>
                <w:lang w:eastAsia="ja-JP"/>
              </w:rPr>
              <w:t>7.5</w:t>
            </w:r>
            <w:r w:rsidRPr="00985D1C">
              <w:rPr>
                <w:rFonts w:ascii="Arial" w:hAnsi="Arial"/>
                <w:sz w:val="32"/>
                <w:lang w:eastAsia="ja-JP"/>
              </w:rPr>
              <w:tab/>
              <w:t>UE Capability Retrieval framework</w:t>
            </w:r>
          </w:p>
          <w:p w14:paraId="6772A66B" w14:textId="77777777" w:rsidR="00227C92" w:rsidRPr="00985D1C" w:rsidRDefault="00227C92" w:rsidP="009342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ja-JP"/>
              </w:rPr>
            </w:pPr>
            <w:r w:rsidRPr="00985D1C">
              <w:rPr>
                <w:lang w:eastAsia="ja-JP"/>
              </w:rPr>
              <w:t xml:space="preserve">The UE reports its UE radio access capabilities which are static at least when the network requests. The </w:t>
            </w:r>
            <w:proofErr w:type="spellStart"/>
            <w:r w:rsidRPr="00985D1C">
              <w:rPr>
                <w:lang w:eastAsia="ja-JP"/>
              </w:rPr>
              <w:t>gNB</w:t>
            </w:r>
            <w:proofErr w:type="spellEnd"/>
            <w:r w:rsidRPr="00985D1C">
              <w:rPr>
                <w:lang w:eastAsia="ja-JP"/>
              </w:rPr>
              <w:t xml:space="preserve"> can request what capabilities for the UE to report based on band information. The UE capability can be represented by a capability ID, which may be exchanged in NAS signalling over the air and in network signalling instead of the UE capability structure.</w:t>
            </w:r>
          </w:p>
          <w:p w14:paraId="34674E15" w14:textId="77777777" w:rsidR="00227C92" w:rsidRDefault="00227C92" w:rsidP="009342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ja-JP"/>
              </w:rPr>
            </w:pPr>
            <w:r w:rsidRPr="00985D1C">
              <w:rPr>
                <w:highlight w:val="yellow"/>
                <w:lang w:eastAsia="ja-JP"/>
              </w:rPr>
              <w:t>In IAB, it is optional for an IAB-MT to support UE capability Retrieval framework and the related signalling. In case IAB-MT does not support UE capability Retrieval framework, IAB-MT capabilities are assumed to be known to the network by other means, e.g. OAM</w:t>
            </w:r>
            <w:r w:rsidRPr="00985D1C">
              <w:rPr>
                <w:lang w:eastAsia="ja-JP"/>
              </w:rPr>
              <w:t xml:space="preserve"> </w:t>
            </w:r>
          </w:p>
        </w:tc>
      </w:tr>
    </w:tbl>
    <w:p w14:paraId="4D59028D" w14:textId="2F230E02" w:rsidR="00F66DF4" w:rsidRPr="00C937C7" w:rsidRDefault="00F66DF4" w:rsidP="00F66DF4">
      <w:pPr>
        <w:pStyle w:val="CRCoverPage"/>
        <w:ind w:left="720"/>
        <w:rPr>
          <w:i/>
          <w:iCs/>
          <w:lang w:eastAsia="ko-KR"/>
        </w:rPr>
      </w:pPr>
    </w:p>
    <w:p w14:paraId="5BCB4B0A" w14:textId="49FB9102" w:rsidR="00227C92" w:rsidRDefault="00227C92" w:rsidP="00227C92">
      <w:r>
        <w:t>Alternatively, the CR in [4] proposes the following change with a new section added into TS 38.300:</w:t>
      </w:r>
    </w:p>
    <w:p w14:paraId="6EDD2077" w14:textId="77777777" w:rsidR="00227C92" w:rsidRPr="00C937C7" w:rsidRDefault="00227C92" w:rsidP="00F66DF4">
      <w:pPr>
        <w:pStyle w:val="CRCoverPage"/>
        <w:ind w:left="720"/>
        <w:rPr>
          <w:i/>
          <w:iCs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F66DF4" w14:paraId="46437CF9" w14:textId="77777777" w:rsidTr="00F66DF4">
        <w:tc>
          <w:tcPr>
            <w:tcW w:w="9631" w:type="dxa"/>
            <w:shd w:val="clear" w:color="auto" w:fill="F2F2F2" w:themeFill="background1" w:themeFillShade="F2"/>
          </w:tcPr>
          <w:p w14:paraId="4D8F878C" w14:textId="77777777" w:rsidR="00F66DF4" w:rsidRDefault="00F66DF4" w:rsidP="00F66DF4">
            <w:pPr>
              <w:pStyle w:val="Heading4"/>
              <w:ind w:left="1200" w:hanging="40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4.7.4.</w:t>
            </w:r>
            <w:r>
              <w:rPr>
                <w:lang w:eastAsia="ko-KR"/>
              </w:rPr>
              <w:t>5</w:t>
            </w:r>
            <w:r>
              <w:rPr>
                <w:rFonts w:hint="eastAsia"/>
                <w:lang w:eastAsia="ko-KR"/>
              </w:rPr>
              <w:tab/>
            </w:r>
            <w:r>
              <w:rPr>
                <w:lang w:eastAsia="ko-KR"/>
              </w:rPr>
              <w:t xml:space="preserve">IAB-node Capability </w:t>
            </w:r>
            <w:proofErr w:type="spellStart"/>
            <w:r>
              <w:rPr>
                <w:lang w:eastAsia="ko-KR"/>
              </w:rPr>
              <w:t>Signaling</w:t>
            </w:r>
            <w:proofErr w:type="spellEnd"/>
          </w:p>
          <w:p w14:paraId="7DA1E10C" w14:textId="4CA88A7F" w:rsidR="00F66DF4" w:rsidRDefault="00F66DF4" w:rsidP="00A209D6">
            <w:pPr>
              <w:rPr>
                <w:lang w:eastAsia="ko-KR"/>
              </w:rPr>
            </w:pPr>
            <w:r w:rsidRPr="001E06C1">
              <w:rPr>
                <w:lang w:eastAsia="ko-KR"/>
              </w:rPr>
              <w:t xml:space="preserve">IAB-MTs can make use of the UE capability </w:t>
            </w:r>
            <w:proofErr w:type="spellStart"/>
            <w:r w:rsidRPr="001E06C1">
              <w:rPr>
                <w:lang w:eastAsia="ko-KR"/>
              </w:rPr>
              <w:t>signaling</w:t>
            </w:r>
            <w:proofErr w:type="spellEnd"/>
            <w:r w:rsidRPr="001E06C1">
              <w:rPr>
                <w:lang w:eastAsia="ko-KR"/>
              </w:rPr>
              <w:t xml:space="preserve"> framework (including specification of minimum set). Whether it is </w:t>
            </w:r>
            <w:proofErr w:type="gramStart"/>
            <w:r w:rsidRPr="001E06C1">
              <w:rPr>
                <w:lang w:eastAsia="ko-KR"/>
              </w:rPr>
              <w:t>actually used</w:t>
            </w:r>
            <w:proofErr w:type="gramEnd"/>
            <w:r w:rsidRPr="001E06C1">
              <w:rPr>
                <w:lang w:eastAsia="ko-KR"/>
              </w:rPr>
              <w:t xml:space="preserve"> for e.g. Wide Area IAB-MTs may be up to implementation.</w:t>
            </w:r>
          </w:p>
        </w:tc>
      </w:tr>
    </w:tbl>
    <w:p w14:paraId="7D41541E" w14:textId="77777777" w:rsidR="0029717E" w:rsidRDefault="0029717E" w:rsidP="00A209D6"/>
    <w:p w14:paraId="45CF481C" w14:textId="0071D9E3" w:rsidR="00F66DF4" w:rsidRDefault="00F66DF4" w:rsidP="00A209D6">
      <w:r>
        <w:t>The companies are invited to provide their views for the above proposal</w:t>
      </w:r>
      <w:r w:rsidR="0029717E">
        <w:t>s</w:t>
      </w:r>
      <w:r>
        <w:t xml:space="preserve"> and, especially, wh</w:t>
      </w:r>
      <w:r w:rsidR="0029717E">
        <w:t>ich</w:t>
      </w:r>
      <w:r>
        <w:t xml:space="preserve"> </w:t>
      </w:r>
      <w:r w:rsidR="0029717E">
        <w:t xml:space="preserve">CR should become a baseline for </w:t>
      </w:r>
      <w:r>
        <w:t>Stage-2</w:t>
      </w:r>
      <w:r w:rsidR="0029717E">
        <w:t xml:space="preserve"> CR reflecting the RAN2#110 </w:t>
      </w:r>
      <w:r w:rsidR="00C937C7">
        <w:t>agreement.</w:t>
      </w:r>
    </w:p>
    <w:p w14:paraId="043D6AC2" w14:textId="2F48E4DF" w:rsidR="00F66DF4" w:rsidRDefault="004B0C98" w:rsidP="00F66DF4">
      <w:pPr>
        <w:rPr>
          <w:rFonts w:eastAsia="Malgun Gothic"/>
          <w:b/>
          <w:lang w:eastAsia="ko-KR"/>
        </w:rPr>
      </w:pPr>
      <w:r>
        <w:rPr>
          <w:rFonts w:eastAsia="Malgun Gothic"/>
          <w:b/>
          <w:lang w:eastAsia="ko-KR"/>
        </w:rPr>
        <w:t>Q3</w:t>
      </w:r>
      <w:r w:rsidR="00F66DF4">
        <w:rPr>
          <w:rFonts w:eastAsia="Malgun Gothic"/>
          <w:b/>
          <w:lang w:eastAsia="ko-KR"/>
        </w:rPr>
        <w:t xml:space="preserve">: </w:t>
      </w:r>
      <w:r w:rsidR="0029717E">
        <w:rPr>
          <w:rFonts w:eastAsia="Malgun Gothic"/>
          <w:b/>
          <w:lang w:eastAsia="ko-KR"/>
        </w:rPr>
        <w:t>Which CR d</w:t>
      </w:r>
      <w:r w:rsidR="00F66DF4">
        <w:rPr>
          <w:rFonts w:eastAsia="Malgun Gothic"/>
          <w:b/>
          <w:lang w:eastAsia="ko-KR"/>
        </w:rPr>
        <w:t xml:space="preserve">o you agree to </w:t>
      </w:r>
      <w:r w:rsidR="0029717E">
        <w:rPr>
          <w:rFonts w:eastAsia="Malgun Gothic"/>
          <w:b/>
          <w:lang w:eastAsia="ko-KR"/>
        </w:rPr>
        <w:t>become a baseline</w:t>
      </w:r>
      <w:r w:rsidR="00F66DF4">
        <w:rPr>
          <w:rFonts w:eastAsia="Malgun Gothic"/>
          <w:b/>
          <w:lang w:eastAsia="ko-KR"/>
        </w:rPr>
        <w:t xml:space="preserve"> to implement the above agreement?</w:t>
      </w:r>
      <w:r w:rsidR="00722A99">
        <w:rPr>
          <w:rFonts w:eastAsia="Malgun Gothic"/>
          <w:b/>
          <w:lang w:eastAsia="ko-KR"/>
        </w:rPr>
        <w:t xml:space="preserve"> If not</w:t>
      </w:r>
      <w:r w:rsidR="0029717E">
        <w:rPr>
          <w:rFonts w:eastAsia="Malgun Gothic"/>
          <w:b/>
          <w:lang w:eastAsia="ko-KR"/>
        </w:rPr>
        <w:t xml:space="preserve"> agreeable</w:t>
      </w:r>
      <w:r w:rsidR="00722A99">
        <w:rPr>
          <w:rFonts w:eastAsia="Malgun Gothic"/>
          <w:b/>
          <w:lang w:eastAsia="ko-KR"/>
        </w:rPr>
        <w:t>, please provide comments.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440"/>
        <w:gridCol w:w="6610"/>
      </w:tblGrid>
      <w:tr w:rsidR="00F66DF4" w14:paraId="7B458ABD" w14:textId="77777777" w:rsidTr="009342DD">
        <w:tc>
          <w:tcPr>
            <w:tcW w:w="1589" w:type="dxa"/>
            <w:shd w:val="clear" w:color="auto" w:fill="BFBFBF"/>
            <w:vAlign w:val="center"/>
          </w:tcPr>
          <w:p w14:paraId="43354AA6" w14:textId="77777777" w:rsidR="00F66DF4" w:rsidRDefault="00F66DF4" w:rsidP="009342D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440" w:type="dxa"/>
            <w:shd w:val="clear" w:color="auto" w:fill="BFBFBF"/>
            <w:vAlign w:val="center"/>
          </w:tcPr>
          <w:p w14:paraId="6E7DA8A7" w14:textId="6195838D" w:rsidR="00F66DF4" w:rsidRDefault="00F66DF4" w:rsidP="009342D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Preference</w:t>
            </w:r>
            <w:r>
              <w:rPr>
                <w:rFonts w:hint="eastAsia"/>
                <w:b/>
              </w:rPr>
              <w:t xml:space="preserve"> (</w:t>
            </w:r>
            <w:r w:rsidR="00227C92">
              <w:rPr>
                <w:b/>
              </w:rPr>
              <w:t>[3]</w:t>
            </w:r>
            <w:proofErr w:type="gramStart"/>
            <w:r>
              <w:rPr>
                <w:rFonts w:hint="eastAsia"/>
                <w:b/>
              </w:rPr>
              <w:t>/</w:t>
            </w:r>
            <w:r w:rsidR="00227C92">
              <w:rPr>
                <w:b/>
              </w:rPr>
              <w:t>[</w:t>
            </w:r>
            <w:proofErr w:type="gramEnd"/>
            <w:r w:rsidR="00227C92">
              <w:rPr>
                <w:b/>
              </w:rPr>
              <w:t>4]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610" w:type="dxa"/>
            <w:shd w:val="clear" w:color="auto" w:fill="BFBFBF"/>
            <w:vAlign w:val="center"/>
          </w:tcPr>
          <w:p w14:paraId="65BC1384" w14:textId="77777777" w:rsidR="00F66DF4" w:rsidRDefault="00F66DF4" w:rsidP="009342D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Detailed Comments</w:t>
            </w:r>
          </w:p>
        </w:tc>
      </w:tr>
      <w:tr w:rsidR="00F66DF4" w14:paraId="71F66716" w14:textId="77777777" w:rsidTr="009342DD">
        <w:tc>
          <w:tcPr>
            <w:tcW w:w="1589" w:type="dxa"/>
            <w:shd w:val="clear" w:color="auto" w:fill="auto"/>
          </w:tcPr>
          <w:p w14:paraId="35E8620E" w14:textId="44908E20" w:rsidR="00F66DF4" w:rsidRDefault="00F66DF4" w:rsidP="009342DD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2F06946B" w14:textId="0DEC7D53" w:rsidR="00F66DF4" w:rsidRDefault="00F66DF4" w:rsidP="009342DD">
            <w:pPr>
              <w:spacing w:after="120"/>
              <w:jc w:val="center"/>
            </w:pPr>
          </w:p>
        </w:tc>
        <w:tc>
          <w:tcPr>
            <w:tcW w:w="6610" w:type="dxa"/>
            <w:shd w:val="clear" w:color="auto" w:fill="auto"/>
          </w:tcPr>
          <w:p w14:paraId="41123134" w14:textId="77777777" w:rsidR="00F66DF4" w:rsidRPr="00AE6643" w:rsidRDefault="00F66DF4" w:rsidP="009342DD">
            <w:pPr>
              <w:spacing w:after="120"/>
            </w:pPr>
          </w:p>
        </w:tc>
      </w:tr>
      <w:tr w:rsidR="00F66DF4" w14:paraId="41F1EEF8" w14:textId="77777777" w:rsidTr="009342DD">
        <w:tc>
          <w:tcPr>
            <w:tcW w:w="1589" w:type="dxa"/>
            <w:shd w:val="clear" w:color="auto" w:fill="auto"/>
          </w:tcPr>
          <w:p w14:paraId="14DDB6F9" w14:textId="77777777" w:rsidR="00F66DF4" w:rsidRDefault="00F66DF4" w:rsidP="009342DD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18C12B3A" w14:textId="77777777" w:rsidR="00F66DF4" w:rsidRDefault="00F66DF4" w:rsidP="009342DD">
            <w:pPr>
              <w:spacing w:after="120"/>
            </w:pPr>
          </w:p>
        </w:tc>
        <w:tc>
          <w:tcPr>
            <w:tcW w:w="6610" w:type="dxa"/>
            <w:shd w:val="clear" w:color="auto" w:fill="auto"/>
          </w:tcPr>
          <w:p w14:paraId="45A40F76" w14:textId="77777777" w:rsidR="00F66DF4" w:rsidRDefault="00F66DF4" w:rsidP="009342DD">
            <w:pPr>
              <w:spacing w:after="120"/>
            </w:pPr>
          </w:p>
        </w:tc>
      </w:tr>
      <w:tr w:rsidR="00F66DF4" w14:paraId="1BEEA094" w14:textId="77777777" w:rsidTr="009342DD">
        <w:tc>
          <w:tcPr>
            <w:tcW w:w="1589" w:type="dxa"/>
            <w:shd w:val="clear" w:color="auto" w:fill="auto"/>
          </w:tcPr>
          <w:p w14:paraId="7F52325C" w14:textId="77777777" w:rsidR="00F66DF4" w:rsidRDefault="00F66DF4" w:rsidP="009342DD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0F62ED69" w14:textId="77777777" w:rsidR="00F66DF4" w:rsidRDefault="00F66DF4" w:rsidP="009342DD">
            <w:pPr>
              <w:spacing w:after="120"/>
            </w:pPr>
          </w:p>
        </w:tc>
        <w:tc>
          <w:tcPr>
            <w:tcW w:w="6610" w:type="dxa"/>
            <w:shd w:val="clear" w:color="auto" w:fill="auto"/>
          </w:tcPr>
          <w:p w14:paraId="613A7D87" w14:textId="77777777" w:rsidR="00F66DF4" w:rsidRDefault="00F66DF4" w:rsidP="009342DD">
            <w:pPr>
              <w:spacing w:after="120"/>
            </w:pPr>
          </w:p>
        </w:tc>
      </w:tr>
    </w:tbl>
    <w:p w14:paraId="0FB25F66" w14:textId="5067FF66" w:rsidR="00F66DF4" w:rsidRDefault="00F66DF4" w:rsidP="00A209D6"/>
    <w:p w14:paraId="0DB40A06" w14:textId="3FE4AF82" w:rsidR="004B0C98" w:rsidRDefault="00262235" w:rsidP="00262235">
      <w:r>
        <w:t>The CR in [</w:t>
      </w:r>
      <w:r w:rsidR="00227C92">
        <w:t>5</w:t>
      </w:r>
      <w:r>
        <w:t xml:space="preserve">] proposes </w:t>
      </w:r>
      <w:r w:rsidR="004B0C98">
        <w:t xml:space="preserve">to add </w:t>
      </w:r>
      <w:r w:rsidR="004B0C98" w:rsidRPr="004B0C98">
        <w:t xml:space="preserve">MAC capability </w:t>
      </w:r>
      <w:proofErr w:type="spellStart"/>
      <w:r w:rsidR="004B0C98" w:rsidRPr="004B0C98">
        <w:rPr>
          <w:i/>
          <w:iCs/>
        </w:rPr>
        <w:t>lcid-ExtensionIAB</w:t>
      </w:r>
      <w:proofErr w:type="spellEnd"/>
      <w:r w:rsidR="004B0C98" w:rsidRPr="004B0C98">
        <w:t xml:space="preserve"> of IAB-MT defined in TS</w:t>
      </w:r>
      <w:r w:rsidR="004B0C98">
        <w:t xml:space="preserve"> </w:t>
      </w:r>
      <w:r w:rsidR="004B0C98" w:rsidRPr="004B0C98">
        <w:t>38.306 in</w:t>
      </w:r>
      <w:r w:rsidR="004B0C98">
        <w:t>to</w:t>
      </w:r>
      <w:r w:rsidR="004B0C98" w:rsidRPr="004B0C98">
        <w:t xml:space="preserve"> TS</w:t>
      </w:r>
      <w:r w:rsidR="004B0C98">
        <w:t xml:space="preserve"> </w:t>
      </w:r>
      <w:r w:rsidR="004B0C98" w:rsidRPr="004B0C98">
        <w:t>38.331.</w:t>
      </w:r>
      <w:r w:rsidR="004B0C98">
        <w:t xml:space="preserve"> Rapporteur notes that this parameter seems to have been mistakenly left out from TS 38.331.</w:t>
      </w:r>
    </w:p>
    <w:p w14:paraId="61AD4902" w14:textId="1C9B03EC" w:rsidR="00262235" w:rsidRDefault="00262235" w:rsidP="00262235">
      <w:r>
        <w:t>Companies are invited to provide their views whether they agree with the change.</w:t>
      </w:r>
    </w:p>
    <w:p w14:paraId="4FD6B6F4" w14:textId="432DEEA9" w:rsidR="00262235" w:rsidRDefault="004B0C98" w:rsidP="00262235">
      <w:pPr>
        <w:rPr>
          <w:rFonts w:eastAsia="Malgun Gothic"/>
          <w:b/>
          <w:lang w:eastAsia="ko-KR"/>
        </w:rPr>
      </w:pPr>
      <w:r>
        <w:rPr>
          <w:rFonts w:eastAsia="Malgun Gothic"/>
          <w:b/>
          <w:lang w:eastAsia="ko-KR"/>
        </w:rPr>
        <w:t>Q4</w:t>
      </w:r>
      <w:r w:rsidR="00262235">
        <w:rPr>
          <w:rFonts w:eastAsia="Malgun Gothic"/>
          <w:b/>
          <w:lang w:eastAsia="ko-KR"/>
        </w:rPr>
        <w:t>: Do you agree with the change proposed in [</w:t>
      </w:r>
      <w:r w:rsidR="00227C92">
        <w:rPr>
          <w:rFonts w:eastAsia="Malgun Gothic"/>
          <w:b/>
          <w:lang w:eastAsia="ko-KR"/>
        </w:rPr>
        <w:t>5</w:t>
      </w:r>
      <w:r w:rsidR="00262235">
        <w:rPr>
          <w:rFonts w:eastAsia="Malgun Gothic"/>
          <w:b/>
          <w:lang w:eastAsia="ko-KR"/>
        </w:rPr>
        <w:t>]? If not, please provide comments.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440"/>
        <w:gridCol w:w="6610"/>
      </w:tblGrid>
      <w:tr w:rsidR="00262235" w14:paraId="6FC07708" w14:textId="77777777" w:rsidTr="009342DD">
        <w:tc>
          <w:tcPr>
            <w:tcW w:w="1589" w:type="dxa"/>
            <w:shd w:val="clear" w:color="auto" w:fill="BFBFBF"/>
            <w:vAlign w:val="center"/>
          </w:tcPr>
          <w:p w14:paraId="7B3597B0" w14:textId="77777777" w:rsidR="00262235" w:rsidRDefault="00262235" w:rsidP="009342D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440" w:type="dxa"/>
            <w:shd w:val="clear" w:color="auto" w:fill="BFBFBF"/>
            <w:vAlign w:val="center"/>
          </w:tcPr>
          <w:p w14:paraId="52092E1A" w14:textId="77777777" w:rsidR="00262235" w:rsidRDefault="00262235" w:rsidP="009342D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Preference</w:t>
            </w:r>
            <w:r>
              <w:rPr>
                <w:rFonts w:hint="eastAsia"/>
                <w:b/>
              </w:rPr>
              <w:t xml:space="preserve"> (Y/N)</w:t>
            </w:r>
          </w:p>
        </w:tc>
        <w:tc>
          <w:tcPr>
            <w:tcW w:w="6610" w:type="dxa"/>
            <w:shd w:val="clear" w:color="auto" w:fill="BFBFBF"/>
            <w:vAlign w:val="center"/>
          </w:tcPr>
          <w:p w14:paraId="453A7C54" w14:textId="77777777" w:rsidR="00262235" w:rsidRDefault="00262235" w:rsidP="009342D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Detailed Comments</w:t>
            </w:r>
          </w:p>
        </w:tc>
      </w:tr>
      <w:tr w:rsidR="00262235" w14:paraId="270D20AF" w14:textId="77777777" w:rsidTr="009342DD">
        <w:tc>
          <w:tcPr>
            <w:tcW w:w="1589" w:type="dxa"/>
            <w:shd w:val="clear" w:color="auto" w:fill="auto"/>
          </w:tcPr>
          <w:p w14:paraId="45A369EA" w14:textId="77777777" w:rsidR="00262235" w:rsidRDefault="00262235" w:rsidP="009342DD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2923012A" w14:textId="77777777" w:rsidR="00262235" w:rsidRDefault="00262235" w:rsidP="009342DD">
            <w:pPr>
              <w:spacing w:after="120"/>
              <w:jc w:val="center"/>
            </w:pPr>
          </w:p>
        </w:tc>
        <w:tc>
          <w:tcPr>
            <w:tcW w:w="6610" w:type="dxa"/>
            <w:shd w:val="clear" w:color="auto" w:fill="auto"/>
          </w:tcPr>
          <w:p w14:paraId="3EF062DA" w14:textId="77777777" w:rsidR="00262235" w:rsidRPr="00AE6643" w:rsidRDefault="00262235" w:rsidP="009342DD">
            <w:pPr>
              <w:spacing w:after="120"/>
            </w:pPr>
          </w:p>
        </w:tc>
      </w:tr>
      <w:tr w:rsidR="00262235" w14:paraId="18F9C651" w14:textId="77777777" w:rsidTr="009342DD">
        <w:tc>
          <w:tcPr>
            <w:tcW w:w="1589" w:type="dxa"/>
            <w:shd w:val="clear" w:color="auto" w:fill="auto"/>
          </w:tcPr>
          <w:p w14:paraId="3DABAB19" w14:textId="77777777" w:rsidR="00262235" w:rsidRDefault="00262235" w:rsidP="009342DD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7DCFA988" w14:textId="77777777" w:rsidR="00262235" w:rsidRDefault="00262235" w:rsidP="009342DD">
            <w:pPr>
              <w:spacing w:after="120"/>
            </w:pPr>
          </w:p>
        </w:tc>
        <w:tc>
          <w:tcPr>
            <w:tcW w:w="6610" w:type="dxa"/>
            <w:shd w:val="clear" w:color="auto" w:fill="auto"/>
          </w:tcPr>
          <w:p w14:paraId="22A7C33D" w14:textId="77777777" w:rsidR="00262235" w:rsidRDefault="00262235" w:rsidP="009342DD">
            <w:pPr>
              <w:spacing w:after="120"/>
            </w:pPr>
          </w:p>
        </w:tc>
      </w:tr>
      <w:tr w:rsidR="00262235" w14:paraId="15D94F61" w14:textId="77777777" w:rsidTr="009342DD">
        <w:tc>
          <w:tcPr>
            <w:tcW w:w="1589" w:type="dxa"/>
            <w:shd w:val="clear" w:color="auto" w:fill="auto"/>
          </w:tcPr>
          <w:p w14:paraId="4139CC05" w14:textId="77777777" w:rsidR="00262235" w:rsidRDefault="00262235" w:rsidP="009342DD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6154B74D" w14:textId="77777777" w:rsidR="00262235" w:rsidRDefault="00262235" w:rsidP="009342DD">
            <w:pPr>
              <w:spacing w:after="120"/>
            </w:pPr>
          </w:p>
        </w:tc>
        <w:tc>
          <w:tcPr>
            <w:tcW w:w="6610" w:type="dxa"/>
            <w:shd w:val="clear" w:color="auto" w:fill="auto"/>
          </w:tcPr>
          <w:p w14:paraId="0A08FCDD" w14:textId="77777777" w:rsidR="00262235" w:rsidRDefault="00262235" w:rsidP="009342DD">
            <w:pPr>
              <w:spacing w:after="120"/>
            </w:pPr>
          </w:p>
        </w:tc>
      </w:tr>
    </w:tbl>
    <w:p w14:paraId="40BDDB40" w14:textId="3B3413C0" w:rsidR="00262235" w:rsidRDefault="00262235" w:rsidP="00A209D6"/>
    <w:p w14:paraId="55EDA714" w14:textId="54299A77" w:rsidR="00C66E46" w:rsidRDefault="004B0C98" w:rsidP="00C66E46">
      <w:pPr>
        <w:rPr>
          <w:noProof/>
        </w:rPr>
      </w:pPr>
      <w:r>
        <w:t>The CR in [</w:t>
      </w:r>
      <w:r w:rsidR="00227C92">
        <w:t>6</w:t>
      </w:r>
      <w:r>
        <w:t>] proposes changes to TS 38.306.</w:t>
      </w:r>
      <w:r w:rsidR="00C66E46">
        <w:t xml:space="preserve"> The changes intend to </w:t>
      </w:r>
      <w:r w:rsidR="00C66E46">
        <w:rPr>
          <w:noProof/>
        </w:rPr>
        <w:t xml:space="preserve">clarify: </w:t>
      </w:r>
    </w:p>
    <w:p w14:paraId="23B70681" w14:textId="420E4A09" w:rsidR="00C66E46" w:rsidRPr="00C66E46" w:rsidRDefault="00C66E46" w:rsidP="0093418B">
      <w:pPr>
        <w:pStyle w:val="ListParagraph"/>
        <w:numPr>
          <w:ilvl w:val="0"/>
          <w:numId w:val="10"/>
        </w:numPr>
        <w:rPr>
          <w:rFonts w:cs="Arial"/>
          <w:lang w:eastAsia="zh-CN"/>
        </w:rPr>
      </w:pPr>
      <w:r w:rsidRPr="00C66E46">
        <w:rPr>
          <w:rFonts w:cs="Arial"/>
          <w:lang w:eastAsia="zh-CN"/>
        </w:rPr>
        <w:t>Optional</w:t>
      </w:r>
      <w:r>
        <w:rPr>
          <w:rFonts w:cs="Arial"/>
          <w:lang w:eastAsia="zh-CN"/>
        </w:rPr>
        <w:t xml:space="preserve"> features</w:t>
      </w:r>
      <w:r w:rsidRPr="00C66E46">
        <w:rPr>
          <w:rFonts w:cs="Arial"/>
          <w:lang w:eastAsia="zh-CN"/>
        </w:rPr>
        <w:t xml:space="preserve"> for IAB-MT</w:t>
      </w:r>
      <w:r w:rsidR="00AA0F9E">
        <w:rPr>
          <w:rFonts w:cs="Arial"/>
          <w:lang w:eastAsia="zh-CN"/>
        </w:rPr>
        <w:t xml:space="preserve"> are</w:t>
      </w:r>
      <w:r w:rsidRPr="00C66E46">
        <w:rPr>
          <w:rFonts w:cs="Arial"/>
          <w:lang w:eastAsia="zh-CN"/>
        </w:rPr>
        <w:t xml:space="preserve">: </w:t>
      </w:r>
      <w:proofErr w:type="spellStart"/>
      <w:r w:rsidRPr="00CB3A07">
        <w:rPr>
          <w:rFonts w:cs="Arial"/>
          <w:i/>
          <w:iCs/>
          <w:lang w:eastAsia="zh-CN"/>
        </w:rPr>
        <w:t>multipleTCI</w:t>
      </w:r>
      <w:proofErr w:type="spellEnd"/>
      <w:r w:rsidRPr="00CB3A07">
        <w:rPr>
          <w:rFonts w:cs="Arial"/>
          <w:i/>
          <w:iCs/>
          <w:lang w:eastAsia="zh-CN"/>
        </w:rPr>
        <w:t xml:space="preserve">, </w:t>
      </w:r>
      <w:proofErr w:type="spellStart"/>
      <w:r w:rsidRPr="00CB3A07">
        <w:rPr>
          <w:rFonts w:cs="Arial"/>
          <w:i/>
          <w:iCs/>
          <w:lang w:eastAsia="zh-CN"/>
        </w:rPr>
        <w:t>pdsch-MappingTypeA</w:t>
      </w:r>
      <w:proofErr w:type="spellEnd"/>
      <w:r w:rsidRPr="00CB3A07">
        <w:rPr>
          <w:rFonts w:cs="Arial"/>
          <w:i/>
          <w:iCs/>
          <w:lang w:eastAsia="zh-CN"/>
        </w:rPr>
        <w:t>, pucch-F2-WithFH, pucch-F3-WithFH</w:t>
      </w:r>
      <w:r w:rsidRPr="00C66E46">
        <w:rPr>
          <w:rFonts w:cs="Arial"/>
          <w:lang w:eastAsia="zh-CN"/>
        </w:rPr>
        <w:t>;</w:t>
      </w:r>
    </w:p>
    <w:p w14:paraId="03D4964B" w14:textId="22B7E320" w:rsidR="00D80294" w:rsidRPr="00CB3A07" w:rsidRDefault="00D80294" w:rsidP="00CA3DC6">
      <w:pPr>
        <w:pStyle w:val="ListParagraph"/>
        <w:numPr>
          <w:ilvl w:val="0"/>
          <w:numId w:val="10"/>
        </w:numPr>
        <w:jc w:val="both"/>
        <w:rPr>
          <w:rFonts w:cs="Arial"/>
          <w:i/>
          <w:iCs/>
          <w:lang w:eastAsia="zh-CN"/>
        </w:rPr>
      </w:pPr>
      <w:r w:rsidRPr="00D80294">
        <w:rPr>
          <w:rFonts w:cs="Arial"/>
          <w:lang w:eastAsia="zh-CN"/>
        </w:rPr>
        <w:t>M</w:t>
      </w:r>
      <w:r w:rsidR="00C66E46" w:rsidRPr="00D80294">
        <w:rPr>
          <w:rFonts w:cs="Arial"/>
          <w:lang w:eastAsia="zh-CN"/>
        </w:rPr>
        <w:t>andatory feature</w:t>
      </w:r>
      <w:r w:rsidRPr="00D80294">
        <w:rPr>
          <w:rFonts w:cs="Arial"/>
          <w:lang w:eastAsia="zh-CN"/>
        </w:rPr>
        <w:t>s</w:t>
      </w:r>
      <w:r w:rsidR="00C66E46" w:rsidRPr="00D80294">
        <w:rPr>
          <w:rFonts w:cs="Arial"/>
          <w:lang w:eastAsia="zh-CN"/>
        </w:rPr>
        <w:t xml:space="preserve"> </w:t>
      </w:r>
      <w:r>
        <w:rPr>
          <w:rFonts w:cs="Arial"/>
          <w:lang w:eastAsia="zh-CN"/>
        </w:rPr>
        <w:t xml:space="preserve">for IAB-MT </w:t>
      </w:r>
      <w:r w:rsidR="00C66E46" w:rsidRPr="00D80294">
        <w:rPr>
          <w:rFonts w:cs="Arial"/>
          <w:lang w:eastAsia="zh-CN"/>
        </w:rPr>
        <w:t>with capability signalling</w:t>
      </w:r>
      <w:r w:rsidR="00AA0F9E">
        <w:rPr>
          <w:rFonts w:cs="Arial"/>
          <w:lang w:eastAsia="zh-CN"/>
        </w:rPr>
        <w:t xml:space="preserve"> are</w:t>
      </w:r>
      <w:r w:rsidR="00C66E46" w:rsidRPr="00D80294">
        <w:rPr>
          <w:rFonts w:cs="Arial"/>
          <w:lang w:eastAsia="zh-CN"/>
        </w:rPr>
        <w:t xml:space="preserve">: </w:t>
      </w:r>
      <w:proofErr w:type="spellStart"/>
      <w:r w:rsidR="00C66E46" w:rsidRPr="00CB3A07">
        <w:rPr>
          <w:rFonts w:cs="Arial"/>
          <w:i/>
          <w:iCs/>
          <w:lang w:eastAsia="zh-CN"/>
        </w:rPr>
        <w:t>eventA-MeasAndReport</w:t>
      </w:r>
      <w:proofErr w:type="spellEnd"/>
      <w:r w:rsidR="00C66E46" w:rsidRPr="00CB3A07">
        <w:rPr>
          <w:rFonts w:cs="Arial"/>
          <w:i/>
          <w:iCs/>
          <w:lang w:eastAsia="zh-CN"/>
        </w:rPr>
        <w:t xml:space="preserve">, </w:t>
      </w:r>
      <w:proofErr w:type="spellStart"/>
      <w:r w:rsidR="00C66E46" w:rsidRPr="00CB3A07">
        <w:rPr>
          <w:rFonts w:cs="Arial"/>
          <w:i/>
          <w:iCs/>
          <w:lang w:eastAsia="zh-CN"/>
        </w:rPr>
        <w:t>intraAndInterF-MeasAndReport</w:t>
      </w:r>
      <w:proofErr w:type="spellEnd"/>
      <w:r w:rsidR="00C66E46" w:rsidRPr="00CB3A07">
        <w:rPr>
          <w:rFonts w:cs="Arial"/>
          <w:i/>
          <w:iCs/>
          <w:lang w:eastAsia="zh-CN"/>
        </w:rPr>
        <w:t xml:space="preserve"> </w:t>
      </w:r>
    </w:p>
    <w:p w14:paraId="724D7AD2" w14:textId="40BF72A1" w:rsidR="00C66E46" w:rsidRPr="0093418B" w:rsidRDefault="00D80294" w:rsidP="0093418B">
      <w:pPr>
        <w:pStyle w:val="ListParagraph"/>
        <w:numPr>
          <w:ilvl w:val="0"/>
          <w:numId w:val="10"/>
        </w:numPr>
        <w:jc w:val="both"/>
        <w:rPr>
          <w:rFonts w:cs="Arial"/>
          <w:lang w:eastAsia="zh-CN"/>
        </w:rPr>
      </w:pPr>
      <w:r>
        <w:rPr>
          <w:rFonts w:cs="Arial"/>
          <w:lang w:eastAsia="zh-CN"/>
        </w:rPr>
        <w:t>S</w:t>
      </w:r>
      <w:r w:rsidR="00C66E46" w:rsidRPr="0093418B">
        <w:rPr>
          <w:rFonts w:cs="Arial"/>
          <w:lang w:eastAsia="zh-CN"/>
        </w:rPr>
        <w:t>upport at least one of the two features</w:t>
      </w:r>
      <w:r>
        <w:rPr>
          <w:rFonts w:cs="Arial"/>
          <w:lang w:eastAsia="zh-CN"/>
        </w:rPr>
        <w:t xml:space="preserve"> for IAB-MT</w:t>
      </w:r>
      <w:r w:rsidR="00AA0F9E">
        <w:rPr>
          <w:rFonts w:cs="Arial"/>
          <w:lang w:eastAsia="zh-CN"/>
        </w:rPr>
        <w:t xml:space="preserve"> is</w:t>
      </w:r>
      <w:r>
        <w:rPr>
          <w:rFonts w:cs="Arial"/>
          <w:lang w:eastAsia="zh-CN"/>
        </w:rPr>
        <w:t>:</w:t>
      </w:r>
      <w:r w:rsidR="00C66E46" w:rsidRPr="0093418B">
        <w:rPr>
          <w:rFonts w:cs="Arial"/>
          <w:lang w:eastAsia="zh-CN"/>
        </w:rPr>
        <w:t xml:space="preserve"> </w:t>
      </w:r>
      <w:r w:rsidR="00C66E46" w:rsidRPr="00CB3A07">
        <w:rPr>
          <w:rFonts w:cs="Arial"/>
          <w:i/>
          <w:iCs/>
          <w:lang w:eastAsia="zh-CN"/>
        </w:rPr>
        <w:t>drb-IAB-r16</w:t>
      </w:r>
      <w:r w:rsidR="00C66E46" w:rsidRPr="0093418B">
        <w:rPr>
          <w:rFonts w:cs="Arial"/>
          <w:lang w:eastAsia="zh-CN"/>
        </w:rPr>
        <w:t xml:space="preserve"> </w:t>
      </w:r>
      <w:r w:rsidR="00AA0F9E">
        <w:rPr>
          <w:rFonts w:cs="Arial"/>
          <w:lang w:eastAsia="zh-CN"/>
        </w:rPr>
        <w:t>or</w:t>
      </w:r>
      <w:r w:rsidR="00C66E46" w:rsidRPr="0093418B">
        <w:rPr>
          <w:rFonts w:cs="Arial"/>
          <w:lang w:eastAsia="zh-CN"/>
        </w:rPr>
        <w:t xml:space="preserve"> </w:t>
      </w:r>
      <w:r w:rsidR="00C66E46" w:rsidRPr="00CB3A07">
        <w:rPr>
          <w:rFonts w:cs="Arial"/>
          <w:i/>
          <w:iCs/>
          <w:lang w:eastAsia="zh-CN"/>
        </w:rPr>
        <w:t>non-DRB-IAB-r16</w:t>
      </w:r>
      <w:r>
        <w:rPr>
          <w:rFonts w:cs="Arial"/>
          <w:lang w:eastAsia="zh-CN"/>
        </w:rPr>
        <w:t>.</w:t>
      </w:r>
      <w:bookmarkStart w:id="0" w:name="_GoBack"/>
      <w:bookmarkEnd w:id="0"/>
    </w:p>
    <w:p w14:paraId="368C16E5" w14:textId="77777777" w:rsidR="004B0C98" w:rsidRDefault="004B0C98" w:rsidP="004B0C98">
      <w:r>
        <w:t>Companies are invited to provide their views whether they agree with the changes.</w:t>
      </w:r>
    </w:p>
    <w:p w14:paraId="37572BBB" w14:textId="5B17B599" w:rsidR="004B0C98" w:rsidRDefault="004B0C98" w:rsidP="004B0C98">
      <w:pPr>
        <w:rPr>
          <w:rFonts w:eastAsia="Malgun Gothic"/>
          <w:b/>
          <w:lang w:eastAsia="ko-KR"/>
        </w:rPr>
      </w:pPr>
      <w:r>
        <w:rPr>
          <w:rFonts w:eastAsia="Malgun Gothic"/>
          <w:b/>
          <w:lang w:eastAsia="ko-KR"/>
        </w:rPr>
        <w:t>Q5: Do you agree with the changes proposed in [</w:t>
      </w:r>
      <w:r w:rsidR="00227C92">
        <w:rPr>
          <w:rFonts w:eastAsia="Malgun Gothic"/>
          <w:b/>
          <w:lang w:eastAsia="ko-KR"/>
        </w:rPr>
        <w:t>6</w:t>
      </w:r>
      <w:r>
        <w:rPr>
          <w:rFonts w:eastAsia="Malgun Gothic"/>
          <w:b/>
          <w:lang w:eastAsia="ko-KR"/>
        </w:rPr>
        <w:t>]? If not, please provide comments.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440"/>
        <w:gridCol w:w="6610"/>
      </w:tblGrid>
      <w:tr w:rsidR="004B0C98" w14:paraId="339D4F84" w14:textId="77777777" w:rsidTr="009342DD">
        <w:tc>
          <w:tcPr>
            <w:tcW w:w="1589" w:type="dxa"/>
            <w:shd w:val="clear" w:color="auto" w:fill="BFBFBF"/>
            <w:vAlign w:val="center"/>
          </w:tcPr>
          <w:p w14:paraId="263564ED" w14:textId="77777777" w:rsidR="004B0C98" w:rsidRDefault="004B0C98" w:rsidP="009342D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440" w:type="dxa"/>
            <w:shd w:val="clear" w:color="auto" w:fill="BFBFBF"/>
            <w:vAlign w:val="center"/>
          </w:tcPr>
          <w:p w14:paraId="696D9037" w14:textId="77777777" w:rsidR="004B0C98" w:rsidRDefault="004B0C98" w:rsidP="009342D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Preference</w:t>
            </w:r>
            <w:r>
              <w:rPr>
                <w:rFonts w:hint="eastAsia"/>
                <w:b/>
              </w:rPr>
              <w:t xml:space="preserve"> (Y/N)</w:t>
            </w:r>
          </w:p>
        </w:tc>
        <w:tc>
          <w:tcPr>
            <w:tcW w:w="6610" w:type="dxa"/>
            <w:shd w:val="clear" w:color="auto" w:fill="BFBFBF"/>
            <w:vAlign w:val="center"/>
          </w:tcPr>
          <w:p w14:paraId="2B42900F" w14:textId="77777777" w:rsidR="004B0C98" w:rsidRDefault="004B0C98" w:rsidP="009342D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Detailed Comments</w:t>
            </w:r>
          </w:p>
        </w:tc>
      </w:tr>
      <w:tr w:rsidR="004B0C98" w14:paraId="6F52A32D" w14:textId="77777777" w:rsidTr="009342DD">
        <w:tc>
          <w:tcPr>
            <w:tcW w:w="1589" w:type="dxa"/>
            <w:shd w:val="clear" w:color="auto" w:fill="auto"/>
          </w:tcPr>
          <w:p w14:paraId="35003A0B" w14:textId="77777777" w:rsidR="004B0C98" w:rsidRDefault="004B0C98" w:rsidP="009342DD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64BF8F96" w14:textId="77777777" w:rsidR="004B0C98" w:rsidRDefault="004B0C98" w:rsidP="009342DD">
            <w:pPr>
              <w:spacing w:after="120"/>
              <w:jc w:val="center"/>
            </w:pPr>
          </w:p>
        </w:tc>
        <w:tc>
          <w:tcPr>
            <w:tcW w:w="6610" w:type="dxa"/>
            <w:shd w:val="clear" w:color="auto" w:fill="auto"/>
          </w:tcPr>
          <w:p w14:paraId="23F4544C" w14:textId="77777777" w:rsidR="004B0C98" w:rsidRPr="00AE6643" w:rsidRDefault="004B0C98" w:rsidP="009342DD">
            <w:pPr>
              <w:spacing w:after="120"/>
            </w:pPr>
          </w:p>
        </w:tc>
      </w:tr>
      <w:tr w:rsidR="004B0C98" w14:paraId="6552754A" w14:textId="77777777" w:rsidTr="009342DD">
        <w:tc>
          <w:tcPr>
            <w:tcW w:w="1589" w:type="dxa"/>
            <w:shd w:val="clear" w:color="auto" w:fill="auto"/>
          </w:tcPr>
          <w:p w14:paraId="504ADEB2" w14:textId="77777777" w:rsidR="004B0C98" w:rsidRDefault="004B0C98" w:rsidP="009342DD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634E3B7D" w14:textId="77777777" w:rsidR="004B0C98" w:rsidRDefault="004B0C98" w:rsidP="009342DD">
            <w:pPr>
              <w:spacing w:after="120"/>
            </w:pPr>
          </w:p>
        </w:tc>
        <w:tc>
          <w:tcPr>
            <w:tcW w:w="6610" w:type="dxa"/>
            <w:shd w:val="clear" w:color="auto" w:fill="auto"/>
          </w:tcPr>
          <w:p w14:paraId="4B4D08AB" w14:textId="77777777" w:rsidR="004B0C98" w:rsidRDefault="004B0C98" w:rsidP="009342DD">
            <w:pPr>
              <w:spacing w:after="120"/>
            </w:pPr>
          </w:p>
        </w:tc>
      </w:tr>
      <w:tr w:rsidR="004B0C98" w14:paraId="75D94FBB" w14:textId="77777777" w:rsidTr="009342DD">
        <w:tc>
          <w:tcPr>
            <w:tcW w:w="1589" w:type="dxa"/>
            <w:shd w:val="clear" w:color="auto" w:fill="auto"/>
          </w:tcPr>
          <w:p w14:paraId="276A8AAD" w14:textId="77777777" w:rsidR="004B0C98" w:rsidRDefault="004B0C98" w:rsidP="009342DD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3D56CCD0" w14:textId="77777777" w:rsidR="004B0C98" w:rsidRDefault="004B0C98" w:rsidP="009342DD">
            <w:pPr>
              <w:spacing w:after="120"/>
            </w:pPr>
          </w:p>
        </w:tc>
        <w:tc>
          <w:tcPr>
            <w:tcW w:w="6610" w:type="dxa"/>
            <w:shd w:val="clear" w:color="auto" w:fill="auto"/>
          </w:tcPr>
          <w:p w14:paraId="45FC29B8" w14:textId="77777777" w:rsidR="004B0C98" w:rsidRDefault="004B0C98" w:rsidP="009342DD">
            <w:pPr>
              <w:spacing w:after="120"/>
            </w:pPr>
          </w:p>
        </w:tc>
      </w:tr>
    </w:tbl>
    <w:p w14:paraId="0FA78821" w14:textId="77777777" w:rsidR="004B0C98" w:rsidRDefault="004B0C98" w:rsidP="00A209D6"/>
    <w:p w14:paraId="5FF2457F" w14:textId="74F1FF82" w:rsidR="00A209D6" w:rsidRPr="006E13D1" w:rsidRDefault="004B0C98" w:rsidP="00A209D6">
      <w:pPr>
        <w:pStyle w:val="Heading1"/>
      </w:pPr>
      <w:r>
        <w:t>3</w:t>
      </w:r>
      <w:r w:rsidR="00A209D6" w:rsidRPr="006E13D1">
        <w:tab/>
      </w:r>
      <w:r w:rsidR="008C3057">
        <w:t>Conclusion</w:t>
      </w:r>
    </w:p>
    <w:p w14:paraId="6C60FFDC" w14:textId="58F55F1E" w:rsidR="00A209D6" w:rsidRDefault="008D7472" w:rsidP="00A209D6">
      <w:r w:rsidRPr="008D7472">
        <w:rPr>
          <w:highlight w:val="yellow"/>
        </w:rPr>
        <w:t>TBD</w:t>
      </w:r>
    </w:p>
    <w:p w14:paraId="1B248EC5" w14:textId="706B0A51" w:rsidR="009C0A90" w:rsidRDefault="009C0A90" w:rsidP="009C0A90">
      <w:pPr>
        <w:pStyle w:val="Heading1"/>
      </w:pPr>
      <w:r>
        <w:t>References</w:t>
      </w:r>
    </w:p>
    <w:p w14:paraId="0D3E58A8" w14:textId="4F2D5AD8" w:rsidR="009C0A90" w:rsidRPr="008D7472" w:rsidRDefault="009C0A90" w:rsidP="009C0A90">
      <w:r>
        <w:t xml:space="preserve">[1] </w:t>
      </w:r>
      <w:hyperlink r:id="rId14" w:history="1">
        <w:r w:rsidRPr="007B16C9">
          <w:rPr>
            <w:rStyle w:val="Hyperlink"/>
          </w:rPr>
          <w:t>R</w:t>
        </w:r>
        <w:r w:rsidR="008D7472">
          <w:rPr>
            <w:rStyle w:val="Hyperlink"/>
          </w:rPr>
          <w:t>2-2006959</w:t>
        </w:r>
      </w:hyperlink>
      <w:r>
        <w:t xml:space="preserve">, </w:t>
      </w:r>
      <w:r w:rsidRPr="009C0A90">
        <w:rPr>
          <w:i/>
          <w:iCs/>
        </w:rPr>
        <w:t>Remaining details of UE capabilities for IAB</w:t>
      </w:r>
      <w:r w:rsidR="008D7472">
        <w:t>, AT&amp;T</w:t>
      </w:r>
    </w:p>
    <w:p w14:paraId="45A5CCDC" w14:textId="61E30D52" w:rsidR="008D7472" w:rsidRPr="008D7472" w:rsidRDefault="008D7472" w:rsidP="008D7472">
      <w:r>
        <w:t xml:space="preserve">[2] </w:t>
      </w:r>
      <w:hyperlink r:id="rId15" w:history="1">
        <w:r w:rsidRPr="008D7472">
          <w:rPr>
            <w:rStyle w:val="Hyperlink"/>
          </w:rPr>
          <w:t>R2-2007508</w:t>
        </w:r>
      </w:hyperlink>
      <w:r>
        <w:t xml:space="preserve">, </w:t>
      </w:r>
      <w:r w:rsidRPr="008D7472">
        <w:rPr>
          <w:i/>
          <w:iCs/>
        </w:rPr>
        <w:t>Update to IAB-MT capabilities</w:t>
      </w:r>
      <w:r>
        <w:t>, Nokia, Nokia Shanghai Bell</w:t>
      </w:r>
    </w:p>
    <w:p w14:paraId="2541B9F3" w14:textId="6DFE6FB3" w:rsidR="00227C92" w:rsidRPr="009C0A90" w:rsidRDefault="00227C92" w:rsidP="00227C92">
      <w:r>
        <w:t>[3]</w:t>
      </w:r>
      <w:r>
        <w:tab/>
      </w:r>
      <w:hyperlink r:id="rId16" w:history="1">
        <w:r w:rsidRPr="007B16C9">
          <w:rPr>
            <w:rStyle w:val="Hyperlink"/>
          </w:rPr>
          <w:t>R</w:t>
        </w:r>
        <w:r>
          <w:rPr>
            <w:rStyle w:val="Hyperlink"/>
          </w:rPr>
          <w:t>2-2007509</w:t>
        </w:r>
      </w:hyperlink>
      <w:r>
        <w:t xml:space="preserve">, </w:t>
      </w:r>
      <w:r>
        <w:rPr>
          <w:i/>
          <w:iCs/>
        </w:rPr>
        <w:t>IAB-MT capability signalling clarification</w:t>
      </w:r>
      <w:r>
        <w:t>, Nokia, Nokia Shanghai Bell</w:t>
      </w:r>
    </w:p>
    <w:p w14:paraId="04B0E419" w14:textId="379E9DC7" w:rsidR="008D7472" w:rsidRPr="008D7472" w:rsidRDefault="008D7472" w:rsidP="00227C92">
      <w:r>
        <w:t>[</w:t>
      </w:r>
      <w:r w:rsidR="00227C92">
        <w:t>4</w:t>
      </w:r>
      <w:r>
        <w:t xml:space="preserve">] </w:t>
      </w:r>
      <w:hyperlink r:id="rId17" w:history="1">
        <w:r w:rsidRPr="007B16C9">
          <w:rPr>
            <w:rStyle w:val="Hyperlink"/>
          </w:rPr>
          <w:t>R</w:t>
        </w:r>
        <w:r>
          <w:rPr>
            <w:rStyle w:val="Hyperlink"/>
          </w:rPr>
          <w:t>2-2007539</w:t>
        </w:r>
      </w:hyperlink>
      <w:r>
        <w:t xml:space="preserve">, </w:t>
      </w:r>
      <w:r w:rsidRPr="008D7472">
        <w:rPr>
          <w:i/>
          <w:iCs/>
        </w:rPr>
        <w:t xml:space="preserve">Corrections to capability </w:t>
      </w:r>
      <w:proofErr w:type="spellStart"/>
      <w:r w:rsidRPr="008D7472">
        <w:rPr>
          <w:i/>
          <w:iCs/>
        </w:rPr>
        <w:t>signaling</w:t>
      </w:r>
      <w:proofErr w:type="spellEnd"/>
      <w:r w:rsidRPr="008D7472">
        <w:rPr>
          <w:i/>
          <w:iCs/>
        </w:rPr>
        <w:t xml:space="preserve"> for IAB-MT</w:t>
      </w:r>
      <w:r>
        <w:t>, Samsung Electronics Romania</w:t>
      </w:r>
    </w:p>
    <w:p w14:paraId="112B5433" w14:textId="5B17A40C" w:rsidR="008D7472" w:rsidRPr="008D7472" w:rsidRDefault="008D7472" w:rsidP="008D7472">
      <w:r>
        <w:t>[</w:t>
      </w:r>
      <w:r w:rsidR="00227C92">
        <w:t>5</w:t>
      </w:r>
      <w:r>
        <w:t xml:space="preserve">] </w:t>
      </w:r>
      <w:hyperlink r:id="rId18" w:history="1">
        <w:r w:rsidRPr="007B16C9">
          <w:rPr>
            <w:rStyle w:val="Hyperlink"/>
          </w:rPr>
          <w:t>R</w:t>
        </w:r>
        <w:r>
          <w:rPr>
            <w:rStyle w:val="Hyperlink"/>
          </w:rPr>
          <w:t>2-2007980</w:t>
        </w:r>
      </w:hyperlink>
      <w:r>
        <w:t xml:space="preserve">, </w:t>
      </w:r>
      <w:r w:rsidRPr="008D7472">
        <w:rPr>
          <w:i/>
          <w:iCs/>
        </w:rPr>
        <w:t>Correction on IAB-MT capability for TS 38.331</w:t>
      </w:r>
      <w:r>
        <w:t xml:space="preserve">, Huawei, </w:t>
      </w:r>
      <w:proofErr w:type="spellStart"/>
      <w:r>
        <w:t>HiSilicon</w:t>
      </w:r>
      <w:proofErr w:type="spellEnd"/>
    </w:p>
    <w:p w14:paraId="5577C314" w14:textId="34FD4883" w:rsidR="009C0A90" w:rsidRDefault="008D7472" w:rsidP="009C0A90">
      <w:r>
        <w:t>[</w:t>
      </w:r>
      <w:r w:rsidR="00227C92">
        <w:t>6</w:t>
      </w:r>
      <w:r>
        <w:t xml:space="preserve">] </w:t>
      </w:r>
      <w:hyperlink r:id="rId19" w:history="1">
        <w:r w:rsidRPr="007B16C9">
          <w:rPr>
            <w:rStyle w:val="Hyperlink"/>
          </w:rPr>
          <w:t>R</w:t>
        </w:r>
        <w:r>
          <w:rPr>
            <w:rStyle w:val="Hyperlink"/>
          </w:rPr>
          <w:t>2-2007981</w:t>
        </w:r>
      </w:hyperlink>
      <w:r>
        <w:t xml:space="preserve">, </w:t>
      </w:r>
      <w:r w:rsidRPr="008D7472">
        <w:rPr>
          <w:i/>
          <w:iCs/>
        </w:rPr>
        <w:t>Correction on IAB-MT capability for TS 38.3</w:t>
      </w:r>
      <w:r>
        <w:rPr>
          <w:i/>
          <w:iCs/>
        </w:rPr>
        <w:t>06</w:t>
      </w:r>
      <w:r>
        <w:t xml:space="preserve">, Huawei, </w:t>
      </w:r>
      <w:proofErr w:type="spellStart"/>
      <w:r>
        <w:t>HiSilicon</w:t>
      </w:r>
      <w:proofErr w:type="spellEnd"/>
    </w:p>
    <w:p w14:paraId="35F222F4" w14:textId="77777777" w:rsidR="00080512" w:rsidRPr="00A209D6" w:rsidRDefault="00080512" w:rsidP="00227C92"/>
    <w:sectPr w:rsidR="00080512" w:rsidRPr="00A209D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0237C" w14:textId="77777777" w:rsidR="00E03F31" w:rsidRDefault="00E03F31">
      <w:r>
        <w:separator/>
      </w:r>
    </w:p>
  </w:endnote>
  <w:endnote w:type="continuationSeparator" w:id="0">
    <w:p w14:paraId="0970BD85" w14:textId="77777777" w:rsidR="00E03F31" w:rsidRDefault="00E03F31">
      <w:r>
        <w:continuationSeparator/>
      </w:r>
    </w:p>
  </w:endnote>
  <w:endnote w:type="continuationNotice" w:id="1">
    <w:p w14:paraId="73FC564E" w14:textId="77777777" w:rsidR="00E03F31" w:rsidRDefault="00E03F3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9912A" w14:textId="77777777" w:rsidR="0072073A" w:rsidRDefault="007207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BA5E1" w14:textId="77777777" w:rsidR="0072073A" w:rsidRDefault="007207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65832" w14:textId="77777777" w:rsidR="0072073A" w:rsidRDefault="00720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0EE21" w14:textId="77777777" w:rsidR="00E03F31" w:rsidRDefault="00E03F31">
      <w:r>
        <w:separator/>
      </w:r>
    </w:p>
  </w:footnote>
  <w:footnote w:type="continuationSeparator" w:id="0">
    <w:p w14:paraId="0B157D26" w14:textId="77777777" w:rsidR="00E03F31" w:rsidRDefault="00E03F31">
      <w:r>
        <w:continuationSeparator/>
      </w:r>
    </w:p>
  </w:footnote>
  <w:footnote w:type="continuationNotice" w:id="1">
    <w:p w14:paraId="7FF23191" w14:textId="77777777" w:rsidR="00E03F31" w:rsidRDefault="00E03F3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506CB" w14:textId="77777777" w:rsidR="0072073A" w:rsidRDefault="007207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9BB0F" w14:textId="77777777" w:rsidR="0072073A" w:rsidRDefault="007207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6ECA7" w14:textId="77777777" w:rsidR="0072073A" w:rsidRDefault="007207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405424"/>
    <w:multiLevelType w:val="hybridMultilevel"/>
    <w:tmpl w:val="232CA298"/>
    <w:lvl w:ilvl="0" w:tplc="34A2ACD0">
      <w:start w:val="4"/>
      <w:numFmt w:val="bullet"/>
      <w:lvlText w:val="-"/>
      <w:lvlJc w:val="left"/>
      <w:pPr>
        <w:ind w:left="92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3" w15:restartNumberingAfterBreak="0">
    <w:nsid w:val="106D65FC"/>
    <w:multiLevelType w:val="multilevel"/>
    <w:tmpl w:val="A44E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A0E91"/>
    <w:multiLevelType w:val="hybridMultilevel"/>
    <w:tmpl w:val="6016BC30"/>
    <w:lvl w:ilvl="0" w:tplc="2044588C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16557"/>
    <w:rsid w:val="00023C40"/>
    <w:rsid w:val="00033397"/>
    <w:rsid w:val="00037227"/>
    <w:rsid w:val="00040095"/>
    <w:rsid w:val="00073C9C"/>
    <w:rsid w:val="00080512"/>
    <w:rsid w:val="00090468"/>
    <w:rsid w:val="00094568"/>
    <w:rsid w:val="000B7BCF"/>
    <w:rsid w:val="000C522B"/>
    <w:rsid w:val="000D58AB"/>
    <w:rsid w:val="00112F1A"/>
    <w:rsid w:val="00145075"/>
    <w:rsid w:val="001741A0"/>
    <w:rsid w:val="00175FA0"/>
    <w:rsid w:val="00194CD0"/>
    <w:rsid w:val="001B1FF7"/>
    <w:rsid w:val="001B49C9"/>
    <w:rsid w:val="001C23F4"/>
    <w:rsid w:val="001C4F79"/>
    <w:rsid w:val="001F168B"/>
    <w:rsid w:val="001F7831"/>
    <w:rsid w:val="00204045"/>
    <w:rsid w:val="0020712B"/>
    <w:rsid w:val="0022606D"/>
    <w:rsid w:val="00227C92"/>
    <w:rsid w:val="00231728"/>
    <w:rsid w:val="002412C4"/>
    <w:rsid w:val="00244A05"/>
    <w:rsid w:val="00250404"/>
    <w:rsid w:val="002610D8"/>
    <w:rsid w:val="00262235"/>
    <w:rsid w:val="002747EC"/>
    <w:rsid w:val="002855BF"/>
    <w:rsid w:val="0029717E"/>
    <w:rsid w:val="002F0D22"/>
    <w:rsid w:val="00311B17"/>
    <w:rsid w:val="003172DC"/>
    <w:rsid w:val="00325AE3"/>
    <w:rsid w:val="00326069"/>
    <w:rsid w:val="0035462D"/>
    <w:rsid w:val="0036459E"/>
    <w:rsid w:val="00364B41"/>
    <w:rsid w:val="00383096"/>
    <w:rsid w:val="0039346C"/>
    <w:rsid w:val="003A41EF"/>
    <w:rsid w:val="003B40AD"/>
    <w:rsid w:val="003C4E37"/>
    <w:rsid w:val="003E16BE"/>
    <w:rsid w:val="003F4E28"/>
    <w:rsid w:val="004006E8"/>
    <w:rsid w:val="00401855"/>
    <w:rsid w:val="00465587"/>
    <w:rsid w:val="00477455"/>
    <w:rsid w:val="004A1F7B"/>
    <w:rsid w:val="004B0C98"/>
    <w:rsid w:val="004C44D2"/>
    <w:rsid w:val="004D3578"/>
    <w:rsid w:val="004D380D"/>
    <w:rsid w:val="004E213A"/>
    <w:rsid w:val="00503171"/>
    <w:rsid w:val="00506C28"/>
    <w:rsid w:val="00534DA0"/>
    <w:rsid w:val="00543E6C"/>
    <w:rsid w:val="00565087"/>
    <w:rsid w:val="0056573F"/>
    <w:rsid w:val="005A49C6"/>
    <w:rsid w:val="00611566"/>
    <w:rsid w:val="00646D99"/>
    <w:rsid w:val="00656910"/>
    <w:rsid w:val="006574C0"/>
    <w:rsid w:val="006C66D8"/>
    <w:rsid w:val="006D1E24"/>
    <w:rsid w:val="006D35DE"/>
    <w:rsid w:val="006E1417"/>
    <w:rsid w:val="006F6A2C"/>
    <w:rsid w:val="00702C42"/>
    <w:rsid w:val="007069DC"/>
    <w:rsid w:val="00710201"/>
    <w:rsid w:val="0072073A"/>
    <w:rsid w:val="00722A99"/>
    <w:rsid w:val="007342B5"/>
    <w:rsid w:val="00734A5B"/>
    <w:rsid w:val="00744E76"/>
    <w:rsid w:val="00757D40"/>
    <w:rsid w:val="007662B5"/>
    <w:rsid w:val="00781F0F"/>
    <w:rsid w:val="0078727C"/>
    <w:rsid w:val="0079049D"/>
    <w:rsid w:val="00793DC5"/>
    <w:rsid w:val="007B18D8"/>
    <w:rsid w:val="007C095F"/>
    <w:rsid w:val="007C2DD0"/>
    <w:rsid w:val="007F2E08"/>
    <w:rsid w:val="008028A4"/>
    <w:rsid w:val="00813245"/>
    <w:rsid w:val="00813963"/>
    <w:rsid w:val="00840DE0"/>
    <w:rsid w:val="0086354A"/>
    <w:rsid w:val="008768CA"/>
    <w:rsid w:val="00877EF9"/>
    <w:rsid w:val="00880559"/>
    <w:rsid w:val="00896A1E"/>
    <w:rsid w:val="008B5306"/>
    <w:rsid w:val="008C2E2A"/>
    <w:rsid w:val="008C3057"/>
    <w:rsid w:val="008D28CC"/>
    <w:rsid w:val="008D2E4D"/>
    <w:rsid w:val="008D7472"/>
    <w:rsid w:val="008F396F"/>
    <w:rsid w:val="008F3DCD"/>
    <w:rsid w:val="0090271F"/>
    <w:rsid w:val="00902DB9"/>
    <w:rsid w:val="0090466A"/>
    <w:rsid w:val="00923655"/>
    <w:rsid w:val="0093418B"/>
    <w:rsid w:val="00936071"/>
    <w:rsid w:val="009376CD"/>
    <w:rsid w:val="00940212"/>
    <w:rsid w:val="00942EC2"/>
    <w:rsid w:val="00961B32"/>
    <w:rsid w:val="00962509"/>
    <w:rsid w:val="00970DB3"/>
    <w:rsid w:val="00974BB0"/>
    <w:rsid w:val="00975BCD"/>
    <w:rsid w:val="009928A9"/>
    <w:rsid w:val="009A0AF3"/>
    <w:rsid w:val="009B07CD"/>
    <w:rsid w:val="009C0A90"/>
    <w:rsid w:val="009C19E9"/>
    <w:rsid w:val="009D74A6"/>
    <w:rsid w:val="009E0E87"/>
    <w:rsid w:val="00A10F02"/>
    <w:rsid w:val="00A1772F"/>
    <w:rsid w:val="00A204CA"/>
    <w:rsid w:val="00A209D6"/>
    <w:rsid w:val="00A22738"/>
    <w:rsid w:val="00A53724"/>
    <w:rsid w:val="00A54B2B"/>
    <w:rsid w:val="00A82346"/>
    <w:rsid w:val="00A9671C"/>
    <w:rsid w:val="00AA0F9E"/>
    <w:rsid w:val="00AA1553"/>
    <w:rsid w:val="00AB11D3"/>
    <w:rsid w:val="00B05380"/>
    <w:rsid w:val="00B05962"/>
    <w:rsid w:val="00B15449"/>
    <w:rsid w:val="00B16C2F"/>
    <w:rsid w:val="00B27303"/>
    <w:rsid w:val="00B47FD1"/>
    <w:rsid w:val="00B516BB"/>
    <w:rsid w:val="00B84DB2"/>
    <w:rsid w:val="00BC3555"/>
    <w:rsid w:val="00C12B51"/>
    <w:rsid w:val="00C24650"/>
    <w:rsid w:val="00C25465"/>
    <w:rsid w:val="00C33079"/>
    <w:rsid w:val="00C6553E"/>
    <w:rsid w:val="00C66E46"/>
    <w:rsid w:val="00C83A13"/>
    <w:rsid w:val="00C9068C"/>
    <w:rsid w:val="00C92967"/>
    <w:rsid w:val="00C937C7"/>
    <w:rsid w:val="00CA3D0C"/>
    <w:rsid w:val="00CA654B"/>
    <w:rsid w:val="00CB3A07"/>
    <w:rsid w:val="00CB72B8"/>
    <w:rsid w:val="00CD4C7B"/>
    <w:rsid w:val="00CD58FE"/>
    <w:rsid w:val="00D33BE3"/>
    <w:rsid w:val="00D3792D"/>
    <w:rsid w:val="00D55E47"/>
    <w:rsid w:val="00D62E19"/>
    <w:rsid w:val="00D67CD1"/>
    <w:rsid w:val="00D738D6"/>
    <w:rsid w:val="00D80294"/>
    <w:rsid w:val="00D80795"/>
    <w:rsid w:val="00D854BE"/>
    <w:rsid w:val="00D87E00"/>
    <w:rsid w:val="00D9134D"/>
    <w:rsid w:val="00D96D11"/>
    <w:rsid w:val="00DA7A03"/>
    <w:rsid w:val="00DB0DB8"/>
    <w:rsid w:val="00DB1818"/>
    <w:rsid w:val="00DC309B"/>
    <w:rsid w:val="00DC4DA2"/>
    <w:rsid w:val="00DC5261"/>
    <w:rsid w:val="00DE25D2"/>
    <w:rsid w:val="00E03F31"/>
    <w:rsid w:val="00E46C08"/>
    <w:rsid w:val="00E471CF"/>
    <w:rsid w:val="00E62835"/>
    <w:rsid w:val="00E77645"/>
    <w:rsid w:val="00E83697"/>
    <w:rsid w:val="00EA66C9"/>
    <w:rsid w:val="00EC1546"/>
    <w:rsid w:val="00EC4A25"/>
    <w:rsid w:val="00EF612C"/>
    <w:rsid w:val="00F025A2"/>
    <w:rsid w:val="00F036E9"/>
    <w:rsid w:val="00F07388"/>
    <w:rsid w:val="00F2026E"/>
    <w:rsid w:val="00F2210A"/>
    <w:rsid w:val="00F37743"/>
    <w:rsid w:val="00F54A3D"/>
    <w:rsid w:val="00F54CB0"/>
    <w:rsid w:val="00F579CD"/>
    <w:rsid w:val="00F653B8"/>
    <w:rsid w:val="00F66DF4"/>
    <w:rsid w:val="00F71B89"/>
    <w:rsid w:val="00F7353C"/>
    <w:rsid w:val="00F76F8F"/>
    <w:rsid w:val="00F941DF"/>
    <w:rsid w:val="00FA1266"/>
    <w:rsid w:val="00FB36FA"/>
    <w:rsid w:val="00FC1192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8D7472"/>
    <w:rPr>
      <w:color w:val="954F72" w:themeColor="followedHyperlink"/>
      <w:u w:val="single"/>
    </w:rPr>
  </w:style>
  <w:style w:type="table" w:styleId="TableGrid">
    <w:name w:val="Table Grid"/>
    <w:basedOn w:val="TableNormal"/>
    <w:rsid w:val="00F66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4B0C9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sid w:val="004B0C98"/>
    <w:rPr>
      <w:rFonts w:ascii="Arial" w:hAnsi="Arial"/>
      <w:b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C66E46"/>
    <w:pPr>
      <w:ind w:left="720"/>
      <w:contextualSpacing/>
    </w:pPr>
  </w:style>
  <w:style w:type="paragraph" w:customStyle="1" w:styleId="EmailDiscussion">
    <w:name w:val="EmailDiscussion"/>
    <w:basedOn w:val="Normal"/>
    <w:next w:val="EmailDiscussion2"/>
    <w:link w:val="EmailDiscussionChar"/>
    <w:rsid w:val="00C937C7"/>
    <w:pPr>
      <w:numPr>
        <w:numId w:val="1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C937C7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qFormat/>
    <w:rsid w:val="00C937C7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8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3gpp.org/ftp/tsg_ran/TSG_RAN/TSGR_88e/Docs/RP-201292.zip" TargetMode="External"/><Relationship Id="rId18" Type="http://schemas.openxmlformats.org/officeDocument/2006/relationships/hyperlink" Target="https://www.3gpp.org/ftp/tsg_ran/WG2_RL2/TSGR2_111-e/Docs/R2-2007980.zip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3gpp.org/ftp/tsg_ran/WG2_RL2/TSGR2_111-e/Docs/R2-2007539.zip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11-e/Docs/R2-2007509.zip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11-e/Docs/R2-2007508.zip" TargetMode="External"/><Relationship Id="rId23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hyperlink" Target="https://www.3gpp.org/ftp/tsg_ran/WG2_RL2/TSGR2_111-e/Docs/R2-2007981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3gpp.org/ftp/tsg_ran/WG2_RL2/TSGR2_111-e/Docs/R2-2006959.zip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5AIRPNAIUNRU-859666464-7090</_dlc_DocId>
    <_dlc_DocIdUrl xmlns="71c5aaf6-e6ce-465b-b873-5148d2a4c105">
      <Url>https://nokia.sharepoint.com/sites/c5g/e2earch/_layouts/15/DocIdRedir.aspx?ID=5AIRPNAIUNRU-859666464-7090</Url>
      <Description>5AIRPNAIUNRU-859666464-7090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2" ma:contentTypeDescription="Create a new document." ma:contentTypeScope="" ma:versionID="6fb288d8ef3a39488918973a70aceda7">
  <xsd:schema xmlns:xsd="http://www.w3.org/2001/XMLSchema" xmlns:xs="http://www.w3.org/2001/XMLSchema" xmlns:p="http://schemas.microsoft.com/office/2006/metadata/properties" xmlns:ns3="71c5aaf6-e6ce-465b-b873-5148d2a4c105" xmlns:ns4="55ae6c15-9962-46ae-a768-8deca3649a65" targetNamespace="http://schemas.microsoft.com/office/2006/metadata/properties" ma:root="true" ma:fieldsID="86ad64c0611a90854a0fd062418973f2" ns3:_="" ns4:_="">
    <xsd:import namespace="71c5aaf6-e6ce-465b-b873-5148d2a4c105"/>
    <xsd:import namespace="55ae6c15-9962-46ae-a768-8deca3649a6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629CB6A-B079-4667-A8FE-A3BB6E259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6D73BF5-CE29-4F33-AEC1-73B14EF412A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3B2F0D5-7EEA-470F-AC1A-C6BA87D44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6000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Nokia</cp:lastModifiedBy>
  <cp:revision>7</cp:revision>
  <dcterms:created xsi:type="dcterms:W3CDTF">2020-08-17T10:57:00Z</dcterms:created>
  <dcterms:modified xsi:type="dcterms:W3CDTF">2020-08-17T11:25:00Z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0x0101002779548D02695F479F904726726C80A8</vt:lpwstr>
  </property>
  <property fmtid="{D5CDD505-2E9C-101B-9397-08002B2CF9AE}" pid="3" name="_dlc_DocIdItemGuid">
    <vt:lpwstr>062feec8-0537-49bb-839a-56582b54857e</vt:lpwstr>
  </property>
</Properties>
</file>