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0829E" w14:textId="77777777" w:rsidR="009B50AB" w:rsidRDefault="00691F10">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B130FA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Footer"/>
        <w:ind w:rightChars="-212" w:right="-424"/>
        <w:jc w:val="both"/>
        <w:rPr>
          <w:rFonts w:ascii="Times New Roman" w:eastAsia="SimSun"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Heading1"/>
        <w:numPr>
          <w:ilvl w:val="0"/>
          <w:numId w:val="9"/>
        </w:numPr>
        <w:rPr>
          <w:rFonts w:eastAsia="SimSun" w:cs="Arial"/>
          <w:lang w:eastAsia="zh-CN"/>
        </w:rPr>
      </w:pPr>
      <w:r>
        <w:rPr>
          <w:rFonts w:eastAsia="SimSun"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w:t>
      </w:r>
      <w:proofErr w:type="gramStart"/>
      <w:r>
        <w:t>018][</w:t>
      </w:r>
      <w:proofErr w:type="gramEnd"/>
      <w:r>
        <w:t>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proofErr w:type="gramStart"/>
      <w:r>
        <w:t>details,Friday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Heading1"/>
        <w:numPr>
          <w:ilvl w:val="0"/>
          <w:numId w:val="9"/>
        </w:numPr>
        <w:rPr>
          <w:lang w:eastAsia="zh-CN"/>
        </w:rPr>
      </w:pPr>
      <w:r>
        <w:rPr>
          <w:rFonts w:eastAsia="SimSun" w:cs="Arial"/>
          <w:lang w:eastAsia="zh-CN"/>
        </w:rPr>
        <w:t>Discussion</w:t>
      </w:r>
    </w:p>
    <w:p w14:paraId="7164960D" w14:textId="77777777" w:rsidR="009B50AB" w:rsidRDefault="00691F10">
      <w:pPr>
        <w:pStyle w:val="Heading2"/>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w:t>
      </w:r>
      <w:proofErr w:type="gramEnd"/>
      <w:r>
        <w:rPr>
          <w:rFonts w:ascii="Times New Roman" w:eastAsiaTheme="minorEastAsia" w:hAnsi="Times New Roman"/>
          <w:i/>
          <w:sz w:val="22"/>
          <w:szCs w:val="22"/>
          <w:lang w:eastAsia="ja-JP"/>
        </w:rPr>
        <w:t>1,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Heading2"/>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ListParagraph"/>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ListParagraph"/>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DengXian"/>
          <w:sz w:val="22"/>
          <w:szCs w:val="22"/>
          <w:lang w:eastAsia="zh-CN"/>
        </w:rPr>
      </w:pPr>
      <w:r>
        <w:rPr>
          <w:rFonts w:eastAsia="DengXian"/>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TableGrid"/>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A472242"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Malgun Gothic"/>
                <w:sz w:val="22"/>
                <w:szCs w:val="22"/>
                <w:lang w:eastAsia="ko-KR"/>
              </w:rPr>
              <w:t>that</w:t>
            </w:r>
            <w:proofErr w:type="spellEnd"/>
            <w:r w:rsidRPr="00C450D1">
              <w:rPr>
                <w:rFonts w:eastAsia="Malgun Gothic"/>
                <w:sz w:val="22"/>
                <w:szCs w:val="22"/>
                <w:lang w:eastAsia="ko-KR"/>
              </w:rPr>
              <w:t xml:space="preserve">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r w:rsidRPr="00C450D1">
              <w:rPr>
                <w:sz w:val="22"/>
              </w:rPr>
              <w:t>FeatureSetUplink.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w:t>
            </w:r>
            <w:proofErr w:type="spellStart"/>
            <w:r w:rsidRPr="00C450D1">
              <w:rPr>
                <w:rFonts w:eastAsia="Malgun Gothic"/>
                <w:sz w:val="22"/>
                <w:szCs w:val="22"/>
                <w:lang w:eastAsia="ko-KR"/>
              </w:rPr>
              <w:t>FeatureSetUplinkEUTRA</w:t>
            </w:r>
            <w:proofErr w:type="spellEnd"/>
            <w:r w:rsidRPr="00C450D1">
              <w:rPr>
                <w:rFonts w:eastAsia="Malgun Gothic"/>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here is already a power class in the CA-</w:t>
            </w:r>
            <w:proofErr w:type="spellStart"/>
            <w:r w:rsidRPr="00C450D1">
              <w:rPr>
                <w:rFonts w:eastAsia="Malgun Gothic"/>
                <w:sz w:val="22"/>
                <w:szCs w:val="22"/>
                <w:lang w:eastAsia="ko-KR"/>
              </w:rPr>
              <w:t>ParametersEUTRA</w:t>
            </w:r>
            <w:proofErr w:type="spellEnd"/>
            <w:r w:rsidRPr="00C450D1">
              <w:rPr>
                <w:rFonts w:eastAsia="Malgun Gothic"/>
                <w:sz w:val="22"/>
                <w:szCs w:val="22"/>
                <w:lang w:eastAsia="ko-KR"/>
              </w:rPr>
              <w:t xml:space="preserve">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tc>
          <w:tcPr>
            <w:tcW w:w="1838" w:type="dxa"/>
          </w:tcPr>
          <w:p w14:paraId="79AEC9FE" w14:textId="7FE4EF48" w:rsidR="009B50AB" w:rsidRPr="00FD6449" w:rsidRDefault="00FD64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41881061" w14:textId="3000BBE9" w:rsidR="009B50AB" w:rsidRPr="00FD6449" w:rsidRDefault="00FD644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808" w:type="dxa"/>
          </w:tcPr>
          <w:p w14:paraId="1BE943DD" w14:textId="443482B2" w:rsidR="009B50AB" w:rsidRPr="00FD6449" w:rsidRDefault="00FD6449">
            <w:pPr>
              <w:rPr>
                <w:rFonts w:eastAsia="DengXian"/>
                <w:sz w:val="22"/>
                <w:szCs w:val="22"/>
                <w:lang w:eastAsia="zh-CN"/>
              </w:rPr>
            </w:pPr>
            <w:r>
              <w:rPr>
                <w:rFonts w:eastAsia="DengXian"/>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tc>
          <w:tcPr>
            <w:tcW w:w="1838" w:type="dxa"/>
          </w:tcPr>
          <w:p w14:paraId="3F9D180D" w14:textId="16952C63" w:rsidR="003C5F77" w:rsidRDefault="003C5F77">
            <w:pPr>
              <w:rPr>
                <w:rFonts w:eastAsiaTheme="minor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MediaTek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r w:rsidR="00674C78" w14:paraId="185CC60B" w14:textId="77777777">
        <w:tc>
          <w:tcPr>
            <w:tcW w:w="1838" w:type="dxa"/>
          </w:tcPr>
          <w:p w14:paraId="2333D57B" w14:textId="60423319" w:rsidR="00674C78" w:rsidRPr="00674C78" w:rsidRDefault="00674C78">
            <w:pPr>
              <w:rPr>
                <w:rFonts w:eastAsiaTheme="minorEastAsia"/>
                <w:sz w:val="22"/>
                <w:szCs w:val="22"/>
                <w:lang w:eastAsia="zh-CN"/>
              </w:rPr>
            </w:pPr>
            <w:r>
              <w:rPr>
                <w:rFonts w:eastAsiaTheme="minorEastAsia" w:hint="eastAsia"/>
                <w:sz w:val="22"/>
                <w:szCs w:val="22"/>
                <w:lang w:eastAsia="ja-JP"/>
              </w:rPr>
              <w:t>Qualcomm</w:t>
            </w:r>
            <w:r>
              <w:rPr>
                <w:rFonts w:eastAsiaTheme="minorEastAsia"/>
                <w:sz w:val="22"/>
                <w:szCs w:val="22"/>
                <w:lang w:eastAsia="zh-CN"/>
              </w:rPr>
              <w:t xml:space="preserve"> Incorporated (Masato)</w:t>
            </w:r>
          </w:p>
        </w:tc>
        <w:tc>
          <w:tcPr>
            <w:tcW w:w="1985" w:type="dxa"/>
          </w:tcPr>
          <w:p w14:paraId="16919033" w14:textId="1A27AC45" w:rsidR="00674C78" w:rsidRDefault="00674C78">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p>
        </w:tc>
        <w:tc>
          <w:tcPr>
            <w:tcW w:w="5808" w:type="dxa"/>
          </w:tcPr>
          <w:p w14:paraId="375429D1" w14:textId="4C48205B" w:rsidR="00674C78" w:rsidRDefault="00674C78" w:rsidP="009E7A9B">
            <w:pPr>
              <w:rPr>
                <w:rFonts w:eastAsiaTheme="minorEastAsia"/>
                <w:sz w:val="22"/>
                <w:szCs w:val="22"/>
                <w:lang w:eastAsia="ja-JP"/>
              </w:rPr>
            </w:pPr>
            <w:r>
              <w:rPr>
                <w:rFonts w:eastAsiaTheme="minorEastAsia"/>
                <w:sz w:val="22"/>
                <w:szCs w:val="22"/>
                <w:lang w:eastAsia="ja-JP"/>
              </w:rPr>
              <w:t>We would follow RAN request, i.e. the UE capability is applicable to the case where NR part of UL is a single CC or intra-band CA.</w:t>
            </w:r>
          </w:p>
          <w:p w14:paraId="6955B710" w14:textId="22992ED3" w:rsidR="00674C78" w:rsidRPr="00674C78" w:rsidRDefault="00674C78" w:rsidP="009E7A9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CR to 38.306 can clarify that such restriction is only for UL.</w:t>
            </w:r>
          </w:p>
        </w:tc>
      </w:tr>
      <w:tr w:rsidR="00D710B5" w14:paraId="3DA07C01" w14:textId="77777777">
        <w:tc>
          <w:tcPr>
            <w:tcW w:w="1838" w:type="dxa"/>
          </w:tcPr>
          <w:p w14:paraId="65050F1C" w14:textId="5C08C5FF" w:rsidR="00D710B5" w:rsidRPr="00D710B5" w:rsidRDefault="00D710B5">
            <w:pPr>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1985" w:type="dxa"/>
          </w:tcPr>
          <w:p w14:paraId="0E2191AC" w14:textId="3B987104" w:rsidR="00D710B5" w:rsidRPr="00D710B5" w:rsidRDefault="00D710B5">
            <w:pPr>
              <w:rPr>
                <w:rFonts w:eastAsia="DengXian"/>
                <w:sz w:val="22"/>
                <w:szCs w:val="22"/>
                <w:lang w:eastAsia="zh-CN"/>
              </w:rPr>
            </w:pPr>
            <w:r>
              <w:rPr>
                <w:rFonts w:eastAsia="DengXian"/>
                <w:sz w:val="22"/>
                <w:szCs w:val="22"/>
                <w:lang w:eastAsia="zh-CN"/>
              </w:rPr>
              <w:t>Option 1</w:t>
            </w:r>
          </w:p>
        </w:tc>
        <w:tc>
          <w:tcPr>
            <w:tcW w:w="5808" w:type="dxa"/>
          </w:tcPr>
          <w:p w14:paraId="38DE278F" w14:textId="4FB9D0CB" w:rsidR="00D710B5" w:rsidRDefault="00D710B5" w:rsidP="00D710B5">
            <w:pPr>
              <w:tabs>
                <w:tab w:val="left" w:pos="806"/>
              </w:tabs>
              <w:rPr>
                <w:rFonts w:eastAsiaTheme="minorEastAsia"/>
                <w:sz w:val="22"/>
                <w:szCs w:val="22"/>
                <w:lang w:eastAsia="ja-JP"/>
              </w:rPr>
            </w:pPr>
            <w:r>
              <w:rPr>
                <w:rFonts w:eastAsiaTheme="minorEastAsia"/>
                <w:sz w:val="22"/>
                <w:szCs w:val="22"/>
                <w:lang w:eastAsia="ja-JP"/>
              </w:rPr>
              <w:t>We prefer to focus on the issue raised in the LS and have the per BC cap for now.</w:t>
            </w:r>
            <w:r w:rsidR="000F280B">
              <w:rPr>
                <w:rFonts w:eastAsiaTheme="minorEastAsia"/>
                <w:sz w:val="22"/>
                <w:szCs w:val="22"/>
                <w:lang w:eastAsia="ja-JP"/>
              </w:rPr>
              <w:t xml:space="preserve"> E</w:t>
            </w:r>
            <w:r>
              <w:rPr>
                <w:rFonts w:eastAsiaTheme="minorEastAsia"/>
                <w:sz w:val="22"/>
                <w:szCs w:val="22"/>
                <w:lang w:eastAsia="ja-JP"/>
              </w:rPr>
              <w:t>nhancement could be done if RAN2 receive</w:t>
            </w:r>
            <w:r w:rsidR="00525466">
              <w:rPr>
                <w:rFonts w:eastAsiaTheme="minorEastAsia"/>
                <w:sz w:val="22"/>
                <w:szCs w:val="22"/>
                <w:lang w:eastAsia="ja-JP"/>
              </w:rPr>
              <w:t>s</w:t>
            </w:r>
            <w:r>
              <w:rPr>
                <w:rFonts w:eastAsiaTheme="minorEastAsia"/>
                <w:sz w:val="22"/>
                <w:szCs w:val="22"/>
                <w:lang w:eastAsia="ja-JP"/>
              </w:rPr>
              <w:t xml:space="preserve"> further request</w:t>
            </w:r>
            <w:r w:rsidR="00816201">
              <w:rPr>
                <w:rFonts w:eastAsiaTheme="minorEastAsia"/>
                <w:sz w:val="22"/>
                <w:szCs w:val="22"/>
                <w:lang w:eastAsia="ja-JP"/>
              </w:rPr>
              <w:t>s</w:t>
            </w:r>
            <w:r>
              <w:rPr>
                <w:rFonts w:eastAsiaTheme="minorEastAsia"/>
                <w:sz w:val="22"/>
                <w:szCs w:val="22"/>
                <w:lang w:eastAsia="ja-JP"/>
              </w:rPr>
              <w:t>.</w:t>
            </w:r>
          </w:p>
        </w:tc>
      </w:tr>
      <w:tr w:rsidR="00581842" w14:paraId="42CC89FF" w14:textId="77777777">
        <w:tc>
          <w:tcPr>
            <w:tcW w:w="1838" w:type="dxa"/>
          </w:tcPr>
          <w:p w14:paraId="790ADBFE" w14:textId="307957F4" w:rsidR="00581842" w:rsidRDefault="00581842" w:rsidP="00581842">
            <w:pPr>
              <w:rPr>
                <w:rFonts w:eastAsia="DengXian"/>
                <w:sz w:val="22"/>
                <w:szCs w:val="22"/>
                <w:lang w:eastAsia="zh-CN"/>
              </w:rPr>
            </w:pPr>
            <w:bookmarkStart w:id="3" w:name="_Hlk48711152"/>
            <w:r>
              <w:rPr>
                <w:rFonts w:eastAsiaTheme="minorEastAsia"/>
                <w:sz w:val="22"/>
                <w:szCs w:val="22"/>
                <w:lang w:eastAsia="ja-JP"/>
              </w:rPr>
              <w:t>Nokia</w:t>
            </w:r>
          </w:p>
        </w:tc>
        <w:tc>
          <w:tcPr>
            <w:tcW w:w="1985" w:type="dxa"/>
          </w:tcPr>
          <w:p w14:paraId="30A6A8D8" w14:textId="3A2FF4B2" w:rsidR="00581842" w:rsidRDefault="00581842" w:rsidP="00581842">
            <w:pPr>
              <w:rPr>
                <w:rFonts w:eastAsia="DengXian"/>
                <w:sz w:val="22"/>
                <w:szCs w:val="22"/>
                <w:lang w:eastAsia="zh-CN"/>
              </w:rPr>
            </w:pPr>
            <w:r>
              <w:rPr>
                <w:rFonts w:eastAsiaTheme="minorEastAsia"/>
                <w:sz w:val="22"/>
                <w:szCs w:val="22"/>
                <w:lang w:eastAsia="ja-JP"/>
              </w:rPr>
              <w:t>Option 1</w:t>
            </w:r>
          </w:p>
        </w:tc>
        <w:tc>
          <w:tcPr>
            <w:tcW w:w="5808" w:type="dxa"/>
          </w:tcPr>
          <w:p w14:paraId="04A82CD5" w14:textId="5CCB2E53" w:rsidR="00581842" w:rsidRDefault="00581842" w:rsidP="00581842">
            <w:pPr>
              <w:tabs>
                <w:tab w:val="left" w:pos="806"/>
              </w:tabs>
              <w:rPr>
                <w:rFonts w:eastAsiaTheme="minorEastAsia"/>
                <w:sz w:val="22"/>
                <w:szCs w:val="22"/>
                <w:lang w:eastAsia="ja-JP"/>
              </w:rPr>
            </w:pPr>
            <w:r>
              <w:rPr>
                <w:rFonts w:eastAsiaTheme="minorEastAsia"/>
                <w:sz w:val="22"/>
                <w:szCs w:val="22"/>
                <w:lang w:eastAsia="ja-JP"/>
              </w:rPr>
              <w:t>Yes, agree to stick to RAN plenary guidelines. When the “NR part” of an MR-DC band combination comprises of multiple NR bands and also CA possibility, how should this capability be interpreted? Looks like “</w:t>
            </w:r>
            <w:r w:rsidRPr="00D67A92">
              <w:rPr>
                <w:rFonts w:eastAsiaTheme="minorEastAsia"/>
                <w:sz w:val="22"/>
                <w:szCs w:val="22"/>
                <w:lang w:eastAsia="ja-JP"/>
              </w:rPr>
              <w:t xml:space="preserve">single NR band or intra-band NR CA” is </w:t>
            </w:r>
            <w:r>
              <w:rPr>
                <w:rFonts w:eastAsiaTheme="minorEastAsia"/>
                <w:sz w:val="22"/>
                <w:szCs w:val="22"/>
                <w:lang w:eastAsia="ja-JP"/>
              </w:rPr>
              <w:t>implied so please make sure to capture how to interpret the capability.</w:t>
            </w:r>
          </w:p>
        </w:tc>
      </w:tr>
      <w:tr w:rsidR="000A6E02" w14:paraId="14D8ABB7" w14:textId="77777777">
        <w:tc>
          <w:tcPr>
            <w:tcW w:w="1838" w:type="dxa"/>
          </w:tcPr>
          <w:p w14:paraId="547BFB39" w14:textId="69CCDB45" w:rsidR="000A6E02" w:rsidRDefault="000A6E02" w:rsidP="00581842">
            <w:pPr>
              <w:rPr>
                <w:rFonts w:eastAsiaTheme="minorEastAsia"/>
                <w:sz w:val="22"/>
                <w:szCs w:val="22"/>
                <w:lang w:eastAsia="ja-JP"/>
              </w:rPr>
            </w:pPr>
            <w:r>
              <w:rPr>
                <w:rFonts w:eastAsiaTheme="minorEastAsia"/>
                <w:sz w:val="22"/>
                <w:szCs w:val="22"/>
                <w:lang w:eastAsia="ja-JP"/>
              </w:rPr>
              <w:t>Intel</w:t>
            </w:r>
          </w:p>
        </w:tc>
        <w:tc>
          <w:tcPr>
            <w:tcW w:w="1985" w:type="dxa"/>
          </w:tcPr>
          <w:p w14:paraId="33618B61" w14:textId="013C8D20" w:rsidR="000A6E02" w:rsidRDefault="000A6E02" w:rsidP="00581842">
            <w:pPr>
              <w:rPr>
                <w:rFonts w:eastAsiaTheme="minorEastAsia"/>
                <w:sz w:val="22"/>
                <w:szCs w:val="22"/>
                <w:lang w:eastAsia="ja-JP"/>
              </w:rPr>
            </w:pPr>
            <w:r>
              <w:rPr>
                <w:rFonts w:eastAsiaTheme="minorEastAsia"/>
                <w:sz w:val="22"/>
                <w:szCs w:val="22"/>
                <w:lang w:eastAsia="ja-JP"/>
              </w:rPr>
              <w:t>Option 1</w:t>
            </w:r>
          </w:p>
        </w:tc>
        <w:tc>
          <w:tcPr>
            <w:tcW w:w="5808" w:type="dxa"/>
          </w:tcPr>
          <w:p w14:paraId="402CE1A1" w14:textId="1112879C" w:rsidR="000A6E02" w:rsidRDefault="000A6E02" w:rsidP="00581842">
            <w:pPr>
              <w:tabs>
                <w:tab w:val="left" w:pos="806"/>
              </w:tabs>
              <w:rPr>
                <w:rFonts w:eastAsiaTheme="minorEastAsia"/>
                <w:sz w:val="22"/>
                <w:szCs w:val="22"/>
                <w:lang w:eastAsia="ja-JP"/>
              </w:rPr>
            </w:pPr>
            <w:r>
              <w:rPr>
                <w:rFonts w:eastAsiaTheme="minorEastAsia"/>
                <w:sz w:val="22"/>
                <w:szCs w:val="22"/>
                <w:lang w:eastAsia="ja-JP"/>
              </w:rPr>
              <w:t xml:space="preserve">Agree that it is aligned with RAN plenary agreement. Regarding Nokia’s question, </w:t>
            </w:r>
            <w:r w:rsidR="00417F66">
              <w:rPr>
                <w:rFonts w:eastAsiaTheme="minorEastAsia"/>
                <w:sz w:val="22"/>
                <w:szCs w:val="22"/>
                <w:lang w:eastAsia="ja-JP"/>
              </w:rPr>
              <w:t xml:space="preserve">it should be applied to both non-CA and CA part of MR-DC. In addition, </w:t>
            </w:r>
            <w:r>
              <w:rPr>
                <w:rFonts w:eastAsiaTheme="minorEastAsia"/>
                <w:sz w:val="22"/>
                <w:szCs w:val="22"/>
                <w:lang w:eastAsia="ja-JP"/>
              </w:rPr>
              <w:t xml:space="preserve">we understand that the same </w:t>
            </w:r>
            <w:r w:rsidR="00417F66">
              <w:rPr>
                <w:rFonts w:eastAsiaTheme="minorEastAsia"/>
                <w:sz w:val="22"/>
                <w:szCs w:val="22"/>
                <w:lang w:eastAsia="ja-JP"/>
              </w:rPr>
              <w:t xml:space="preserve">power class </w:t>
            </w:r>
            <w:r>
              <w:rPr>
                <w:rFonts w:eastAsiaTheme="minorEastAsia"/>
                <w:sz w:val="22"/>
                <w:szCs w:val="22"/>
                <w:lang w:eastAsia="ja-JP"/>
              </w:rPr>
              <w:t xml:space="preserve">value should be applied to all carriers in NR part in MR-DC. </w:t>
            </w:r>
          </w:p>
        </w:tc>
      </w:tr>
      <w:bookmarkEnd w:id="3"/>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Option 3: Add power class field to FeatureSetUplink:</w:t>
      </w:r>
      <w:bookmarkStart w:id="4" w:name="_GoBack"/>
      <w:bookmarkEnd w:id="4"/>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lastRenderedPageBreak/>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BandCombination-&gt;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w:t>
      </w:r>
      <w:proofErr w:type="spellStart"/>
      <w:r w:rsidRPr="00D918ED">
        <w:rPr>
          <w:rFonts w:ascii="Courier New" w:eastAsia="MS Mincho" w:hAnsi="Courier New" w:cs="Courier New"/>
          <w:color w:val="808080"/>
          <w:lang w:val="en-US" w:eastAsia="ja-JP"/>
        </w:rPr>
        <w:t>BandNR</w:t>
      </w:r>
      <w:proofErr w:type="spellEnd"/>
      <w:r w:rsidRPr="00D918ED">
        <w:rPr>
          <w:rFonts w:ascii="Courier New" w:eastAsia="MS Mincho" w:hAnsi="Courier New" w:cs="Courier New"/>
          <w:color w:val="808080"/>
          <w:lang w:val="en-US" w:eastAsia="ja-JP"/>
        </w:rPr>
        <w:t xml:space="preserve">-&gt; </w:t>
      </w:r>
      <w:proofErr w:type="spellStart"/>
      <w:r w:rsidRPr="00D918ED">
        <w:rPr>
          <w:rFonts w:ascii="Courier New" w:eastAsia="MS Mincho" w:hAnsi="Courier New" w:cs="Courier New"/>
          <w:color w:val="808080"/>
          <w:lang w:val="en-US" w:eastAsia="ja-JP"/>
        </w:rPr>
        <w:t>ue-PowerClass</w:t>
      </w:r>
      <w:proofErr w:type="spellEnd"/>
      <w:r w:rsidRPr="00D918ED">
        <w:rPr>
          <w:rFonts w:ascii="Courier New" w:eastAsia="MS Mincho" w:hAnsi="Courier New" w:cs="Courier New"/>
          <w:color w:val="808080"/>
          <w:lang w:val="en-US" w:eastAsia="ja-JP"/>
        </w:rPr>
        <w:t>,</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7777777" w:rsidR="002075B6" w:rsidRDefault="002075B6">
      <w:pPr>
        <w:rPr>
          <w:rFonts w:eastAsiaTheme="minorEastAsia"/>
          <w:sz w:val="28"/>
          <w:szCs w:val="22"/>
          <w:lang w:eastAsia="ja-JP"/>
        </w:rPr>
      </w:pPr>
    </w:p>
    <w:p w14:paraId="74D242B6" w14:textId="77777777" w:rsidR="009B50AB" w:rsidRDefault="00691F10">
      <w:pPr>
        <w:pStyle w:val="Heading2"/>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rFonts w:eastAsia="DengXian"/>
          <w:sz w:val="22"/>
          <w:szCs w:val="22"/>
          <w:lang w:eastAsia="zh-CN"/>
        </w:rPr>
      </w:pPr>
      <w:r>
        <w:rPr>
          <w:rFonts w:eastAsia="DengXian"/>
          <w:sz w:val="22"/>
          <w:szCs w:val="22"/>
          <w:lang w:eastAsia="zh-CN"/>
        </w:rPr>
        <w:t>To be updated after Phase I discussion</w:t>
      </w: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Heading1"/>
        <w:numPr>
          <w:ilvl w:val="0"/>
          <w:numId w:val="9"/>
        </w:numPr>
        <w:rPr>
          <w:rFonts w:eastAsia="SimSun" w:cs="Arial"/>
          <w:lang w:eastAsia="zh-CN"/>
        </w:rPr>
      </w:pPr>
      <w:r>
        <w:rPr>
          <w:rFonts w:eastAsia="SimSun" w:cs="Arial"/>
          <w:lang w:eastAsia="zh-CN"/>
        </w:rPr>
        <w:t>Reference</w:t>
      </w:r>
    </w:p>
    <w:p w14:paraId="7CA45876" w14:textId="77777777" w:rsidR="009B50AB" w:rsidRDefault="00691F10">
      <w:pPr>
        <w:pStyle w:val="Reference"/>
        <w:rPr>
          <w:rStyle w:val="Hyperlink"/>
          <w:color w:val="auto"/>
          <w:u w:val="none"/>
          <w:lang w:val="en-GB"/>
        </w:rPr>
      </w:pPr>
      <w:r>
        <w:rPr>
          <w:rStyle w:val="Hyperlink"/>
        </w:rPr>
        <w:t>R2-2008077</w:t>
      </w:r>
      <w:r>
        <w:tab/>
        <w:t>Introduction of new PowerClass for NR part in MR-DC</w:t>
      </w:r>
      <w:r>
        <w:tab/>
        <w:t>Huawei, HiSilicon, CMCC</w:t>
      </w:r>
      <w:r>
        <w:tab/>
      </w:r>
    </w:p>
    <w:p w14:paraId="47E29D8E" w14:textId="77777777" w:rsidR="009B50AB" w:rsidRDefault="00691F10">
      <w:pPr>
        <w:pStyle w:val="Reference"/>
      </w:pPr>
      <w:r>
        <w:rPr>
          <w:rStyle w:val="Hyperlink"/>
        </w:rPr>
        <w:t>R2-2008078</w:t>
      </w:r>
      <w:r>
        <w:tab/>
        <w:t>Introduction of new PowerClass for NR part in MR-DC</w:t>
      </w:r>
      <w:r>
        <w:tab/>
        <w:t>Huawei, HiSilicon, CMCC</w:t>
      </w:r>
      <w:r>
        <w:tab/>
      </w:r>
    </w:p>
    <w:p w14:paraId="5BC31FA2" w14:textId="77777777" w:rsidR="009B50AB" w:rsidRDefault="00FA2722">
      <w:pPr>
        <w:pStyle w:val="Reference"/>
      </w:pPr>
      <w:hyperlink r:id="rId9" w:tooltip="D:Documents3GPPtsg_ranWG2TSGR2_111-eDocsR2-2007112.zip" w:history="1">
        <w:r w:rsidR="00691F10">
          <w:rPr>
            <w:rStyle w:val="Hyperlink"/>
          </w:rPr>
          <w:t>R2-2007112</w:t>
        </w:r>
      </w:hyperlink>
      <w:r w:rsidR="00691F10">
        <w:tab/>
        <w:t>Discussion on UE capability for power class for NR band in MR-DC combination</w:t>
      </w:r>
      <w:r w:rsidR="00691F10">
        <w:tab/>
        <w:t>Apple</w:t>
      </w:r>
    </w:p>
    <w:p w14:paraId="67A17BE4" w14:textId="77777777" w:rsidR="009B50AB" w:rsidRDefault="00FA2722">
      <w:pPr>
        <w:pStyle w:val="Reference"/>
      </w:pPr>
      <w:hyperlink r:id="rId10" w:tooltip="D:Documents3GPPtsg_ranWG2TSGR2_111-eDocsR2-2007113.zip" w:history="1">
        <w:r w:rsidR="00691F10">
          <w:rPr>
            <w:rStyle w:val="Hyperlink"/>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FA2722">
      <w:pPr>
        <w:pStyle w:val="Reference"/>
        <w:rPr>
          <w:rStyle w:val="Hyperlink"/>
          <w:color w:val="auto"/>
          <w:u w:val="none"/>
          <w:lang w:val="en-GB"/>
        </w:rPr>
      </w:pPr>
      <w:hyperlink r:id="rId11" w:tooltip="D:Documents3GPPtsg_ranWG2TSGR2_111-eDocsR2-2007114.zip" w:history="1">
        <w:r w:rsidR="00691F10">
          <w:rPr>
            <w:rStyle w:val="Hyperlink"/>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1559" w14:textId="77777777" w:rsidR="00FA2722" w:rsidRDefault="00FA2722">
      <w:pPr>
        <w:spacing w:after="0" w:line="240" w:lineRule="auto"/>
      </w:pPr>
      <w:r>
        <w:separator/>
      </w:r>
    </w:p>
  </w:endnote>
  <w:endnote w:type="continuationSeparator" w:id="0">
    <w:p w14:paraId="1299E4BD" w14:textId="77777777" w:rsidR="00FA2722" w:rsidRDefault="00FA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6723" w14:textId="77777777" w:rsidR="009B50AB" w:rsidRDefault="00691F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3D2A" w14:textId="77777777" w:rsidR="00FA2722" w:rsidRDefault="00FA2722">
      <w:pPr>
        <w:spacing w:after="0" w:line="240" w:lineRule="auto"/>
      </w:pPr>
      <w:r>
        <w:separator/>
      </w:r>
    </w:p>
  </w:footnote>
  <w:footnote w:type="continuationSeparator" w:id="0">
    <w:p w14:paraId="15E77299" w14:textId="77777777" w:rsidR="00FA2722" w:rsidRDefault="00FA2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A6E02"/>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280B"/>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498"/>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B51"/>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17F66"/>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4C07"/>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66"/>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1842"/>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78"/>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201"/>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37"/>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3C7"/>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3459"/>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0B5"/>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4B"/>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722"/>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999320"/>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table" w:styleId="TableGrid">
    <w:name w:val="Table Grid"/>
    <w:basedOn w:val="TableNormal"/>
    <w:uiPriority w:val="39"/>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rPr>
      <w:rFonts w:eastAsia="SimSun"/>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7536F-562F-4438-8B81-B4287EAD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1364</Words>
  <Characters>6646</Characters>
  <Application>Microsoft Office Word</Application>
  <DocSecurity>0</DocSecurity>
  <Lines>184</Lines>
  <Paragraphs>105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Intel_yh</cp:lastModifiedBy>
  <cp:revision>3</cp:revision>
  <cp:lastPrinted>2009-04-22T00:01:00Z</cp:lastPrinted>
  <dcterms:created xsi:type="dcterms:W3CDTF">2020-08-19T13:33:00Z</dcterms:created>
  <dcterms:modified xsi:type="dcterms:W3CDTF">2020-08-19T13:38:00Z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y fmtid="{D5CDD505-2E9C-101B-9397-08002B2CF9AE}" pid="18" name="TitusGUID">
    <vt:lpwstr>dd9f6abf-8da0-42f7-9e07-474b4bd9e349</vt:lpwstr>
  </property>
  <property fmtid="{D5CDD505-2E9C-101B-9397-08002B2CF9AE}" pid="19" name="CTP_TimeStamp">
    <vt:lpwstr>2020-08-19 13:38:17Z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