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bookmarkStart w:id="2" w:name="_GoBack"/>
      <w:r w:rsidRPr="00012D58">
        <w:rPr>
          <w:b/>
          <w:sz w:val="28"/>
          <w:szCs w:val="28"/>
          <w:lang w:eastAsia="en-GB"/>
        </w:rPr>
        <w:t>3GPP TSG</w:t>
      </w:r>
      <w:bookmarkEnd w:id="2"/>
      <w:r w:rsidRPr="00012D58">
        <w:rPr>
          <w:b/>
          <w:sz w:val="28"/>
          <w:szCs w:val="28"/>
          <w:lang w:eastAsia="en-GB"/>
        </w:rPr>
        <w:t xml:space="preserve">-RAN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Heading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BodyText"/>
        <w:spacing w:after="240" w:line="280" w:lineRule="exact"/>
        <w:rPr>
          <w:rFonts w:eastAsiaTheme="minorEastAsia"/>
          <w:sz w:val="21"/>
          <w:szCs w:val="21"/>
        </w:rPr>
      </w:pPr>
      <w:bookmarkStart w:id="3" w:name="OLE_LINK32"/>
      <w:bookmarkStart w:id="4"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 xml:space="preserve">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BodyText"/>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BodyText"/>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Heading1"/>
        <w:numPr>
          <w:ilvl w:val="0"/>
          <w:numId w:val="10"/>
        </w:numPr>
        <w:tabs>
          <w:tab w:val="clear" w:pos="432"/>
        </w:tabs>
        <w:overflowPunct/>
        <w:autoSpaceDE/>
        <w:autoSpaceDN/>
        <w:adjustRightInd/>
        <w:ind w:left="0" w:firstLine="0"/>
        <w:textAlignment w:val="auto"/>
      </w:pPr>
      <w:bookmarkStart w:id="5" w:name="OLE_LINK1"/>
      <w:bookmarkStart w:id="6" w:name="OLE_LINK2"/>
      <w:bookmarkStart w:id="7" w:name="OLE_LINK102"/>
      <w:bookmarkStart w:id="8" w:name="OLE_LINK103"/>
      <w:bookmarkStart w:id="9" w:name="OLE_LINK146"/>
      <w:bookmarkStart w:id="10" w:name="OLE_LINK147"/>
      <w:bookmarkStart w:id="11" w:name="OLE_LINK159"/>
      <w:bookmarkStart w:id="12" w:name="OLE_LINK160"/>
      <w:bookmarkStart w:id="13" w:name="OLE_LINK154"/>
      <w:bookmarkStart w:id="14" w:name="OLE_LINK155"/>
      <w:bookmarkStart w:id="15" w:name="OLE_LINK3"/>
      <w:bookmarkStart w:id="16" w:name="OLE_LINK4"/>
      <w:bookmarkEnd w:id="3"/>
      <w:bookmarkEnd w:id="4"/>
      <w:r>
        <w:t>Discussions</w:t>
      </w:r>
    </w:p>
    <w:p w14:paraId="5A21A8BE" w14:textId="793B80D0" w:rsidR="00AB0351" w:rsidRDefault="00AB0351" w:rsidP="00AB0351">
      <w:pPr>
        <w:pStyle w:val="Heading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TableGrid"/>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Heading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 xml:space="preserve">The Serving Cell configured with </w:t>
            </w:r>
            <w:proofErr w:type="spellStart"/>
            <w:r w:rsidRPr="00D367BA">
              <w:rPr>
                <w:lang w:eastAsia="ko-KR"/>
              </w:rPr>
              <w:t>supplementaryUplink</w:t>
            </w:r>
            <w:proofErr w:type="spellEnd"/>
            <w:r w:rsidRPr="00D367BA">
              <w:rPr>
                <w:lang w:eastAsia="ko-KR"/>
              </w:rPr>
              <w:t xml:space="preserve">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TableGrid"/>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r w:rsidR="004764C8">
              <w:rPr>
                <w:rFonts w:eastAsiaTheme="minorEastAsia"/>
              </w:rPr>
              <w:t>those implementations</w:t>
            </w:r>
            <w:r>
              <w:rPr>
                <w:rFonts w:eastAsiaTheme="minorEastAsia"/>
              </w:rPr>
              <w:t>.</w:t>
            </w:r>
          </w:p>
        </w:tc>
      </w:tr>
      <w:tr w:rsidR="004571F6" w14:paraId="70D1FF53" w14:textId="77777777" w:rsidTr="00D367BA">
        <w:tc>
          <w:tcPr>
            <w:tcW w:w="1271" w:type="dxa"/>
          </w:tcPr>
          <w:p w14:paraId="653B3B43" w14:textId="782FF0D3" w:rsidR="004571F6" w:rsidRDefault="004571F6" w:rsidP="00D367BA">
            <w:pPr>
              <w:rPr>
                <w:rFonts w:eastAsiaTheme="minorEastAsia"/>
              </w:rPr>
            </w:pPr>
            <w:r>
              <w:rPr>
                <w:rFonts w:eastAsiaTheme="minorEastAsia"/>
              </w:rPr>
              <w:t>Qualcomm</w:t>
            </w:r>
          </w:p>
        </w:tc>
        <w:tc>
          <w:tcPr>
            <w:tcW w:w="1701" w:type="dxa"/>
          </w:tcPr>
          <w:p w14:paraId="2C5D6158" w14:textId="63A2A754" w:rsidR="004571F6" w:rsidRDefault="00800506" w:rsidP="00D367BA">
            <w:pPr>
              <w:rPr>
                <w:rFonts w:eastAsiaTheme="minorEastAsia" w:hint="eastAsia"/>
              </w:rPr>
            </w:pPr>
            <w:r>
              <w:rPr>
                <w:rFonts w:eastAsiaTheme="minorEastAsia"/>
              </w:rPr>
              <w:t>N</w:t>
            </w:r>
          </w:p>
        </w:tc>
        <w:tc>
          <w:tcPr>
            <w:tcW w:w="6657" w:type="dxa"/>
          </w:tcPr>
          <w:p w14:paraId="156C24F1" w14:textId="1B291427" w:rsidR="004571F6" w:rsidRDefault="004571F6" w:rsidP="00714130">
            <w:pPr>
              <w:jc w:val="left"/>
              <w:rPr>
                <w:rFonts w:eastAsiaTheme="minorEastAsia" w:hint="eastAsia"/>
              </w:rPr>
            </w:pPr>
            <w:r>
              <w:rPr>
                <w:rFonts w:eastAsiaTheme="minorEastAsia"/>
              </w:rPr>
              <w:t>I understand RAN1 has agreed that carrier switching SRS for positioning is not supported in Release 16. However,  I understand this agreement is related to switching for a carrier that does not have UL carrier at all; not between UL of different carriers.</w:t>
            </w:r>
            <w:r>
              <w:t xml:space="preserve"> </w:t>
            </w:r>
            <w:r w:rsidR="00714130">
              <w:t>Given that this is already in the specification, it may be better to keep it.</w:t>
            </w:r>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7"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7"/>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TableGrid"/>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lastRenderedPageBreak/>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677B83CE" w:rsidR="00DB2C4A" w:rsidRDefault="00DB2C4A" w:rsidP="00D1358F">
            <w:pPr>
              <w:rPr>
                <w:rFonts w:eastAsiaTheme="minorEastAsia"/>
              </w:rPr>
            </w:pPr>
            <w:r>
              <w:rPr>
                <w:rFonts w:eastAsiaTheme="minorEastAsia" w:hint="eastAsia"/>
              </w:rPr>
              <w:t>v</w:t>
            </w:r>
            <w:r>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r w:rsidR="00A40353" w14:paraId="439A7D97" w14:textId="77777777" w:rsidTr="00D1358F">
        <w:tc>
          <w:tcPr>
            <w:tcW w:w="1271" w:type="dxa"/>
          </w:tcPr>
          <w:p w14:paraId="6E845F95" w14:textId="17D99417" w:rsidR="00A40353" w:rsidRDefault="00A40353" w:rsidP="00D1358F">
            <w:pPr>
              <w:rPr>
                <w:rFonts w:eastAsiaTheme="minorEastAsia" w:hint="eastAsia"/>
              </w:rPr>
            </w:pPr>
            <w:r>
              <w:rPr>
                <w:rFonts w:eastAsiaTheme="minorEastAsia"/>
              </w:rPr>
              <w:t>Qualcomm</w:t>
            </w:r>
          </w:p>
        </w:tc>
        <w:tc>
          <w:tcPr>
            <w:tcW w:w="1701" w:type="dxa"/>
          </w:tcPr>
          <w:p w14:paraId="6753DCA6" w14:textId="2B3453A8" w:rsidR="00A40353" w:rsidRDefault="001141C9" w:rsidP="00D1358F">
            <w:pPr>
              <w:rPr>
                <w:rFonts w:eastAsiaTheme="minorEastAsia" w:hint="eastAsia"/>
              </w:rPr>
            </w:pPr>
            <w:r>
              <w:rPr>
                <w:rFonts w:eastAsiaTheme="minorEastAsia"/>
              </w:rPr>
              <w:t>Y</w:t>
            </w:r>
          </w:p>
        </w:tc>
        <w:tc>
          <w:tcPr>
            <w:tcW w:w="6657" w:type="dxa"/>
          </w:tcPr>
          <w:p w14:paraId="1744C085" w14:textId="3FAA6A88" w:rsidR="00A40353" w:rsidRPr="001B19B2" w:rsidRDefault="001B19B2" w:rsidP="00D1358F">
            <w:pPr>
              <w:rPr>
                <w:rFonts w:eastAsiaTheme="minorEastAsia"/>
                <w:lang w:val="sv-SE"/>
              </w:rPr>
            </w:pPr>
            <w:r>
              <w:rPr>
                <w:rFonts w:eastAsiaTheme="minorEastAsia"/>
                <w:lang w:val="sv-SE"/>
              </w:rPr>
              <w:t>The argumentation sounds sensible. However, the same argumentation seems applicable to the MAC CE for “normal” SRS as well. So I wonder why it not optional for “normal” SRS?</w:t>
            </w:r>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8"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8"/>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TableGrid"/>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r w:rsidR="00393516" w14:paraId="682720D8" w14:textId="77777777" w:rsidTr="00D1358F">
        <w:tc>
          <w:tcPr>
            <w:tcW w:w="1271" w:type="dxa"/>
          </w:tcPr>
          <w:p w14:paraId="745D52B9" w14:textId="61A9E096" w:rsidR="00393516" w:rsidRDefault="00393516" w:rsidP="00D1358F">
            <w:pPr>
              <w:rPr>
                <w:rFonts w:eastAsiaTheme="minorEastAsia" w:hint="eastAsia"/>
              </w:rPr>
            </w:pPr>
            <w:r>
              <w:rPr>
                <w:rFonts w:eastAsiaTheme="minorEastAsia"/>
              </w:rPr>
              <w:t>Qualcomm</w:t>
            </w:r>
          </w:p>
        </w:tc>
        <w:tc>
          <w:tcPr>
            <w:tcW w:w="1701" w:type="dxa"/>
          </w:tcPr>
          <w:p w14:paraId="3B3B75D9" w14:textId="2D7B002D" w:rsidR="00393516" w:rsidRDefault="004D6794" w:rsidP="000E24C2">
            <w:pPr>
              <w:jc w:val="left"/>
              <w:rPr>
                <w:rFonts w:eastAsiaTheme="minorEastAsia" w:hint="eastAsia"/>
              </w:rPr>
            </w:pPr>
            <w:r>
              <w:rPr>
                <w:rFonts w:eastAsiaTheme="minorEastAsia"/>
              </w:rPr>
              <w:t>N</w:t>
            </w:r>
            <w:r w:rsidR="000E24C2">
              <w:rPr>
                <w:rFonts w:eastAsiaTheme="minorEastAsia"/>
              </w:rPr>
              <w:t xml:space="preserve"> (for consistency)</w:t>
            </w:r>
          </w:p>
        </w:tc>
        <w:tc>
          <w:tcPr>
            <w:tcW w:w="6657" w:type="dxa"/>
          </w:tcPr>
          <w:p w14:paraId="7324DC5F" w14:textId="34366EFC" w:rsidR="00393516" w:rsidRDefault="004D6794" w:rsidP="00D1358F">
            <w:pPr>
              <w:rPr>
                <w:rFonts w:eastAsiaTheme="minorEastAsia"/>
              </w:rPr>
            </w:pPr>
            <w:r>
              <w:rPr>
                <w:rFonts w:eastAsiaTheme="minorEastAsia"/>
              </w:rPr>
              <w:t>Also the SSB Index is mandatory for a PCI. Why should the DL PRS Resource ID then changed to optional? If the argumentation is valid, it should apply to all RSs.</w:t>
            </w: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Heading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TableGrid"/>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proofErr w:type="spellStart"/>
            <w:r w:rsidRPr="00090FDB">
              <w:rPr>
                <w:rFonts w:ascii="Times New Roman" w:hAnsi="Times New Roman" w:cs="Times New Roman"/>
                <w:i/>
                <w:color w:val="000000" w:themeColor="text1"/>
              </w:rPr>
              <w:t>phr</w:t>
            </w:r>
            <w:proofErr w:type="spellEnd"/>
            <w:r w:rsidRPr="00090FDB">
              <w:rPr>
                <w:rFonts w:ascii="Times New Roman" w:hAnsi="Times New Roman" w:cs="Times New Roman"/>
                <w:i/>
                <w:color w:val="000000" w:themeColor="text1"/>
              </w:rPr>
              <w:t>-Tx-</w:t>
            </w:r>
            <w:proofErr w:type="spellStart"/>
            <w:r w:rsidRPr="00090FDB">
              <w:rPr>
                <w:rFonts w:ascii="Times New Roman" w:hAnsi="Times New Roman" w:cs="Times New Roman"/>
                <w:i/>
                <w:color w:val="000000" w:themeColor="text1"/>
              </w:rPr>
              <w:t>PowerFactorChange</w:t>
            </w:r>
            <w:proofErr w:type="spellEnd"/>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 xml:space="preserve">Rel-16 Positioning introduced new pathloss-references from non-serving cells. The procedure as defined above implies that pathloss as measured using these new pathloss references could also cause PHR to be </w:t>
      </w:r>
      <w:r>
        <w:lastRenderedPageBreak/>
        <w:t xml:space="preserve">triggered. Further, as per NOTE 1 above, PHR may be triggered even due to change of pathloss as measured between pathloss-references from different cells (a serving cell and a </w:t>
      </w:r>
      <w:proofErr w:type="spellStart"/>
      <w:r>
        <w:t>nonserving</w:t>
      </w:r>
      <w:proofErr w:type="spellEnd"/>
      <w:r>
        <w:t xml:space="preserve"> cell). This leads to unnecessary triggering of PHR, because the pathlosses of serving and </w:t>
      </w:r>
      <w:proofErr w:type="spellStart"/>
      <w:r>
        <w:t>nonserving</w:t>
      </w:r>
      <w:proofErr w:type="spellEnd"/>
      <w:r>
        <w:t xml:space="preserve">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proofErr w:type="spellStart"/>
      <w:r w:rsidRPr="00090FDB">
        <w:rPr>
          <w:b/>
          <w:i/>
          <w:iCs/>
        </w:rPr>
        <w:t>pathlossReferenceRS-Pos</w:t>
      </w:r>
      <w:proofErr w:type="spellEnd"/>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proofErr w:type="spellStart"/>
      <w:r>
        <w:rPr>
          <w:rFonts w:eastAsiaTheme="minorEastAsia"/>
          <w:i/>
          <w:lang w:eastAsia="zh-CN"/>
        </w:rPr>
        <w:t>phr-TxPowerFactorChange</w:t>
      </w:r>
      <w:proofErr w:type="spellEnd"/>
      <w:r>
        <w:rPr>
          <w:rFonts w:eastAsiaTheme="minorEastAsia"/>
          <w:lang w:eastAsia="zh-CN"/>
        </w:rPr>
        <w:t>?</w:t>
      </w:r>
    </w:p>
    <w:tbl>
      <w:tblPr>
        <w:tblStyle w:val="TableGrid"/>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r w:rsidR="004D6794" w14:paraId="3FBB3672" w14:textId="77777777" w:rsidTr="00D1358F">
        <w:tc>
          <w:tcPr>
            <w:tcW w:w="1271" w:type="dxa"/>
          </w:tcPr>
          <w:p w14:paraId="38CC6258" w14:textId="3893AA56" w:rsidR="004D6794" w:rsidRDefault="00F40277" w:rsidP="00D1358F">
            <w:pPr>
              <w:rPr>
                <w:rFonts w:eastAsiaTheme="minorEastAsia" w:hint="eastAsia"/>
              </w:rPr>
            </w:pPr>
            <w:r>
              <w:rPr>
                <w:rFonts w:eastAsiaTheme="minorEastAsia"/>
              </w:rPr>
              <w:t>Qualcomm</w:t>
            </w:r>
          </w:p>
        </w:tc>
        <w:tc>
          <w:tcPr>
            <w:tcW w:w="1701" w:type="dxa"/>
          </w:tcPr>
          <w:p w14:paraId="13E59C3E" w14:textId="55AA0B95" w:rsidR="004D6794" w:rsidRDefault="00F40277" w:rsidP="00D1358F">
            <w:pPr>
              <w:rPr>
                <w:rFonts w:eastAsiaTheme="minorEastAsia" w:hint="eastAsia"/>
              </w:rPr>
            </w:pPr>
            <w:r>
              <w:rPr>
                <w:rFonts w:eastAsiaTheme="minorEastAsia"/>
              </w:rPr>
              <w:t>Y</w:t>
            </w:r>
          </w:p>
        </w:tc>
        <w:tc>
          <w:tcPr>
            <w:tcW w:w="6657" w:type="dxa"/>
          </w:tcPr>
          <w:p w14:paraId="6AA7BAEE" w14:textId="29710591" w:rsidR="004D6794" w:rsidRDefault="00F40277" w:rsidP="00D1358F">
            <w:pPr>
              <w:rPr>
                <w:rFonts w:eastAsiaTheme="minorEastAsia"/>
              </w:rPr>
            </w:pPr>
            <w:r>
              <w:rPr>
                <w:rFonts w:eastAsiaTheme="minorEastAsia"/>
              </w:rPr>
              <w:t>It may create confusion otherwise.</w:t>
            </w:r>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Heading1"/>
        <w:numPr>
          <w:ilvl w:val="0"/>
          <w:numId w:val="10"/>
        </w:numPr>
        <w:tabs>
          <w:tab w:val="clear" w:pos="432"/>
        </w:tabs>
        <w:overflowPunct/>
        <w:autoSpaceDE/>
        <w:autoSpaceDN/>
        <w:adjustRightInd/>
        <w:ind w:left="0" w:firstLine="0"/>
        <w:textAlignment w:val="auto"/>
      </w:pPr>
      <w:bookmarkStart w:id="19" w:name="OLE_LINK45"/>
      <w:bookmarkStart w:id="20" w:name="OLE_LINK46"/>
      <w:bookmarkEnd w:id="5"/>
      <w:bookmarkEnd w:id="6"/>
      <w:bookmarkEnd w:id="7"/>
      <w:bookmarkEnd w:id="8"/>
      <w:bookmarkEnd w:id="9"/>
      <w:bookmarkEnd w:id="10"/>
      <w:bookmarkEnd w:id="11"/>
      <w:bookmarkEnd w:id="12"/>
      <w:bookmarkEnd w:id="13"/>
      <w:bookmarkEnd w:id="14"/>
      <w:bookmarkEnd w:id="15"/>
      <w:bookmarkEnd w:id="16"/>
      <w:r w:rsidRPr="007D3E81">
        <w:t>Conclusion</w:t>
      </w:r>
    </w:p>
    <w:p w14:paraId="22F9BA46" w14:textId="56A740B0" w:rsidR="00D9581B" w:rsidRPr="005E5429" w:rsidRDefault="00D9581B" w:rsidP="00F24FD4">
      <w:pPr>
        <w:rPr>
          <w:rFonts w:eastAsia="SimSun"/>
          <w:bCs/>
          <w:iCs/>
          <w:sz w:val="21"/>
          <w:szCs w:val="21"/>
          <w:lang w:val="en-US"/>
        </w:rPr>
      </w:pPr>
      <w:bookmarkStart w:id="21" w:name="_Toc423020280"/>
      <w:bookmarkStart w:id="22" w:name="OLE_LINK47"/>
      <w:bookmarkStart w:id="23" w:name="OLE_LINK48"/>
      <w:bookmarkEnd w:id="19"/>
      <w:bookmarkEnd w:id="20"/>
      <w:bookmarkEnd w:id="21"/>
      <w:r w:rsidRPr="005E5429">
        <w:rPr>
          <w:rFonts w:eastAsia="SimSun"/>
          <w:bCs/>
          <w:iCs/>
          <w:sz w:val="21"/>
          <w:szCs w:val="21"/>
          <w:lang w:val="en-US"/>
        </w:rPr>
        <w:t xml:space="preserve">In this </w:t>
      </w:r>
      <w:r w:rsidR="00022CCD">
        <w:rPr>
          <w:rFonts w:eastAsia="SimSun" w:hint="eastAsia"/>
          <w:bCs/>
          <w:iCs/>
          <w:sz w:val="21"/>
          <w:szCs w:val="21"/>
          <w:lang w:val="en-US"/>
        </w:rPr>
        <w:t>email</w:t>
      </w:r>
      <w:r w:rsidR="00022CCD">
        <w:rPr>
          <w:rFonts w:eastAsia="SimSun"/>
          <w:bCs/>
          <w:iCs/>
          <w:sz w:val="21"/>
          <w:szCs w:val="21"/>
          <w:lang w:val="en-US"/>
        </w:rPr>
        <w:t xml:space="preserve"> discussion</w:t>
      </w:r>
      <w:r w:rsidRPr="005E5429">
        <w:rPr>
          <w:rFonts w:eastAsia="SimSun"/>
          <w:bCs/>
          <w:iCs/>
          <w:sz w:val="21"/>
          <w:szCs w:val="21"/>
          <w:lang w:val="en-US"/>
        </w:rPr>
        <w:t xml:space="preserve">, we </w:t>
      </w:r>
      <w:r w:rsidR="002F4ECF">
        <w:rPr>
          <w:rFonts w:eastAsia="SimSun"/>
          <w:bCs/>
          <w:iCs/>
          <w:sz w:val="21"/>
          <w:szCs w:val="21"/>
          <w:lang w:val="en-US"/>
        </w:rPr>
        <w:t>progress based on the result of the online discussion during R2#110-e and propose the following:</w:t>
      </w:r>
    </w:p>
    <w:bookmarkEnd w:id="22"/>
    <w:bookmarkEnd w:id="23"/>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Heading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FB3D" w14:textId="77777777" w:rsidR="00E327DC" w:rsidRDefault="00E327DC">
      <w:pPr>
        <w:spacing w:after="0"/>
      </w:pPr>
      <w:r>
        <w:separator/>
      </w:r>
    </w:p>
  </w:endnote>
  <w:endnote w:type="continuationSeparator" w:id="0">
    <w:p w14:paraId="4FBA7B99" w14:textId="77777777" w:rsidR="00E327DC" w:rsidRDefault="00E327DC">
      <w:pPr>
        <w:spacing w:after="0"/>
      </w:pPr>
      <w:r>
        <w:continuationSeparator/>
      </w:r>
    </w:p>
  </w:endnote>
  <w:endnote w:type="continuationNotice" w:id="1">
    <w:p w14:paraId="51392668" w14:textId="77777777" w:rsidR="00E327DC" w:rsidRDefault="00E327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324C" w14:textId="77777777" w:rsidR="00E327DC" w:rsidRDefault="00E327DC">
      <w:pPr>
        <w:spacing w:after="0"/>
      </w:pPr>
      <w:r>
        <w:separator/>
      </w:r>
    </w:p>
  </w:footnote>
  <w:footnote w:type="continuationSeparator" w:id="0">
    <w:p w14:paraId="317ABEF9" w14:textId="77777777" w:rsidR="00E327DC" w:rsidRDefault="00E327DC">
      <w:pPr>
        <w:spacing w:after="0"/>
      </w:pPr>
      <w:r>
        <w:continuationSeparator/>
      </w:r>
    </w:p>
  </w:footnote>
  <w:footnote w:type="continuationNotice" w:id="1">
    <w:p w14:paraId="2735B0AA" w14:textId="77777777" w:rsidR="00E327DC" w:rsidRDefault="00E327D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4C2"/>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1C9"/>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19B2"/>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9DA"/>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3516"/>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1F6"/>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6794"/>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14130"/>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506"/>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0353"/>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7DC"/>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0277"/>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basedOn w:val="Normal"/>
    <w:next w:val="Normal"/>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semiHidden/>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semiHidden/>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ListParagraph">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Normal"/>
    <w:link w:val="ListParagraphChar"/>
    <w:uiPriority w:val="99"/>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semiHidden/>
    <w:unhideWhenUsed/>
    <w:rsid w:val="00E230AA"/>
    <w:rPr>
      <w:sz w:val="16"/>
      <w:szCs w:val="16"/>
    </w:rPr>
  </w:style>
  <w:style w:type="paragraph" w:styleId="CommentText">
    <w:name w:val="annotation text"/>
    <w:basedOn w:val="Normal"/>
    <w:link w:val="CommentTextChar"/>
    <w:semiHidden/>
    <w:unhideWhenUsed/>
    <w:rsid w:val="00E230AA"/>
  </w:style>
  <w:style w:type="character" w:customStyle="1" w:styleId="CommentTextChar">
    <w:name w:val="Comment Text Char"/>
    <w:basedOn w:val="DefaultParagraphFont"/>
    <w:link w:val="CommentText"/>
    <w:semiHidden/>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목록 단락 Char,列出段落1 Char,中等深浅网格 1 - 着色 21 Char,¥¡¡¡¡ì¬º¥¹¥È¶ÎÂä Char,ÁÐ³ö¶ÎÂä Char,¥ê¥¹¥È¶ÎÂä Char,列表段落1 Char,—ño’i—Ž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B1Char">
    <w:name w:val="B1 Char"/>
    <w:link w:val="B1"/>
    <w:locked/>
    <w:rsid w:val="00D94FCD"/>
    <w:rPr>
      <w:lang w:val="en-GB"/>
    </w:rPr>
  </w:style>
  <w:style w:type="paragraph" w:customStyle="1" w:styleId="B1">
    <w:name w:val="B1"/>
    <w:basedOn w:val="Normal"/>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Normal"/>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TableGrid">
    <w:name w:val="Table Grid"/>
    <w:basedOn w:val="TableNormal"/>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Subtitle">
    <w:name w:val="Subtitle"/>
    <w:basedOn w:val="Normal"/>
    <w:next w:val="Normal"/>
    <w:link w:val="SubtitleChar"/>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Emphasis">
    <w:name w:val="Emphasis"/>
    <w:uiPriority w:val="20"/>
    <w:qFormat/>
    <w:rsid w:val="00616BEE"/>
    <w:rPr>
      <w:i/>
      <w:iCs/>
    </w:rPr>
  </w:style>
  <w:style w:type="paragraph" w:styleId="NormalWeb">
    <w:name w:val="Normal (Web)"/>
    <w:basedOn w:val="Normal"/>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Normal"/>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Normal"/>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Normal"/>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
    <w:name w:val="样式2"/>
    <w:basedOn w:val="Heading3"/>
    <w:qFormat/>
    <w:rsid w:val="00F24FD4"/>
    <w:pPr>
      <w:keepNext w:val="0"/>
      <w:keepLines w:val="0"/>
      <w:numPr>
        <w:ilvl w:val="0"/>
        <w:numId w:val="0"/>
      </w:numPr>
      <w:tabs>
        <w:tab w:val="num" w:pos="720"/>
      </w:tabs>
      <w:spacing w:beforeLines="50" w:before="0"/>
      <w:ind w:left="720" w:hanging="720"/>
    </w:pPr>
    <w:rPr>
      <w:rFonts w:ascii="Times New Roman" w:eastAsia="SimSun" w:hAnsi="Times New Roman" w:cs="Times New Roman"/>
      <w:sz w:val="24"/>
      <w:szCs w:val="24"/>
      <w:lang w:eastAsia="x-none"/>
    </w:rPr>
  </w:style>
  <w:style w:type="paragraph" w:customStyle="1" w:styleId="TAH">
    <w:name w:val="TAH"/>
    <w:basedOn w:val="Normal"/>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DefaultParagraphFont"/>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Normal"/>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Normal"/>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Normal"/>
    <w:next w:val="Normal"/>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Hyperlink">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Normal"/>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57142304">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61498035">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2.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3.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6.xml><?xml version="1.0" encoding="utf-8"?>
<ds:datastoreItem xmlns:ds="http://schemas.openxmlformats.org/officeDocument/2006/customXml" ds:itemID="{19E63792-0C08-4878-A1EE-C909C271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Qualcomm</cp:lastModifiedBy>
  <cp:revision>19</cp:revision>
  <dcterms:created xsi:type="dcterms:W3CDTF">2020-06-08T11:13:00Z</dcterms:created>
  <dcterms:modified xsi:type="dcterms:W3CDTF">2020-06-09T08:29:00Z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