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Heading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w:t>
      </w:r>
      <w:proofErr w:type="gramStart"/>
      <w:r>
        <w:t>105][</w:t>
      </w:r>
      <w:proofErr w:type="gramEnd"/>
      <w:r>
        <w:t>PRN]. This document creates an offline discussion about the proposals in these papers.</w:t>
      </w:r>
    </w:p>
    <w:p w:rsidR="00A02CCF" w:rsidRDefault="004264AF">
      <w:pPr>
        <w:pStyle w:val="Doc-title"/>
        <w:rPr>
          <w:sz w:val="16"/>
          <w:szCs w:val="20"/>
        </w:rPr>
      </w:pPr>
      <w:hyperlink r:id="rId12" w:tooltip="C:Data3GPPRAN2DocsR2-2004522.zip" w:history="1">
        <w:r w:rsidR="00123562">
          <w:rPr>
            <w:rStyle w:val="Hyperlink"/>
            <w:sz w:val="16"/>
            <w:szCs w:val="20"/>
          </w:rPr>
          <w:t>R2-2004522</w:t>
        </w:r>
      </w:hyperlink>
      <w:r w:rsidR="00123562">
        <w:rPr>
          <w:sz w:val="16"/>
          <w:szCs w:val="20"/>
        </w:rPr>
        <w:tab/>
        <w:t>Remaining Issues related to 38.304</w:t>
      </w:r>
      <w:r w:rsidR="00123562">
        <w:rPr>
          <w:sz w:val="16"/>
          <w:szCs w:val="20"/>
        </w:rPr>
        <w:tab/>
        <w:t>CATT</w:t>
      </w:r>
      <w:r w:rsidR="00123562">
        <w:rPr>
          <w:sz w:val="16"/>
          <w:szCs w:val="20"/>
        </w:rPr>
        <w:tab/>
        <w:t>discussion</w:t>
      </w:r>
      <w:r w:rsidR="00123562">
        <w:rPr>
          <w:sz w:val="16"/>
          <w:szCs w:val="20"/>
        </w:rPr>
        <w:tab/>
        <w:t>Rel-16</w:t>
      </w:r>
      <w:r w:rsidR="00123562">
        <w:rPr>
          <w:sz w:val="16"/>
          <w:szCs w:val="20"/>
        </w:rPr>
        <w:tab/>
        <w:t>38.304</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4264AF">
      <w:pPr>
        <w:pStyle w:val="Doc-title"/>
        <w:rPr>
          <w:sz w:val="16"/>
          <w:szCs w:val="20"/>
        </w:rPr>
      </w:pPr>
      <w:hyperlink r:id="rId13" w:tooltip="C:Data3GPPRAN2DocsR2-2004603.zip" w:history="1">
        <w:r w:rsidR="00123562">
          <w:rPr>
            <w:rStyle w:val="Hyperlink"/>
            <w:sz w:val="16"/>
            <w:szCs w:val="20"/>
          </w:rPr>
          <w:t>R2-2004603</w:t>
        </w:r>
      </w:hyperlink>
      <w:r w:rsidR="00123562">
        <w:rPr>
          <w:sz w:val="16"/>
          <w:szCs w:val="20"/>
        </w:rPr>
        <w:tab/>
        <w:t>Remaining open issues in the specification of NPN</w:t>
      </w:r>
      <w:r w:rsidR="00123562">
        <w:rPr>
          <w:sz w:val="16"/>
          <w:szCs w:val="20"/>
        </w:rPr>
        <w:tab/>
        <w:t>Lenovo, Motorola Mobility</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4264AF">
      <w:pPr>
        <w:pStyle w:val="Doc-title"/>
        <w:rPr>
          <w:sz w:val="16"/>
          <w:szCs w:val="20"/>
        </w:rPr>
      </w:pPr>
      <w:hyperlink r:id="rId14" w:tooltip="C:Data3GPPRAN2DocsR2-2004728.zip" w:history="1">
        <w:r w:rsidR="00123562">
          <w:rPr>
            <w:rStyle w:val="Hyperlink"/>
            <w:sz w:val="16"/>
            <w:szCs w:val="20"/>
          </w:rPr>
          <w:t>R2-2004728</w:t>
        </w:r>
      </w:hyperlink>
      <w:r w:rsidR="00123562">
        <w:rPr>
          <w:sz w:val="16"/>
          <w:szCs w:val="20"/>
        </w:rPr>
        <w:tab/>
        <w:t>Remaining issues for Manual CAG selection</w:t>
      </w:r>
      <w:r w:rsidR="00123562">
        <w:rPr>
          <w:sz w:val="16"/>
          <w:szCs w:val="20"/>
        </w:rPr>
        <w:tab/>
        <w:t>Intel Corporation</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hyperlink r:id="rId15" w:tooltip="C:Data3GPPRAN2DocsR2-2004481.zip" w:history="1">
        <w:r>
          <w:rPr>
            <w:rStyle w:val="Hyperlink"/>
            <w:sz w:val="16"/>
            <w:szCs w:val="20"/>
            <w:lang w:val="en-US"/>
          </w:rPr>
          <w:t>R2-2004481</w:t>
        </w:r>
      </w:hyperlink>
      <w:r>
        <w:rPr>
          <w:sz w:val="16"/>
          <w:szCs w:val="20"/>
          <w:lang w:val="en-US"/>
        </w:rPr>
        <w:t xml:space="preserve"> and offline [104]. Wording can be discussed in offline [105]</w:t>
      </w:r>
    </w:p>
    <w:p w:rsidR="00A02CCF" w:rsidRDefault="004264AF">
      <w:pPr>
        <w:pStyle w:val="Doc-title"/>
        <w:rPr>
          <w:sz w:val="16"/>
          <w:szCs w:val="20"/>
        </w:rPr>
      </w:pPr>
      <w:hyperlink r:id="rId16" w:tooltip="C:Data3GPPRAN2DocsR2-2004744.zip" w:history="1">
        <w:r w:rsidR="00123562">
          <w:rPr>
            <w:rStyle w:val="Hyperlink"/>
            <w:sz w:val="16"/>
            <w:szCs w:val="20"/>
          </w:rPr>
          <w:t>R2-2004744</w:t>
        </w:r>
      </w:hyperlink>
      <w:r w:rsidR="00123562">
        <w:rPr>
          <w:sz w:val="16"/>
          <w:szCs w:val="20"/>
        </w:rPr>
        <w:tab/>
        <w:t>Discussion on manual CAG selection</w:t>
      </w:r>
      <w:r w:rsidR="00123562">
        <w:rPr>
          <w:sz w:val="16"/>
          <w:szCs w:val="20"/>
        </w:rPr>
        <w:tab/>
        <w:t>vivo</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4264AF">
      <w:pPr>
        <w:pStyle w:val="Doc-title"/>
        <w:rPr>
          <w:sz w:val="16"/>
          <w:szCs w:val="20"/>
        </w:rPr>
      </w:pPr>
      <w:hyperlink r:id="rId17" w:tooltip="C:Data3GPPRAN2DocsR2-2005364.zip" w:history="1">
        <w:r w:rsidR="00123562">
          <w:rPr>
            <w:rStyle w:val="Hyperlink"/>
            <w:sz w:val="16"/>
            <w:szCs w:val="20"/>
          </w:rPr>
          <w:t>R2-2005364</w:t>
        </w:r>
      </w:hyperlink>
      <w:r w:rsidR="00123562">
        <w:rPr>
          <w:sz w:val="16"/>
          <w:szCs w:val="20"/>
        </w:rPr>
        <w:tab/>
        <w:t>Clarification of cell reselection for NPN-capable U</w:t>
      </w:r>
      <w:r w:rsidR="00123562">
        <w:rPr>
          <w:sz w:val="16"/>
          <w:szCs w:val="20"/>
        </w:rPr>
        <w:tab/>
        <w:t>China Telecom</w:t>
      </w:r>
      <w:r w:rsidR="00123562">
        <w:rPr>
          <w:sz w:val="16"/>
          <w:szCs w:val="20"/>
        </w:rPr>
        <w:tab/>
        <w:t>discussion</w:t>
      </w:r>
      <w:r w:rsidR="00123562">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4264AF">
      <w:pPr>
        <w:pStyle w:val="Doc-title"/>
        <w:rPr>
          <w:sz w:val="16"/>
          <w:szCs w:val="20"/>
        </w:rPr>
      </w:pPr>
      <w:hyperlink r:id="rId18" w:tooltip="C:Data3GPPRAN2DocsR2-2005680.zip" w:history="1">
        <w:r w:rsidR="00123562">
          <w:rPr>
            <w:rStyle w:val="Hyperlink"/>
            <w:sz w:val="16"/>
            <w:szCs w:val="20"/>
          </w:rPr>
          <w:t>R2-2005680</w:t>
        </w:r>
      </w:hyperlink>
      <w:r w:rsidR="00123562">
        <w:rPr>
          <w:sz w:val="16"/>
          <w:szCs w:val="20"/>
        </w:rPr>
        <w:tab/>
        <w:t>Emergency Calls in CAG Cells for UE supporting NPN-ANR</w:t>
      </w:r>
      <w:r w:rsidR="00123562">
        <w:rPr>
          <w:sz w:val="16"/>
          <w:szCs w:val="20"/>
        </w:rPr>
        <w:tab/>
        <w:t>QUALCOMM Europe Inc. - Italy</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A02CCF" w:rsidRDefault="00A02CCF">
      <w:pPr>
        <w:rPr>
          <w:u w:val="single"/>
        </w:rPr>
      </w:pPr>
    </w:p>
    <w:p w:rsidR="00A02CCF" w:rsidRDefault="00123562">
      <w:pPr>
        <w:pStyle w:val="Heading1"/>
      </w:pPr>
      <w:r>
        <w:t>2</w:t>
      </w:r>
      <w:r>
        <w:tab/>
        <w:t>Open Issues and New Issues</w:t>
      </w:r>
    </w:p>
    <w:p w:rsidR="00A02CCF" w:rsidRDefault="00123562">
      <w:pPr>
        <w:pStyle w:val="Heading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t>The specification should pick one of these two behaviours:</w:t>
      </w:r>
    </w:p>
    <w:p w:rsidR="00A02CCF" w:rsidRDefault="00123562">
      <w:pPr>
        <w:pStyle w:val="ListParagraph"/>
        <w:numPr>
          <w:ilvl w:val="0"/>
          <w:numId w:val="3"/>
        </w:numPr>
      </w:pPr>
      <w:r>
        <w:t>A (per 38.304v16.0.0): UE considers frequency as barred for max of 300s</w:t>
      </w:r>
    </w:p>
    <w:p w:rsidR="00A02CCF" w:rsidRDefault="00123562">
      <w:pPr>
        <w:pStyle w:val="ListParagraph"/>
        <w:numPr>
          <w:ilvl w:val="0"/>
          <w:numId w:val="3"/>
        </w:numPr>
      </w:pPr>
      <w:r>
        <w:lastRenderedPageBreak/>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ListParagraph"/>
        <w:numPr>
          <w:ilvl w:val="0"/>
          <w:numId w:val="3"/>
        </w:numPr>
      </w:pPr>
      <w:r>
        <w:t xml:space="preserve">It is desirable to have uniform UE behaviour in all cases in shared spectrum where the UE was not eligible to access the highest ranked cell. </w:t>
      </w:r>
    </w:p>
    <w:p w:rsidR="00A02CCF" w:rsidRDefault="00123562">
      <w:pPr>
        <w:pStyle w:val="ListParagraph"/>
        <w:numPr>
          <w:ilvl w:val="0"/>
          <w:numId w:val="3"/>
        </w:numPr>
      </w:pPr>
      <w:r>
        <w:t>There does not seem any compelling reason to make an exception for forbidden TA case</w:t>
      </w:r>
    </w:p>
    <w:p w:rsidR="00A02CCF" w:rsidRDefault="00123562">
      <w:pPr>
        <w:pStyle w:val="ListParagraph"/>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t xml:space="preserve">one or more of the following reasons: </w:t>
              </w:r>
            </w:ins>
          </w:p>
          <w:p w:rsidR="00A02CCF" w:rsidRDefault="00123562">
            <w:pPr>
              <w:pStyle w:val="B1"/>
              <w:numPr>
                <w:ilvl w:val="0"/>
                <w:numId w:val="3"/>
              </w:numPr>
              <w:spacing w:line="240" w:lineRule="auto"/>
              <w:rPr>
                <w:ins w:id="2" w:author="Qualcomm" w:date="2020-05-06T09:50:00Z"/>
              </w:rPr>
              <w:pPrChange w:id="3" w:author="Qualcomm" w:date="2020-05-06T09:56:00Z">
                <w:pPr>
                  <w:pStyle w:val="ListParagraph"/>
                  <w:numPr>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t xml:space="preserve"> or</w:t>
              </w:r>
            </w:ins>
            <w:del w:id="6"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rPr>
                <w:ins w:id="7" w:author="Qualcomm" w:date="2020-05-06T09:51:00Z"/>
              </w:rPr>
              <w:pPrChange w:id="8" w:author="Qualcomm" w:date="2020-05-06T09:56:00Z">
                <w:pPr>
                  <w:pStyle w:val="ListParagraph"/>
                  <w:numPr>
                    <w:numId w:val="4"/>
                  </w:numPr>
                </w:pPr>
              </w:pPrChange>
            </w:pPr>
            <w:r>
              <w:t xml:space="preserve">this cell belongs to a PLMN </w:t>
            </w:r>
            <w:del w:id="9" w:author="Qualcomm" w:date="2020-05-10T14:37:00Z">
              <w:r>
                <w:delText xml:space="preserve">which </w:delText>
              </w:r>
            </w:del>
            <w:ins w:id="10" w:author="Qualcomm" w:date="2020-05-10T14:37:00Z">
              <w:r>
                <w:t xml:space="preserve">that </w:t>
              </w:r>
            </w:ins>
            <w:r>
              <w:t>is not indicated as being equivalent to the registered PLMN,</w:t>
            </w:r>
            <w:ins w:id="11" w:author="Qualcomm" w:date="2020-05-06T09:58:00Z">
              <w:r>
                <w:t xml:space="preserve"> or</w:t>
              </w:r>
            </w:ins>
          </w:p>
          <w:p w:rsidR="00A02CCF" w:rsidRDefault="00123562">
            <w:pPr>
              <w:pStyle w:val="B1"/>
              <w:numPr>
                <w:ilvl w:val="0"/>
                <w:numId w:val="3"/>
              </w:numPr>
              <w:spacing w:line="240" w:lineRule="auto"/>
              <w:rPr>
                <w:ins w:id="12" w:author="Qualcomm" w:date="2020-05-06T09:51:00Z"/>
              </w:rPr>
              <w:pPrChange w:id="13" w:author="Qualcomm" w:date="2020-05-06T09:56:00Z">
                <w:pPr>
                  <w:pStyle w:val="ListParagraph"/>
                  <w:numPr>
                    <w:numId w:val="4"/>
                  </w:numPr>
                </w:pPr>
              </w:pPrChange>
            </w:pPr>
            <w:ins w:id="14" w:author="Qualcomm" w:date="2020-05-06T09:51:00Z">
              <w:r>
                <w:t>this cell is a CAG cell that belongs to a PLMN which is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A02CCF" w:rsidRDefault="00123562">
            <w:pPr>
              <w:pStyle w:val="B1"/>
              <w:numPr>
                <w:ilvl w:val="0"/>
                <w:numId w:val="3"/>
              </w:numPr>
              <w:spacing w:line="240" w:lineRule="auto"/>
              <w:rPr>
                <w:ins w:id="22" w:author="Qualcomm" w:date="2020-05-06T09:51:00Z"/>
              </w:rPr>
              <w:pPrChange w:id="23" w:author="Qualcomm" w:date="2020-05-06T09:56:00Z">
                <w:pPr>
                  <w:pStyle w:val="ListParagraph"/>
                  <w:numPr>
                    <w:numId w:val="4"/>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A02CCF" w:rsidRDefault="00123562">
            <w:pPr>
              <w:pStyle w:val="B1"/>
              <w:numPr>
                <w:ilvl w:val="0"/>
                <w:numId w:val="3"/>
              </w:numPr>
              <w:spacing w:line="240" w:lineRule="auto"/>
              <w:rPr>
                <w:ins w:id="27" w:author="Qualcomm" w:date="2020-05-06T09:51:00Z"/>
              </w:rPr>
              <w:pPrChange w:id="28" w:author="Qualcomm" w:date="2020-05-06T09:56:00Z">
                <w:pPr>
                  <w:pStyle w:val="ListParagraph"/>
                  <w:numPr>
                    <w:numId w:val="4"/>
                  </w:numPr>
                </w:pPr>
              </w:pPrChange>
            </w:pPr>
            <w:ins w:id="29" w:author="Qualcomm" w:date="2020-05-06T09:51:00Z">
              <w:r>
                <w:t>this cell is a SNPN cell that belongs to a SN</w:t>
              </w:r>
            </w:ins>
            <w:ins w:id="30" w:author="Qualcomm" w:date="2020-05-10T14:41:00Z">
              <w:r>
                <w:t>P</w:t>
              </w:r>
            </w:ins>
            <w:ins w:id="31" w:author="Qualcomm" w:date="2020-05-06T09:51:00Z">
              <w:r>
                <w:t>N that is not equal to the registered SNPN of the UE in SNPN access mode</w:t>
              </w:r>
            </w:ins>
            <w:ins w:id="32" w:author="Qualcomm" w:date="2020-05-10T14:41:00Z">
              <w:r>
                <w:t>.</w:t>
              </w:r>
            </w:ins>
            <w:ins w:id="33" w:author="Qualcomm" w:date="2020-05-06T09:51:00Z">
              <w:r>
                <w:t>,</w:t>
              </w:r>
            </w:ins>
          </w:p>
          <w:p w:rsidR="00A02CCF" w:rsidRDefault="00123562">
            <w:del w:id="3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rPr>
                <w:ins w:id="35" w:author="Qualcomm" w:date="2020-05-06T09:51:00Z"/>
              </w:rPr>
              <w:pPrChange w:id="36" w:author="Qualcomm" w:date="2020-05-13T13:00:00Z">
                <w:pPr/>
              </w:pPrChange>
            </w:pPr>
            <w:ins w:id="37" w:author="Qualcomm" w:date="2020-05-13T12:37:00Z">
              <w:r>
                <w:t>Editor’s Note: It 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A02CCF" w:rsidRDefault="00123562">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 xml:space="preserve">due to one or more of the above </w:t>
              </w:r>
              <w:proofErr w:type="spellStart"/>
              <w:r>
                <w:t>reasons</w:t>
              </w:r>
            </w:ins>
            <w:ins w:id="56" w:author="Qualcomm" w:date="2020-05-10T15:09:00Z">
              <w:r>
                <w:t>,</w:t>
              </w:r>
            </w:ins>
            <w:ins w:id="57" w:author="Qualcomm" w:date="2020-05-06T09:52:00Z">
              <w:del w:id="58" w:author="Nokia (GWO)" w:date="2020-05-07T12:20:00Z">
                <w:r>
                  <w:delText>,</w:delText>
                </w:r>
              </w:del>
            </w:ins>
            <w:ins w:id="59" w:author="Nokia (GWO)" w:date="2020-05-07T12:18:00Z">
              <w:del w:id="60" w:author="Qualcomm" w:date="2020-05-10T14:59:00Z">
                <w:r>
                  <w:delText xml:space="preserve">this cell belongs to a PLMN </w:delText>
                </w:r>
              </w:del>
            </w:ins>
            <w:ins w:id="61" w:author="Nokia (GWO)" w:date="2020-05-07T12:20:00Z">
              <w:del w:id="62" w:author="Qualcomm" w:date="2020-05-10T14:59:00Z">
                <w:r>
                  <w:delText>that</w:delText>
                </w:r>
              </w:del>
            </w:ins>
            <w:ins w:id="63" w:author="Nokia (GWO)" w:date="2020-05-07T12:18:00Z">
              <w:del w:id="64" w:author="Qualcomm" w:date="2020-05-10T14:59:00Z">
                <w:r>
                  <w:delText xml:space="preserve"> is not indicated as </w:delText>
                </w:r>
              </w:del>
            </w:ins>
            <w:del w:id="65" w:author="Qualcomm" w:date="2020-05-10T14:59:00Z">
              <w:r>
                <w:delText xml:space="preserve">also does not have a PLMN being equivalent to the registered PLMN, </w:delText>
              </w:r>
            </w:del>
            <w:r>
              <w:t>the</w:t>
            </w:r>
            <w:proofErr w:type="spellEnd"/>
            <w:r>
              <w:t xml:space="preserve"> UE may consider this frequency to be the lowest priority for a maximum of 300 seconds. </w:t>
            </w:r>
          </w:p>
          <w:p w:rsidR="00A02CCF" w:rsidRDefault="00123562">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 xml:space="preserve">In case of </w:t>
            </w:r>
            <w:proofErr w:type="spellStart"/>
            <w:proofErr w:type="gramStart"/>
            <w:r>
              <w:rPr>
                <w:sz w:val="18"/>
                <w:szCs w:val="18"/>
                <w:lang w:eastAsia="zh-CN"/>
              </w:rPr>
              <w:t>NPN,We</w:t>
            </w:r>
            <w:proofErr w:type="spellEnd"/>
            <w:proofErr w:type="gramEnd"/>
            <w:r>
              <w:rPr>
                <w:sz w:val="18"/>
                <w:szCs w:val="18"/>
                <w:lang w:eastAsia="zh-CN"/>
              </w:rPr>
              <w:t xml:space="preserv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w:t>
            </w:r>
            <w:proofErr w:type="gramStart"/>
            <w:r>
              <w:rPr>
                <w:rFonts w:hint="eastAsia"/>
                <w:sz w:val="18"/>
                <w:szCs w:val="18"/>
                <w:lang w:val="en-US" w:eastAsia="zh-CN"/>
              </w:rPr>
              <w:t>prefer to have</w:t>
            </w:r>
            <w:proofErr w:type="gramEnd"/>
            <w:r>
              <w:rPr>
                <w:rFonts w:hint="eastAsia"/>
                <w:sz w:val="18"/>
                <w:szCs w:val="18"/>
                <w:lang w:val="en-US" w:eastAsia="zh-CN"/>
              </w:rPr>
              <w:t xml:space="preserve"> </w:t>
            </w:r>
            <w:r>
              <w:rPr>
                <w:rFonts w:hint="eastAsia"/>
                <w:sz w:val="18"/>
                <w:szCs w:val="18"/>
              </w:rPr>
              <w:t xml:space="preserve">uniform UE behaviour in all cases in shared spectrum where the 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 xml:space="preserve">From RAN2 point of view, there is no NR-U specific issue for the handling of forbidden </w:t>
            </w:r>
            <w:proofErr w:type="spellStart"/>
            <w:r>
              <w:rPr>
                <w:sz w:val="18"/>
                <w:szCs w:val="18"/>
              </w:rPr>
              <w:t>TAs.</w:t>
            </w:r>
            <w:proofErr w:type="spellEnd"/>
            <w:r>
              <w:rPr>
                <w:sz w:val="18"/>
                <w:szCs w:val="18"/>
              </w:rPr>
              <w:t xml:space="preserve">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SimSun" w:hAnsi="Times New Roman" w:hint="eastAsia"/>
                <w:sz w:val="18"/>
                <w:szCs w:val="18"/>
                <w:lang w:val="en-US" w:eastAsia="zh-CN"/>
              </w:rPr>
              <w:t>In RAN2#109e meeting</w:t>
            </w:r>
            <w:r>
              <w:rPr>
                <w:rFonts w:ascii="Times New Roman" w:eastAsia="SimSun" w:hAnsi="Times New Roman" w:hint="eastAsia"/>
                <w:sz w:val="18"/>
                <w:szCs w:val="18"/>
                <w:lang w:val="en-US" w:eastAsia="zh-CN"/>
              </w:rPr>
              <w:t>，</w:t>
            </w:r>
            <w:r>
              <w:rPr>
                <w:rFonts w:ascii="Times New Roman" w:eastAsia="SimSun" w:hAnsi="Times New Roman" w:hint="eastAsia"/>
                <w:sz w:val="18"/>
                <w:szCs w:val="18"/>
                <w:lang w:val="en-US" w:eastAsia="zh-CN"/>
              </w:rPr>
              <w:t xml:space="preserve">NRU WI has discussed the handling of forbidden TAs in detail (which is reported in </w:t>
            </w:r>
            <w:r>
              <w:rPr>
                <w:rFonts w:ascii="Times New Roman" w:eastAsia="SimSun" w:hAnsi="Times New Roman" w:hint="eastAsia"/>
                <w:sz w:val="18"/>
                <w:szCs w:val="18"/>
              </w:rPr>
              <w:t>R2-2002022</w:t>
            </w:r>
            <w:r>
              <w:rPr>
                <w:rFonts w:ascii="Times New Roman" w:eastAsia="SimSun" w:hAnsi="Times New Roman" w:hint="eastAsia"/>
                <w:sz w:val="18"/>
                <w:szCs w:val="18"/>
                <w:lang w:val="en-US" w:eastAsia="zh-CN"/>
              </w:rPr>
              <w:t xml:space="preserve">) and achieved the agreement that </w:t>
            </w:r>
            <w:proofErr w:type="gramStart"/>
            <w:r>
              <w:rPr>
                <w:rFonts w:ascii="Times New Roman" w:eastAsia="SimSun" w:hAnsi="Times New Roman"/>
                <w:sz w:val="18"/>
                <w:szCs w:val="18"/>
                <w:lang w:val="en-US" w:eastAsia="zh-CN"/>
              </w:rPr>
              <w:t>“</w:t>
            </w:r>
            <w:r>
              <w:rPr>
                <w:rFonts w:ascii="Times New Roman" w:eastAsia="SimSun" w:hAnsi="Times New Roman" w:hint="eastAsia"/>
                <w:sz w:val="18"/>
                <w:szCs w:val="18"/>
                <w:lang w:val="en-US" w:eastAsia="zh-CN"/>
              </w:rPr>
              <w:t xml:space="preserve"> </w:t>
            </w:r>
            <w:r>
              <w:rPr>
                <w:rFonts w:ascii="Times New Roman" w:eastAsia="SimSun" w:hAnsi="Times New Roman" w:hint="eastAsia"/>
                <w:i/>
                <w:iCs/>
                <w:sz w:val="18"/>
                <w:szCs w:val="18"/>
                <w:lang w:val="en-US" w:eastAsia="zh-CN"/>
              </w:rPr>
              <w:t>From</w:t>
            </w:r>
            <w:proofErr w:type="gramEnd"/>
            <w:r>
              <w:rPr>
                <w:rFonts w:ascii="Times New Roman" w:eastAsia="SimSun" w:hAnsi="Times New Roman" w:hint="eastAsia"/>
                <w:i/>
                <w:iCs/>
                <w:sz w:val="18"/>
                <w:szCs w:val="18"/>
                <w:lang w:val="en-US" w:eastAsia="zh-CN"/>
              </w:rPr>
              <w:t xml:space="preserve"> RAN2 point of view, there is no NR-U specific issue for the handling of forbidden </w:t>
            </w:r>
            <w:proofErr w:type="spellStart"/>
            <w:r>
              <w:rPr>
                <w:rFonts w:ascii="Times New Roman" w:eastAsia="SimSun" w:hAnsi="Times New Roman" w:hint="eastAsia"/>
                <w:i/>
                <w:iCs/>
                <w:sz w:val="18"/>
                <w:szCs w:val="18"/>
                <w:lang w:val="en-US" w:eastAsia="zh-CN"/>
              </w:rPr>
              <w:t>TAs.</w:t>
            </w:r>
            <w:proofErr w:type="spellEnd"/>
            <w:r>
              <w:rPr>
                <w:rFonts w:ascii="Times New Roman" w:eastAsia="SimSun" w:hAnsi="Times New Roman" w:hint="eastAsia"/>
                <w:i/>
                <w:iCs/>
                <w:sz w:val="18"/>
                <w:szCs w:val="18"/>
                <w:lang w:val="en-US" w:eastAsia="zh-CN"/>
              </w:rPr>
              <w:t xml:space="preserve"> </w:t>
            </w:r>
            <w:r>
              <w:rPr>
                <w:rFonts w:ascii="Times New Roman" w:eastAsia="SimSun" w:hAnsi="Times New Roman" w:hint="eastAsia"/>
                <w:i/>
                <w:iCs/>
                <w:sz w:val="18"/>
                <w:szCs w:val="18"/>
                <w:highlight w:val="yellow"/>
                <w:lang w:val="en-US" w:eastAsia="zh-CN"/>
              </w:rPr>
              <w:t xml:space="preserve">No changes are introduced to the running 38.304 CR for handling of forbidden </w:t>
            </w:r>
            <w:proofErr w:type="spellStart"/>
            <w:r>
              <w:rPr>
                <w:rFonts w:ascii="Times New Roman" w:eastAsia="SimSun" w:hAnsi="Times New Roman" w:hint="eastAsia"/>
                <w:i/>
                <w:iCs/>
                <w:sz w:val="18"/>
                <w:szCs w:val="18"/>
                <w:highlight w:val="yellow"/>
                <w:lang w:val="en-US" w:eastAsia="zh-CN"/>
              </w:rPr>
              <w:t>TAs</w:t>
            </w:r>
            <w:r>
              <w:rPr>
                <w:rFonts w:ascii="Times New Roman" w:eastAsia="SimSun" w:hAnsi="Times New Roman" w:hint="eastAsia"/>
                <w:i/>
                <w:iCs/>
                <w:sz w:val="18"/>
                <w:szCs w:val="18"/>
                <w:lang w:val="en-US" w:eastAsia="zh-CN"/>
              </w:rPr>
              <w:t>.</w:t>
            </w:r>
            <w:proofErr w:type="spellEnd"/>
            <w:r>
              <w:rPr>
                <w:rFonts w:ascii="Times New Roman" w:eastAsia="SimSun"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sz w:val="18"/>
                <w:szCs w:val="18"/>
                <w:lang w:val="en-US" w:eastAsia="zh-CN"/>
              </w:rPr>
            </w:pPr>
            <w:r>
              <w:rPr>
                <w:sz w:val="18"/>
                <w:szCs w:val="18"/>
                <w:lang w:val="en-US" w:eastAsia="zh-CN"/>
              </w:rPr>
              <w:t>Samsung</w:t>
            </w:r>
          </w:p>
        </w:tc>
        <w:tc>
          <w:tcPr>
            <w:tcW w:w="1235" w:type="dxa"/>
          </w:tcPr>
          <w:p w:rsidR="00123562" w:rsidRDefault="00123562">
            <w:pPr>
              <w:rPr>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Follow agreements from NR-U</w:t>
            </w:r>
          </w:p>
        </w:tc>
        <w:tc>
          <w:tcPr>
            <w:tcW w:w="3743" w:type="dxa"/>
          </w:tcPr>
          <w:p w:rsidR="00123562" w:rsidRDefault="00123562">
            <w:pPr>
              <w:rPr>
                <w:sz w:val="18"/>
                <w:szCs w:val="18"/>
              </w:rPr>
            </w:pPr>
          </w:p>
        </w:tc>
      </w:tr>
      <w:tr w:rsidR="006E630E">
        <w:tc>
          <w:tcPr>
            <w:tcW w:w="1311" w:type="dxa"/>
          </w:tcPr>
          <w:p w:rsidR="006E630E" w:rsidRDefault="006E630E">
            <w:pPr>
              <w:rPr>
                <w:sz w:val="18"/>
                <w:szCs w:val="18"/>
                <w:lang w:val="en-US" w:eastAsia="zh-CN"/>
              </w:rPr>
            </w:pPr>
            <w:r>
              <w:rPr>
                <w:sz w:val="18"/>
                <w:szCs w:val="18"/>
                <w:lang w:val="en-US" w:eastAsia="zh-CN"/>
              </w:rPr>
              <w:t>Ericsson</w:t>
            </w:r>
          </w:p>
        </w:tc>
        <w:tc>
          <w:tcPr>
            <w:tcW w:w="1235" w:type="dxa"/>
          </w:tcPr>
          <w:p w:rsidR="006E630E" w:rsidRDefault="006E630E">
            <w:pPr>
              <w:rPr>
                <w:sz w:val="18"/>
                <w:szCs w:val="18"/>
                <w:lang w:val="en-US" w:eastAsia="zh-CN"/>
              </w:rPr>
            </w:pPr>
            <w:r>
              <w:rPr>
                <w:sz w:val="18"/>
                <w:szCs w:val="18"/>
                <w:lang w:val="en-US" w:eastAsia="zh-CN"/>
              </w:rPr>
              <w:t>A</w:t>
            </w:r>
          </w:p>
        </w:tc>
        <w:tc>
          <w:tcPr>
            <w:tcW w:w="3342" w:type="dxa"/>
          </w:tcPr>
          <w:p w:rsidR="006E630E" w:rsidRDefault="006E630E">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Agree with Nokia</w:t>
            </w:r>
          </w:p>
        </w:tc>
        <w:tc>
          <w:tcPr>
            <w:tcW w:w="3743" w:type="dxa"/>
          </w:tcPr>
          <w:p w:rsidR="006E630E" w:rsidRDefault="006E630E">
            <w:pPr>
              <w:rPr>
                <w:sz w:val="18"/>
                <w:szCs w:val="18"/>
              </w:rPr>
            </w:pPr>
          </w:p>
        </w:tc>
      </w:tr>
    </w:tbl>
    <w:p w:rsidR="00A02CCF" w:rsidRDefault="00A02CCF"/>
    <w:p w:rsidR="00A02CCF" w:rsidRDefault="00123562">
      <w:pPr>
        <w:pStyle w:val="Heading2"/>
      </w:pPr>
      <w:r>
        <w:t>2.2</w:t>
      </w:r>
      <w:r>
        <w:tab/>
        <w:t xml:space="preserve">Modelling of Manual selection </w:t>
      </w:r>
    </w:p>
    <w:p w:rsidR="00A02CCF" w:rsidRDefault="00123562">
      <w:pPr>
        <w:pStyle w:val="Heading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9"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t xml:space="preserve">Option 2: AS should not be aware of automatic or manual SNPN/CAG selection mode as legacy PLMN selection. AS is required to report HRNNs to NAS only when NAS request it. Then extra interaction between NAS and AS is needed for </w:t>
      </w:r>
      <w:r>
        <w:rPr>
          <w:rFonts w:eastAsia="MS Mincho"/>
          <w:lang w:eastAsia="zh-CN"/>
        </w:rPr>
        <w:lastRenderedPageBreak/>
        <w:t>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t>Rapporteur comment: This issue is dependent on email discussion R2-</w:t>
      </w:r>
      <w:proofErr w:type="gramStart"/>
      <w:r>
        <w:rPr>
          <w:rFonts w:eastAsia="MS Mincho"/>
          <w:bCs/>
          <w:lang w:eastAsia="zh-CN"/>
        </w:rPr>
        <w:t>2004481, and</w:t>
      </w:r>
      <w:proofErr w:type="gramEnd"/>
      <w:r>
        <w:rPr>
          <w:rFonts w:eastAsia="MS Mincho"/>
          <w:bCs/>
          <w:lang w:eastAsia="zh-CN"/>
        </w:rPr>
        <w:t xml:space="preserve">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ListParagraph"/>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ListParagraph"/>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r w:rsidR="006E630E">
        <w:tc>
          <w:tcPr>
            <w:tcW w:w="1636" w:type="dxa"/>
          </w:tcPr>
          <w:p w:rsidR="006E630E" w:rsidRDefault="006E630E">
            <w:pPr>
              <w:rPr>
                <w:sz w:val="18"/>
                <w:szCs w:val="18"/>
                <w:lang w:eastAsia="zh-CN"/>
              </w:rPr>
            </w:pPr>
            <w:r>
              <w:rPr>
                <w:sz w:val="18"/>
                <w:szCs w:val="18"/>
                <w:lang w:eastAsia="zh-CN"/>
              </w:rPr>
              <w:t>Ericsson</w:t>
            </w:r>
          </w:p>
        </w:tc>
        <w:tc>
          <w:tcPr>
            <w:tcW w:w="2049" w:type="dxa"/>
          </w:tcPr>
          <w:p w:rsidR="006E630E" w:rsidRDefault="006E630E">
            <w:pPr>
              <w:rPr>
                <w:sz w:val="18"/>
                <w:szCs w:val="18"/>
                <w:lang w:eastAsia="zh-CN"/>
              </w:rPr>
            </w:pPr>
            <w:r>
              <w:rPr>
                <w:sz w:val="18"/>
                <w:szCs w:val="18"/>
                <w:lang w:eastAsia="zh-CN"/>
              </w:rPr>
              <w:t>Option 2</w:t>
            </w:r>
          </w:p>
        </w:tc>
        <w:tc>
          <w:tcPr>
            <w:tcW w:w="5940" w:type="dxa"/>
          </w:tcPr>
          <w:p w:rsidR="006E630E" w:rsidRDefault="006E630E">
            <w:pPr>
              <w:rPr>
                <w:sz w:val="18"/>
                <w:szCs w:val="18"/>
                <w:lang w:eastAsia="zh-CN"/>
              </w:rPr>
            </w:pPr>
            <w:r>
              <w:rPr>
                <w:sz w:val="18"/>
                <w:szCs w:val="18"/>
                <w:lang w:eastAsia="zh-CN"/>
              </w:rPr>
              <w:t>We think that, as part of other AS-NAS interaction, it can also be standardized that the UE NAS provide an indication to UE AS that HRNNs are requested (if broadcast)</w:t>
            </w:r>
          </w:p>
        </w:tc>
      </w:tr>
    </w:tbl>
    <w:p w:rsidR="00A02CCF" w:rsidRDefault="00A02CCF">
      <w:pPr>
        <w:rPr>
          <w:rFonts w:eastAsia="MS Mincho"/>
          <w:bCs/>
          <w:lang w:eastAsia="zh-CN"/>
        </w:rPr>
      </w:pPr>
    </w:p>
    <w:p w:rsidR="00A02CCF" w:rsidRDefault="00123562">
      <w:pPr>
        <w:pStyle w:val="Heading4"/>
        <w:rPr>
          <w:lang w:eastAsia="zh-CN"/>
        </w:rPr>
      </w:pPr>
      <w:r>
        <w:rPr>
          <w:lang w:eastAsia="zh-CN"/>
        </w:rPr>
        <w:t>2.2.2 Suitable cell definition</w:t>
      </w:r>
    </w:p>
    <w:p w:rsidR="00A02CCF" w:rsidRDefault="00123562">
      <w:pPr>
        <w:rPr>
          <w:lang w:eastAsia="zh-CN"/>
        </w:rPr>
      </w:pPr>
      <w:r>
        <w:rPr>
          <w:lang w:eastAsia="zh-CN"/>
        </w:rPr>
        <w:t xml:space="preserve">Intel (R2-2004728) argues that the definition of suitable cell, subsequent to manual CAG selection, has a gap, and the text should be amended to </w:t>
      </w:r>
      <w:proofErr w:type="gramStart"/>
      <w:r>
        <w:rPr>
          <w:lang w:eastAsia="zh-CN"/>
        </w:rPr>
        <w:t>say</w:t>
      </w:r>
      <w:proofErr w:type="gramEnd"/>
      <w:r>
        <w:rPr>
          <w:lang w:eastAsia="zh-CN"/>
        </w:rPr>
        <w:t xml:space="preserve"> “Allowed CAG list of the selected CAG ID”.</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lastRenderedPageBreak/>
              <w:t>-</w:t>
            </w:r>
            <w:r>
              <w:tab/>
            </w:r>
            <w:r>
              <w:rPr>
                <w:lang w:eastAsia="ja-JP"/>
              </w:rPr>
              <w:t>T</w:t>
            </w:r>
            <w:r>
              <w:t>he cell selection criteria are fulfilled, see clause 5.2.3.2;</w:t>
            </w:r>
          </w:p>
        </w:tc>
      </w:tr>
    </w:tbl>
    <w:p w:rsidR="00A02CCF" w:rsidRDefault="00123562">
      <w:pPr>
        <w:rPr>
          <w:lang w:eastAsia="zh-CN"/>
        </w:rPr>
      </w:pPr>
      <w:r>
        <w:rPr>
          <w:lang w:eastAsia="zh-CN"/>
        </w:rPr>
        <w:lastRenderedPageBreak/>
        <w:t>Rapporteur comment: Section 5.1.1.2 says:</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 xml:space="preserve">Question 2.2.2: Is there a need to modify the definition of “suitable cell” to include cells belonging to the manually selected </w:t>
      </w:r>
      <w:proofErr w:type="gramStart"/>
      <w:r>
        <w:rPr>
          <w:b/>
          <w:bCs/>
          <w:lang w:eastAsia="zh-CN"/>
        </w:rPr>
        <w:t>CAG, or</w:t>
      </w:r>
      <w:proofErr w:type="gramEnd"/>
      <w:r>
        <w:rPr>
          <w:b/>
          <w:bCs/>
          <w:lang w:eastAsia="zh-CN"/>
        </w:rPr>
        <w:t xml:space="preserve">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proofErr w:type="gramStart"/>
            <w:r>
              <w:rPr>
                <w:lang w:eastAsia="zh-CN"/>
              </w:rPr>
              <w:t>say</w:t>
            </w:r>
            <w:proofErr w:type="gramEnd"/>
            <w:r>
              <w:rPr>
                <w:lang w:eastAsia="zh-CN"/>
              </w:rPr>
              <w:t xml:space="preserve">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 xml:space="preserve">n other </w:t>
            </w:r>
            <w:proofErr w:type="gramStart"/>
            <w:r>
              <w:rPr>
                <w:sz w:val="18"/>
                <w:szCs w:val="18"/>
                <w:lang w:eastAsia="zh-CN"/>
              </w:rPr>
              <w:t>words</w:t>
            </w:r>
            <w:r>
              <w:rPr>
                <w:rFonts w:hint="eastAsia"/>
                <w:sz w:val="18"/>
                <w:szCs w:val="18"/>
                <w:lang w:eastAsia="zh-CN"/>
              </w:rPr>
              <w:t xml:space="preserve">, </w:t>
            </w:r>
            <w:r>
              <w:rPr>
                <w:sz w:val="18"/>
                <w:szCs w:val="18"/>
                <w:lang w:eastAsia="zh-CN"/>
              </w:rPr>
              <w:t xml:space="preserve"> a</w:t>
            </w:r>
            <w:proofErr w:type="gramEnd"/>
            <w:r>
              <w:rPr>
                <w:sz w:val="18"/>
                <w:szCs w:val="18"/>
                <w:lang w:eastAsia="zh-CN"/>
              </w:rPr>
              <w:t xml:space="preserve">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proofErr w:type="gramStart"/>
            <w:r>
              <w:rPr>
                <w:rFonts w:hint="eastAsia"/>
                <w:sz w:val="18"/>
                <w:szCs w:val="18"/>
                <w:lang w:val="en-US" w:eastAsia="zh-CN"/>
              </w:rPr>
              <w:t>So</w:t>
            </w:r>
            <w:proofErr w:type="gramEnd"/>
            <w:r>
              <w:rPr>
                <w:rFonts w:hint="eastAsia"/>
                <w:sz w:val="18"/>
                <w:szCs w:val="18"/>
                <w:lang w:val="en-US" w:eastAsia="zh-CN"/>
              </w:rPr>
              <w:t xml:space="preserve">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 xml:space="preserve">In LTE CSG, a suitable CSG cell </w:t>
            </w:r>
            <w:proofErr w:type="gramStart"/>
            <w:r>
              <w:rPr>
                <w:rFonts w:hint="eastAsia"/>
                <w:sz w:val="18"/>
                <w:szCs w:val="18"/>
                <w:lang w:val="en-US" w:eastAsia="zh-CN"/>
              </w:rPr>
              <w:t>has to</w:t>
            </w:r>
            <w:proofErr w:type="gramEnd"/>
            <w:r>
              <w:rPr>
                <w:rFonts w:hint="eastAsia"/>
                <w:sz w:val="18"/>
                <w:szCs w:val="18"/>
                <w:lang w:val="en-US" w:eastAsia="zh-CN"/>
              </w:rPr>
              <w:t xml:space="preserve">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 xml:space="preserve">for UE. The same principle can be applied in NR </w:t>
            </w:r>
            <w:proofErr w:type="gramStart"/>
            <w:r>
              <w:rPr>
                <w:rFonts w:hint="eastAsia"/>
                <w:sz w:val="18"/>
                <w:szCs w:val="18"/>
                <w:lang w:val="en-US" w:eastAsia="zh-CN"/>
              </w:rPr>
              <w:t>CAG</w:t>
            </w:r>
            <w:proofErr w:type="gramEnd"/>
            <w:r>
              <w:rPr>
                <w:rFonts w:hint="eastAsia"/>
                <w:sz w:val="18"/>
                <w:szCs w:val="18"/>
                <w:lang w:val="en-US" w:eastAsia="zh-CN"/>
              </w:rPr>
              <w:t xml:space="preserve">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w:t>
            </w:r>
            <w:r>
              <w:rPr>
                <w:sz w:val="18"/>
                <w:szCs w:val="18"/>
                <w:lang w:val="en-US" w:eastAsia="zh-CN"/>
              </w:rPr>
              <w:lastRenderedPageBreak/>
              <w:t xml:space="preserve">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lastRenderedPageBreak/>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 xml:space="preserve">Regardless of manual CAG selection or automatic CAG selection, AMF determine whether UE can obtain normal service via a CAG cell or not by judging whether there is </w:t>
            </w:r>
            <w:proofErr w:type="spellStart"/>
            <w:r>
              <w:rPr>
                <w:rFonts w:hint="eastAsia"/>
                <w:lang w:val="en-US" w:eastAsia="zh-CN"/>
              </w:rPr>
              <w:t>a</w:t>
            </w:r>
            <w:proofErr w:type="spellEnd"/>
            <w:r>
              <w:rPr>
                <w:rFonts w:hint="eastAsia"/>
                <w:lang w:val="en-US" w:eastAsia="zh-CN"/>
              </w:rPr>
              <w:t xml:space="preserve"> overlap between the CAG allowed list </w:t>
            </w:r>
            <w:proofErr w:type="gramStart"/>
            <w:r>
              <w:rPr>
                <w:rFonts w:hint="eastAsia"/>
                <w:lang w:val="en-US" w:eastAsia="zh-CN"/>
              </w:rPr>
              <w:t>of  UE</w:t>
            </w:r>
            <w:proofErr w:type="gramEnd"/>
            <w:r>
              <w:rPr>
                <w:rFonts w:hint="eastAsia"/>
                <w:lang w:val="en-US" w:eastAsia="zh-CN"/>
              </w:rPr>
              <w:t xml:space="preserve"> at NW side and the supported CAG ID(s) of this CAG cell.</w:t>
            </w:r>
          </w:p>
          <w:p w:rsidR="00A02CCF" w:rsidRDefault="00123562">
            <w:pPr>
              <w:rPr>
                <w:lang w:val="en-US" w:eastAsia="zh-CN"/>
              </w:rPr>
            </w:pPr>
            <w:r>
              <w:rPr>
                <w:rFonts w:hint="eastAsia"/>
                <w:lang w:val="en-US" w:eastAsia="zh-CN"/>
              </w:rPr>
              <w:t xml:space="preserve">Based on our </w:t>
            </w:r>
            <w:proofErr w:type="gramStart"/>
            <w:r>
              <w:rPr>
                <w:rFonts w:hint="eastAsia"/>
                <w:lang w:val="en-US" w:eastAsia="zh-CN"/>
              </w:rPr>
              <w:t>understanding,  a</w:t>
            </w:r>
            <w:proofErr w:type="gramEnd"/>
            <w:r>
              <w:rPr>
                <w:rFonts w:hint="eastAsia"/>
                <w:lang w:val="en-US" w:eastAsia="zh-CN"/>
              </w:rPr>
              <w:t xml:space="preserve">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rsidP="00123562">
            <w:pPr>
              <w:rPr>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r w:rsidR="006E630E">
        <w:tc>
          <w:tcPr>
            <w:tcW w:w="1636" w:type="dxa"/>
          </w:tcPr>
          <w:p w:rsidR="006E630E" w:rsidRDefault="006E630E">
            <w:pPr>
              <w:rPr>
                <w:sz w:val="18"/>
                <w:szCs w:val="18"/>
                <w:lang w:val="en-US" w:eastAsia="zh-CN"/>
              </w:rPr>
            </w:pPr>
            <w:r>
              <w:rPr>
                <w:sz w:val="18"/>
                <w:szCs w:val="18"/>
                <w:lang w:val="en-US" w:eastAsia="zh-CN"/>
              </w:rPr>
              <w:t>Ericsson</w:t>
            </w:r>
          </w:p>
        </w:tc>
        <w:tc>
          <w:tcPr>
            <w:tcW w:w="2049" w:type="dxa"/>
          </w:tcPr>
          <w:p w:rsidR="006E630E" w:rsidRDefault="006E630E">
            <w:pPr>
              <w:rPr>
                <w:sz w:val="18"/>
                <w:szCs w:val="18"/>
                <w:lang w:val="en-US" w:eastAsia="zh-CN"/>
              </w:rPr>
            </w:pPr>
            <w:r>
              <w:rPr>
                <w:sz w:val="18"/>
                <w:szCs w:val="18"/>
                <w:lang w:val="en-US" w:eastAsia="zh-CN"/>
              </w:rPr>
              <w:t>No</w:t>
            </w:r>
          </w:p>
        </w:tc>
        <w:tc>
          <w:tcPr>
            <w:tcW w:w="5940" w:type="dxa"/>
          </w:tcPr>
          <w:p w:rsidR="006E630E" w:rsidRDefault="008E2C0E" w:rsidP="00123562">
            <w:pPr>
              <w:rPr>
                <w:lang w:val="en-US" w:eastAsia="zh-CN"/>
              </w:rPr>
            </w:pPr>
            <w:r>
              <w:rPr>
                <w:lang w:val="en-US" w:eastAsia="zh-CN"/>
              </w:rPr>
              <w:t>Should not be updated. The manually selected CAG ID may not be suitable at all, even if registration is successful</w:t>
            </w:r>
            <w:r w:rsidR="00F575F0">
              <w:rPr>
                <w:lang w:val="en-US" w:eastAsia="zh-CN"/>
              </w:rPr>
              <w:t xml:space="preserve">. If needed, </w:t>
            </w:r>
            <w:proofErr w:type="spellStart"/>
            <w:r w:rsidR="00F575F0">
              <w:rPr>
                <w:lang w:val="en-US" w:eastAsia="zh-CN"/>
              </w:rPr>
              <w:t>nw</w:t>
            </w:r>
            <w:proofErr w:type="spellEnd"/>
            <w:r w:rsidR="00F575F0">
              <w:rPr>
                <w:lang w:val="en-US" w:eastAsia="zh-CN"/>
              </w:rPr>
              <w:t xml:space="preserve"> will update allowed CAG lists, this is enough.</w:t>
            </w:r>
          </w:p>
        </w:tc>
      </w:tr>
    </w:tbl>
    <w:p w:rsidR="00A02CCF" w:rsidRDefault="00A02CCF">
      <w:pPr>
        <w:rPr>
          <w:lang w:eastAsia="zh-CN"/>
        </w:rPr>
      </w:pPr>
    </w:p>
    <w:p w:rsidR="00A02CCF" w:rsidRDefault="00123562">
      <w:pPr>
        <w:pStyle w:val="Heading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 xml:space="preserve">UE AS can just provide those CAG IDs that </w:t>
            </w:r>
            <w:proofErr w:type="gramStart"/>
            <w:r>
              <w:rPr>
                <w:sz w:val="18"/>
                <w:szCs w:val="18"/>
              </w:rPr>
              <w:t>are allowed to</w:t>
            </w:r>
            <w:proofErr w:type="gramEnd"/>
            <w:r>
              <w:rPr>
                <w:sz w:val="18"/>
                <w:szCs w:val="18"/>
              </w:rPr>
              <w:t xml:space="preserve">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sz w:val="18"/>
                <w:szCs w:val="18"/>
                <w:lang w:val="en-US" w:eastAsia="zh-CN"/>
              </w:rPr>
            </w:pPr>
            <w:r>
              <w:rPr>
                <w:sz w:val="18"/>
                <w:szCs w:val="18"/>
                <w:lang w:val="en-US" w:eastAsia="zh-CN"/>
              </w:rPr>
              <w:lastRenderedPageBreak/>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r w:rsidR="000E4467">
        <w:tc>
          <w:tcPr>
            <w:tcW w:w="1636" w:type="dxa"/>
          </w:tcPr>
          <w:p w:rsidR="000E4467" w:rsidRDefault="000E4467">
            <w:pPr>
              <w:rPr>
                <w:sz w:val="18"/>
                <w:szCs w:val="18"/>
                <w:lang w:val="en-US" w:eastAsia="zh-CN"/>
              </w:rPr>
            </w:pPr>
            <w:r>
              <w:rPr>
                <w:sz w:val="18"/>
                <w:szCs w:val="18"/>
                <w:lang w:val="en-US" w:eastAsia="zh-CN"/>
              </w:rPr>
              <w:t>Ericsson</w:t>
            </w:r>
          </w:p>
        </w:tc>
        <w:tc>
          <w:tcPr>
            <w:tcW w:w="2049" w:type="dxa"/>
          </w:tcPr>
          <w:p w:rsidR="000E4467" w:rsidRDefault="000E4467">
            <w:pPr>
              <w:rPr>
                <w:sz w:val="18"/>
                <w:szCs w:val="18"/>
                <w:lang w:val="en-US" w:eastAsia="zh-CN"/>
              </w:rPr>
            </w:pPr>
            <w:r>
              <w:rPr>
                <w:sz w:val="18"/>
                <w:szCs w:val="18"/>
                <w:lang w:val="en-US" w:eastAsia="zh-CN"/>
              </w:rPr>
              <w:t>Yes</w:t>
            </w:r>
          </w:p>
        </w:tc>
        <w:tc>
          <w:tcPr>
            <w:tcW w:w="5940" w:type="dxa"/>
          </w:tcPr>
          <w:p w:rsidR="000E4467" w:rsidRDefault="000E4467">
            <w:pPr>
              <w:rPr>
                <w:sz w:val="18"/>
                <w:szCs w:val="18"/>
                <w:lang w:val="en-US" w:eastAsia="zh-CN"/>
              </w:rPr>
            </w:pPr>
            <w:r>
              <w:rPr>
                <w:sz w:val="18"/>
                <w:szCs w:val="18"/>
                <w:lang w:val="en-US" w:eastAsia="zh-CN"/>
              </w:rPr>
              <w:t>This indicator impact network selection and should be forwarded to NAS</w:t>
            </w:r>
          </w:p>
        </w:tc>
      </w:tr>
    </w:tbl>
    <w:p w:rsidR="00A02CCF" w:rsidRDefault="00A02CCF">
      <w:pPr>
        <w:rPr>
          <w:lang w:eastAsia="zh-CN"/>
        </w:rPr>
      </w:pPr>
    </w:p>
    <w:p w:rsidR="00A02CCF" w:rsidRDefault="00123562">
      <w:pPr>
        <w:pStyle w:val="Heading2"/>
        <w:rPr>
          <w:lang w:eastAsia="zh-CN"/>
        </w:rPr>
      </w:pPr>
      <w:r>
        <w:rPr>
          <w:lang w:eastAsia="zh-CN"/>
        </w:rPr>
        <w:t>2.3</w:t>
      </w:r>
      <w:r>
        <w:rPr>
          <w:lang w:eastAsia="zh-CN"/>
        </w:rPr>
        <w:tab/>
        <w:t>Definition of NPN-Capable</w:t>
      </w:r>
    </w:p>
    <w:p w:rsidR="00A02CCF" w:rsidRDefault="00123562">
      <w:pPr>
        <w:pStyle w:val="Heading3"/>
        <w:rPr>
          <w:lang w:eastAsia="zh-CN"/>
        </w:rPr>
      </w:pPr>
      <w:r>
        <w:rPr>
          <w:lang w:eastAsia="zh-CN"/>
        </w:rPr>
        <w:t>2.3.1</w:t>
      </w:r>
      <w:r>
        <w:rPr>
          <w:lang w:eastAsia="zh-CN"/>
        </w:rPr>
        <w:tab/>
        <w:t>Clarification of definition</w:t>
      </w:r>
    </w:p>
    <w:p w:rsidR="00A02CCF" w:rsidRDefault="00123562">
      <w:pPr>
        <w:rPr>
          <w:lang w:eastAsia="zh-CN"/>
        </w:rPr>
      </w:pPr>
      <w:r>
        <w:rPr>
          <w:lang w:eastAsia="zh-CN"/>
        </w:rPr>
        <w:t xml:space="preserve">China Telecom (R2-2005364) argues that the following term “NPN-Capable” needs to be defined </w:t>
      </w:r>
      <w:proofErr w:type="gramStart"/>
      <w:r>
        <w:rPr>
          <w:lang w:eastAsia="zh-CN"/>
        </w:rPr>
        <w:t>further, and</w:t>
      </w:r>
      <w:proofErr w:type="gramEnd"/>
      <w:r>
        <w:rPr>
          <w:lang w:eastAsia="zh-CN"/>
        </w:rPr>
        <w:t xml:space="preserve"> is not sufficiently clear.</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r>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proofErr w:type="gramStart"/>
            <w:r>
              <w:t>UE</w:t>
            </w:r>
            <w:r>
              <w:rPr>
                <w:lang w:eastAsia="ja-JP"/>
              </w:rPr>
              <w:t>s</w:t>
            </w:r>
            <w:r>
              <w:t xml:space="preserve">  </w:t>
            </w:r>
            <w:r>
              <w:rPr>
                <w:lang w:eastAsia="ja-JP"/>
              </w:rPr>
              <w:t>shall</w:t>
            </w:r>
            <w:proofErr w:type="gramEnd"/>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ListParagraph"/>
        <w:numPr>
          <w:ilvl w:val="0"/>
          <w:numId w:val="3"/>
        </w:numPr>
        <w:rPr>
          <w:lang w:eastAsia="zh-CN"/>
        </w:rPr>
      </w:pPr>
      <w:r>
        <w:rPr>
          <w:lang w:eastAsia="zh-CN"/>
        </w:rPr>
        <w:t>UE is operating in SNPN access mode</w:t>
      </w:r>
    </w:p>
    <w:p w:rsidR="00A02CCF" w:rsidRDefault="00123562">
      <w:pPr>
        <w:pStyle w:val="ListParagraph"/>
        <w:numPr>
          <w:ilvl w:val="0"/>
          <w:numId w:val="3"/>
        </w:numPr>
        <w:rPr>
          <w:lang w:eastAsia="zh-CN"/>
        </w:rPr>
      </w:pPr>
      <w:r>
        <w:rPr>
          <w:lang w:eastAsia="zh-CN"/>
        </w:rPr>
        <w:t>UE is CAG-capable</w:t>
      </w:r>
    </w:p>
    <w:p w:rsidR="00A02CCF" w:rsidRDefault="00123562">
      <w:pPr>
        <w:rPr>
          <w:b/>
          <w:bCs/>
          <w:lang w:eastAsia="zh-CN"/>
        </w:rPr>
      </w:pPr>
      <w:r>
        <w:rPr>
          <w:b/>
          <w:bCs/>
          <w:lang w:eastAsia="zh-CN"/>
        </w:rPr>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w:t>
            </w:r>
            <w:proofErr w:type="spellStart"/>
            <w:r>
              <w:rPr>
                <w:sz w:val="18"/>
                <w:szCs w:val="18"/>
                <w:lang w:eastAsia="zh-CN"/>
              </w:rPr>
              <w:t>UE,actually</w:t>
            </w:r>
            <w:proofErr w:type="spell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 xml:space="preserve">In our understanding, </w:t>
            </w:r>
            <w:proofErr w:type="gramStart"/>
            <w:r>
              <w:rPr>
                <w:rFonts w:hint="eastAsia"/>
                <w:sz w:val="18"/>
                <w:szCs w:val="18"/>
                <w:lang w:val="en-US" w:eastAsia="zh-CN"/>
              </w:rPr>
              <w:t>a</w:t>
            </w:r>
            <w:proofErr w:type="gramEnd"/>
            <w:r>
              <w:rPr>
                <w:rFonts w:hint="eastAsia"/>
                <w:sz w:val="18"/>
                <w:szCs w:val="18"/>
                <w:lang w:val="en-US" w:eastAsia="zh-CN"/>
              </w:rPr>
              <w:t xml:space="preserve"> NPN capable UE is a UE who support SNPN or PNI-NPN and thus is able to decode the corresponding ASN.1 to broadcast the NPN identity list. </w:t>
            </w:r>
            <w:proofErr w:type="gramStart"/>
            <w:r>
              <w:rPr>
                <w:rFonts w:hint="eastAsia"/>
                <w:sz w:val="18"/>
                <w:szCs w:val="18"/>
                <w:lang w:val="en-US" w:eastAsia="zh-CN"/>
              </w:rPr>
              <w:t>A</w:t>
            </w:r>
            <w:proofErr w:type="gramEnd"/>
            <w:r>
              <w:rPr>
                <w:rFonts w:hint="eastAsia"/>
                <w:sz w:val="18"/>
                <w:szCs w:val="18"/>
                <w:lang w:val="en-US" w:eastAsia="zh-CN"/>
              </w:rPr>
              <w:t xml:space="preserve"> NPN capable UE is able to read the NPN identity list broadcast from a </w:t>
            </w:r>
            <w:proofErr w:type="spellStart"/>
            <w:r>
              <w:rPr>
                <w:rFonts w:hint="eastAsia"/>
                <w:sz w:val="18"/>
                <w:szCs w:val="18"/>
                <w:lang w:val="en-US" w:eastAsia="zh-CN"/>
              </w:rPr>
              <w:t>neighbour</w:t>
            </w:r>
            <w:proofErr w:type="spellEnd"/>
            <w:r>
              <w:rPr>
                <w:rFonts w:hint="eastAsia"/>
                <w:sz w:val="18"/>
                <w:szCs w:val="18"/>
                <w:lang w:val="en-US" w:eastAsia="zh-CN"/>
              </w:rPr>
              <w:t xml:space="preserve"> cell 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lastRenderedPageBreak/>
              <w:t>When the UE is not set to operate in SNPN access mode, the UE performs normal PLMN selection procedures.</w:t>
            </w:r>
          </w:p>
          <w:p w:rsidR="00A02CCF" w:rsidRDefault="00123562">
            <w:pPr>
              <w:rPr>
                <w:sz w:val="18"/>
                <w:szCs w:val="18"/>
                <w:lang w:val="en-US" w:eastAsia="zh-CN"/>
              </w:rPr>
            </w:pPr>
            <w:proofErr w:type="gramStart"/>
            <w:r>
              <w:rPr>
                <w:sz w:val="18"/>
                <w:szCs w:val="18"/>
                <w:lang w:val="en-US" w:eastAsia="zh-CN"/>
              </w:rPr>
              <w:t>So</w:t>
            </w:r>
            <w:proofErr w:type="gramEnd"/>
            <w:r>
              <w:rPr>
                <w:sz w:val="18"/>
                <w:szCs w:val="18"/>
                <w:lang w:val="en-US" w:eastAsia="zh-CN"/>
              </w:rPr>
              <w:t xml:space="preserve"> it is obviously SNPN-capable UEs not in SNPN AM treat a cell with </w:t>
            </w:r>
            <w:proofErr w:type="spellStart"/>
            <w:r>
              <w:rPr>
                <w:sz w:val="18"/>
                <w:szCs w:val="18"/>
                <w:lang w:val="en-US" w:eastAsia="zh-CN"/>
              </w:rPr>
              <w:t>cellReservedForOtherUse</w:t>
            </w:r>
            <w:proofErr w:type="spellEnd"/>
            <w:r>
              <w:rPr>
                <w:sz w:val="18"/>
                <w:szCs w:val="18"/>
                <w:lang w:val="en-US" w:eastAsia="zh-CN"/>
              </w:rPr>
              <w:t xml:space="preserve">=true as barred. </w:t>
            </w:r>
          </w:p>
        </w:tc>
      </w:tr>
      <w:tr w:rsidR="00A02CCF">
        <w:tc>
          <w:tcPr>
            <w:tcW w:w="1319" w:type="dxa"/>
          </w:tcPr>
          <w:p w:rsidR="00A02CCF" w:rsidRDefault="00123562">
            <w:pPr>
              <w:rPr>
                <w:sz w:val="18"/>
                <w:szCs w:val="18"/>
                <w:lang w:val="en-US" w:eastAsia="zh-CN"/>
              </w:rPr>
            </w:pPr>
            <w:r>
              <w:rPr>
                <w:sz w:val="18"/>
                <w:szCs w:val="18"/>
                <w:lang w:val="en-US" w:eastAsia="zh-CN"/>
              </w:rPr>
              <w:lastRenderedPageBreak/>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r>
              <w:rPr>
                <w:sz w:val="18"/>
                <w:szCs w:val="18"/>
                <w:lang w:val="en-US" w:eastAsia="zh-CN"/>
              </w:rPr>
              <w:t>No</w:t>
            </w:r>
          </w:p>
        </w:tc>
        <w:tc>
          <w:tcPr>
            <w:tcW w:w="1802" w:type="dxa"/>
          </w:tcPr>
          <w:p w:rsidR="00631498" w:rsidRDefault="00631498">
            <w:pPr>
              <w:rPr>
                <w:sz w:val="18"/>
                <w:szCs w:val="18"/>
                <w:lang w:val="en-US" w:eastAsia="zh-CN"/>
              </w:rPr>
            </w:pPr>
          </w:p>
        </w:tc>
        <w:tc>
          <w:tcPr>
            <w:tcW w:w="5046" w:type="dxa"/>
          </w:tcPr>
          <w:p w:rsidR="00631498" w:rsidRDefault="00631498">
            <w:pPr>
              <w:rPr>
                <w:sz w:val="18"/>
                <w:szCs w:val="18"/>
                <w:lang w:val="en-US" w:eastAsia="zh-CN"/>
              </w:rPr>
            </w:pPr>
          </w:p>
        </w:tc>
      </w:tr>
      <w:tr w:rsidR="000E4467">
        <w:tc>
          <w:tcPr>
            <w:tcW w:w="1319" w:type="dxa"/>
          </w:tcPr>
          <w:p w:rsidR="000E4467" w:rsidRDefault="000E4467">
            <w:pPr>
              <w:rPr>
                <w:sz w:val="18"/>
                <w:szCs w:val="18"/>
                <w:lang w:val="en-US" w:eastAsia="zh-CN"/>
              </w:rPr>
            </w:pPr>
            <w:r>
              <w:rPr>
                <w:sz w:val="18"/>
                <w:szCs w:val="18"/>
                <w:lang w:val="en-US" w:eastAsia="zh-CN"/>
              </w:rPr>
              <w:t>Ericsson</w:t>
            </w:r>
          </w:p>
        </w:tc>
        <w:tc>
          <w:tcPr>
            <w:tcW w:w="1464" w:type="dxa"/>
          </w:tcPr>
          <w:p w:rsidR="000E4467" w:rsidRDefault="000E4467">
            <w:pPr>
              <w:rPr>
                <w:sz w:val="18"/>
                <w:szCs w:val="18"/>
                <w:lang w:val="en-US" w:eastAsia="zh-CN"/>
              </w:rPr>
            </w:pPr>
            <w:r>
              <w:rPr>
                <w:sz w:val="18"/>
                <w:szCs w:val="18"/>
                <w:lang w:val="en-US" w:eastAsia="zh-CN"/>
              </w:rPr>
              <w:t>No</w:t>
            </w:r>
          </w:p>
        </w:tc>
        <w:tc>
          <w:tcPr>
            <w:tcW w:w="1802" w:type="dxa"/>
          </w:tcPr>
          <w:p w:rsidR="000E4467" w:rsidRDefault="000E4467">
            <w:pPr>
              <w:rPr>
                <w:sz w:val="18"/>
                <w:szCs w:val="18"/>
                <w:lang w:val="en-US" w:eastAsia="zh-CN"/>
              </w:rPr>
            </w:pPr>
            <w:r>
              <w:rPr>
                <w:sz w:val="18"/>
                <w:szCs w:val="18"/>
                <w:lang w:val="en-US" w:eastAsia="zh-CN"/>
              </w:rPr>
              <w:t>No</w:t>
            </w:r>
          </w:p>
        </w:tc>
        <w:tc>
          <w:tcPr>
            <w:tcW w:w="5046" w:type="dxa"/>
          </w:tcPr>
          <w:p w:rsidR="000E4467" w:rsidRDefault="000E4467" w:rsidP="000E4467">
            <w:pPr>
              <w:rPr>
                <w:sz w:val="18"/>
                <w:szCs w:val="18"/>
                <w:lang w:val="en-US" w:eastAsia="zh-CN"/>
              </w:rPr>
            </w:pPr>
            <w:r>
              <w:rPr>
                <w:sz w:val="18"/>
                <w:szCs w:val="18"/>
                <w:lang w:val="en-US" w:eastAsia="zh-CN"/>
              </w:rPr>
              <w:t xml:space="preserve">Capable should refer to what the UE can do, not necessarily what mode it is currently in. An NPN-capable UE need to decode the </w:t>
            </w:r>
            <w:proofErr w:type="spellStart"/>
            <w:r>
              <w:rPr>
                <w:sz w:val="18"/>
                <w:szCs w:val="18"/>
                <w:lang w:val="en-US" w:eastAsia="zh-CN"/>
              </w:rPr>
              <w:t>npn</w:t>
            </w:r>
            <w:proofErr w:type="spellEnd"/>
            <w:r>
              <w:rPr>
                <w:sz w:val="18"/>
                <w:szCs w:val="18"/>
                <w:lang w:val="en-US" w:eastAsia="zh-CN"/>
              </w:rPr>
              <w:t>-identity list and access a PLMN cell associated to CAG ID’s or accessing an SNPN via a cell that broadcast an SNPN ID. Whether this needs to be defined in specifications, no strong view.</w:t>
            </w:r>
          </w:p>
        </w:tc>
      </w:tr>
    </w:tbl>
    <w:p w:rsidR="00A02CCF" w:rsidRDefault="00A02CCF">
      <w:pPr>
        <w:rPr>
          <w:b/>
          <w:bCs/>
          <w:lang w:eastAsia="zh-CN"/>
        </w:rPr>
      </w:pPr>
    </w:p>
    <w:p w:rsidR="00A02CCF" w:rsidRDefault="00123562">
      <w:pPr>
        <w:pStyle w:val="Heading3"/>
        <w:rPr>
          <w:lang w:eastAsia="zh-CN"/>
        </w:rPr>
      </w:pPr>
      <w:r>
        <w:rPr>
          <w:lang w:eastAsia="zh-CN"/>
        </w:rPr>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cell as the </w:t>
            </w:r>
            <w:proofErr w:type="spellStart"/>
            <w:r>
              <w:t>cellReservedForOtherUse</w:t>
            </w:r>
            <w:proofErr w:type="spellEnd"/>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proofErr w:type="gramStart"/>
            <w:r>
              <w:rPr>
                <w:rFonts w:hint="eastAsia"/>
                <w:sz w:val="18"/>
                <w:szCs w:val="18"/>
                <w:lang w:val="en-US" w:eastAsia="zh-CN"/>
              </w:rPr>
              <w:t>A</w:t>
            </w:r>
            <w:proofErr w:type="gramEnd"/>
            <w:r>
              <w:rPr>
                <w:rFonts w:hint="eastAsia"/>
                <w:sz w:val="18"/>
                <w:szCs w:val="18"/>
                <w:lang w:val="en-US" w:eastAsia="zh-CN"/>
              </w:rPr>
              <w:t xml:space="preserve"> NPN non-capable UE will treat a cell as barred if the </w:t>
            </w:r>
            <w:proofErr w:type="spellStart"/>
            <w:r>
              <w:rPr>
                <w:rFonts w:hint="eastAsia"/>
                <w:i/>
                <w:iCs/>
                <w:sz w:val="18"/>
                <w:szCs w:val="18"/>
                <w:lang w:val="en-US" w:eastAsia="zh-CN"/>
              </w:rPr>
              <w:t>cellReservedForOtherUse</w:t>
            </w:r>
            <w:proofErr w:type="spellEnd"/>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 xml:space="preserve">s interpretation on such </w:t>
            </w:r>
            <w:proofErr w:type="spellStart"/>
            <w:r>
              <w:rPr>
                <w:rFonts w:hint="eastAsia"/>
                <w:sz w:val="18"/>
                <w:szCs w:val="18"/>
                <w:lang w:val="en-US" w:eastAsia="zh-CN"/>
              </w:rPr>
              <w:t>a</w:t>
            </w:r>
            <w:proofErr w:type="spellEnd"/>
            <w:r>
              <w:rPr>
                <w:rFonts w:hint="eastAsia"/>
                <w:sz w:val="18"/>
                <w:szCs w:val="18"/>
                <w:lang w:val="en-US" w:eastAsia="zh-CN"/>
              </w:rPr>
              <w:t xml:space="preserve"> indication. And the intention is to have uniform interpretation on such </w:t>
            </w:r>
            <w:proofErr w:type="spellStart"/>
            <w:proofErr w:type="gramStart"/>
            <w:r>
              <w:rPr>
                <w:rFonts w:hint="eastAsia"/>
                <w:sz w:val="18"/>
                <w:szCs w:val="18"/>
                <w:lang w:val="en-US" w:eastAsia="zh-CN"/>
              </w:rPr>
              <w:t>a</w:t>
            </w:r>
            <w:proofErr w:type="spellEnd"/>
            <w:proofErr w:type="gramEnd"/>
            <w:r>
              <w:rPr>
                <w:rFonts w:hint="eastAsia"/>
                <w:sz w:val="18"/>
                <w:szCs w:val="18"/>
                <w:lang w:val="en-US" w:eastAsia="zh-CN"/>
              </w:rPr>
              <w:t xml:space="preserve"> indication for Rel-15 UEs and R16 NPN non-capable UEs.</w:t>
            </w:r>
          </w:p>
          <w:p w:rsidR="00A02CCF" w:rsidRDefault="00123562">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 xml:space="preserve">As RAN2 has agreed that A Non-NPN-capable UE treats a cell with </w:t>
            </w:r>
            <w:proofErr w:type="spellStart"/>
            <w:r>
              <w:rPr>
                <w:rFonts w:hint="eastAsia"/>
                <w:sz w:val="18"/>
                <w:szCs w:val="18"/>
                <w:lang w:val="en-US" w:eastAsia="zh-CN"/>
              </w:rPr>
              <w:t>cellReservedForOtherUse</w:t>
            </w:r>
            <w:proofErr w:type="spellEnd"/>
            <w:r>
              <w:rPr>
                <w:rFonts w:hint="eastAsia"/>
                <w:sz w:val="18"/>
                <w:szCs w:val="18"/>
                <w:lang w:val="en-US" w:eastAsia="zh-CN"/>
              </w:rPr>
              <w:t xml:space="preserve">=true as barred </w:t>
            </w:r>
            <w:proofErr w:type="spellStart"/>
            <w:r>
              <w:rPr>
                <w:rFonts w:hint="eastAsia"/>
                <w:sz w:val="18"/>
                <w:szCs w:val="18"/>
                <w:lang w:val="en-US" w:eastAsia="zh-CN"/>
              </w:rPr>
              <w:t>cel</w:t>
            </w:r>
            <w:proofErr w:type="spellEnd"/>
            <w:r>
              <w:rPr>
                <w:rFonts w:hint="eastAsia"/>
                <w:sz w:val="18"/>
                <w:szCs w:val="18"/>
                <w:lang w:val="en-US" w:eastAsia="zh-CN"/>
              </w:rPr>
              <w:t>, we slightly prefer to stick to this agreement.</w:t>
            </w: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p>
        </w:tc>
        <w:tc>
          <w:tcPr>
            <w:tcW w:w="6842" w:type="dxa"/>
          </w:tcPr>
          <w:p w:rsidR="00631498" w:rsidRDefault="00631498">
            <w:pPr>
              <w:rPr>
                <w:sz w:val="18"/>
                <w:szCs w:val="18"/>
                <w:lang w:val="en-US" w:eastAsia="zh-CN"/>
              </w:rPr>
            </w:pPr>
            <w:r>
              <w:rPr>
                <w:sz w:val="18"/>
                <w:szCs w:val="18"/>
                <w:lang w:val="en-US" w:eastAsia="zh-CN"/>
              </w:rPr>
              <w:t>Same view as ZTE</w:t>
            </w:r>
          </w:p>
        </w:tc>
      </w:tr>
      <w:tr w:rsidR="00015438">
        <w:tc>
          <w:tcPr>
            <w:tcW w:w="1319" w:type="dxa"/>
          </w:tcPr>
          <w:p w:rsidR="00015438" w:rsidRDefault="00015438">
            <w:pPr>
              <w:rPr>
                <w:sz w:val="18"/>
                <w:szCs w:val="18"/>
                <w:lang w:val="en-US" w:eastAsia="zh-CN"/>
              </w:rPr>
            </w:pPr>
            <w:r>
              <w:rPr>
                <w:sz w:val="18"/>
                <w:szCs w:val="18"/>
                <w:lang w:val="en-US" w:eastAsia="zh-CN"/>
              </w:rPr>
              <w:t>Ericsson</w:t>
            </w:r>
          </w:p>
        </w:tc>
        <w:tc>
          <w:tcPr>
            <w:tcW w:w="1464" w:type="dxa"/>
          </w:tcPr>
          <w:p w:rsidR="00015438" w:rsidRDefault="00015438">
            <w:pPr>
              <w:rPr>
                <w:sz w:val="18"/>
                <w:szCs w:val="18"/>
                <w:lang w:val="en-US" w:eastAsia="zh-CN"/>
              </w:rPr>
            </w:pPr>
            <w:r>
              <w:rPr>
                <w:sz w:val="18"/>
                <w:szCs w:val="18"/>
                <w:lang w:val="en-US" w:eastAsia="zh-CN"/>
              </w:rPr>
              <w:t>Yes</w:t>
            </w:r>
          </w:p>
        </w:tc>
        <w:tc>
          <w:tcPr>
            <w:tcW w:w="6842" w:type="dxa"/>
          </w:tcPr>
          <w:p w:rsidR="00015438" w:rsidRDefault="00015438">
            <w:pPr>
              <w:rPr>
                <w:sz w:val="18"/>
                <w:szCs w:val="18"/>
                <w:lang w:val="en-US" w:eastAsia="zh-CN"/>
              </w:rPr>
            </w:pPr>
            <w:r>
              <w:rPr>
                <w:sz w:val="18"/>
                <w:szCs w:val="18"/>
                <w:lang w:val="en-US" w:eastAsia="zh-CN"/>
              </w:rPr>
              <w:t>Agree with ZTE</w:t>
            </w:r>
          </w:p>
        </w:tc>
      </w:tr>
    </w:tbl>
    <w:p w:rsidR="00A02CCF" w:rsidRDefault="00A02CCF">
      <w:pPr>
        <w:rPr>
          <w:lang w:eastAsia="zh-CN"/>
        </w:rPr>
      </w:pPr>
    </w:p>
    <w:p w:rsidR="00A02CCF" w:rsidRDefault="00A02CCF">
      <w:pPr>
        <w:rPr>
          <w:b/>
          <w:bCs/>
          <w:lang w:eastAsia="zh-CN"/>
        </w:rPr>
      </w:pPr>
    </w:p>
    <w:p w:rsidR="00A02CCF" w:rsidRDefault="00123562">
      <w:pPr>
        <w:pStyle w:val="Heading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rPr>
            </w:pPr>
            <w:r>
              <w:rPr>
                <w:sz w:val="18"/>
                <w:szCs w:val="18"/>
              </w:rPr>
              <w:t>No</w:t>
            </w:r>
          </w:p>
        </w:tc>
        <w:tc>
          <w:tcPr>
            <w:tcW w:w="6036" w:type="dxa"/>
          </w:tcPr>
          <w:p w:rsidR="00015438" w:rsidRDefault="00015438">
            <w:pPr>
              <w:rPr>
                <w:sz w:val="18"/>
                <w:szCs w:val="18"/>
                <w:lang w:val="en-US" w:eastAsia="zh-CN"/>
              </w:rPr>
            </w:pPr>
          </w:p>
        </w:tc>
      </w:tr>
    </w:tbl>
    <w:p w:rsidR="00A02CCF" w:rsidRDefault="00123562">
      <w:pPr>
        <w:rPr>
          <w:u w:val="single"/>
        </w:rPr>
      </w:pPr>
      <w:r>
        <w:rPr>
          <w:u w:val="single"/>
        </w:rPr>
        <w:t xml:space="preserve"> </w:t>
      </w:r>
    </w:p>
    <w:p w:rsidR="00A02CCF" w:rsidRDefault="00123562">
      <w:pPr>
        <w:pStyle w:val="Heading1"/>
      </w:pPr>
      <w:r>
        <w:t>3</w:t>
      </w:r>
      <w:r>
        <w:tab/>
        <w:t xml:space="preserve">Nearly Editorial Issues </w:t>
      </w:r>
    </w:p>
    <w:p w:rsidR="00A02CCF" w:rsidRDefault="00123562">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t xml:space="preserve">one or more of the following reasons: </w:t>
              </w:r>
            </w:ins>
          </w:p>
          <w:p w:rsidR="00A02CCF" w:rsidRDefault="00123562">
            <w:pPr>
              <w:pStyle w:val="B1"/>
              <w:numPr>
                <w:ilvl w:val="0"/>
                <w:numId w:val="3"/>
              </w:numPr>
              <w:spacing w:line="240" w:lineRule="auto"/>
              <w:ind w:hanging="363"/>
              <w:rPr>
                <w:ins w:id="81" w:author="Qualcomm" w:date="2020-05-06T09:50:00Z"/>
                <w:rFonts w:ascii="Arial" w:hAnsi="Arial"/>
                <w:szCs w:val="24"/>
              </w:rPr>
              <w:pPrChange w:id="82" w:author="Qualcomm" w:date="2020-05-06T09:56:00Z">
                <w:pPr>
                  <w:pStyle w:val="ListParagraph"/>
                  <w:numPr>
                    <w:numId w:val="4"/>
                  </w:numPr>
                  <w:tabs>
                    <w:tab w:val="left" w:pos="1622"/>
                  </w:tabs>
                  <w:ind w:hanging="363"/>
                </w:pPr>
              </w:pPrChange>
            </w:pPr>
            <w:ins w:id="83" w:author="Qualcomm" w:date="2020-05-06T09:49:00Z">
              <w:r>
                <w:t xml:space="preserve">this cell </w:t>
              </w:r>
            </w:ins>
            <w:r>
              <w:t>being part of the "list of 5GS forbidden TAs for roaming",</w:t>
            </w:r>
            <w:ins w:id="84" w:author="Qualcomm" w:date="2020-05-06T09:57:00Z">
              <w:r>
                <w:t xml:space="preserve"> or</w:t>
              </w:r>
            </w:ins>
            <w:del w:id="85"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ind w:hanging="363"/>
              <w:rPr>
                <w:ins w:id="86" w:author="Qualcomm" w:date="2020-05-06T09:51:00Z"/>
                <w:rFonts w:ascii="Arial" w:hAnsi="Arial"/>
                <w:szCs w:val="24"/>
              </w:rPr>
              <w:pPrChange w:id="87" w:author="Qualcomm" w:date="2020-05-06T09:56:00Z">
                <w:pPr>
                  <w:pStyle w:val="ListParagraph"/>
                  <w:numPr>
                    <w:numId w:val="4"/>
                  </w:numPr>
                  <w:tabs>
                    <w:tab w:val="left" w:pos="1622"/>
                  </w:tabs>
                  <w:ind w:hanging="363"/>
                </w:pPr>
              </w:pPrChange>
            </w:pPr>
            <w:r>
              <w:t xml:space="preserve">this cell belongs to a PLMN </w:t>
            </w:r>
            <w:del w:id="88" w:author="Qualcomm" w:date="2020-05-10T14:37:00Z">
              <w:r>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A02CCF" w:rsidRDefault="00123562">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ins w:id="94" w:author="Qualcomm" w:date="2020-05-06T09:51:00Z">
              <w:r>
                <w:lastRenderedPageBreak/>
                <w:t>this cell is 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A02CCF" w:rsidRDefault="00123562">
            <w:pPr>
              <w:pStyle w:val="B1"/>
              <w:numPr>
                <w:ilvl w:val="0"/>
                <w:numId w:val="3"/>
              </w:numPr>
              <w:spacing w:line="240" w:lineRule="auto"/>
              <w:ind w:hanging="363"/>
              <w:rPr>
                <w:ins w:id="102" w:author="Qualcomm" w:date="2020-05-06T09:51:00Z"/>
                <w:rFonts w:ascii="Arial" w:hAnsi="Arial"/>
                <w:szCs w:val="24"/>
              </w:rPr>
              <w:pPrChange w:id="103" w:author="Qualcomm" w:date="2020-05-06T09:56:00Z">
                <w:pPr>
                  <w:pStyle w:val="ListParagraph"/>
                  <w:numPr>
                    <w:numId w:val="4"/>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A02CCF" w:rsidRDefault="00123562">
            <w:pPr>
              <w:pStyle w:val="B1"/>
              <w:numPr>
                <w:ilvl w:val="0"/>
                <w:numId w:val="3"/>
              </w:numPr>
              <w:spacing w:line="240" w:lineRule="auto"/>
              <w:ind w:hanging="363"/>
              <w:rPr>
                <w:ins w:id="107" w:author="Qualcomm" w:date="2020-05-06T09:51:00Z"/>
                <w:rFonts w:ascii="Arial" w:hAnsi="Arial"/>
                <w:szCs w:val="24"/>
              </w:rPr>
              <w:pPrChange w:id="108" w:author="Qualcomm" w:date="2020-05-06T09:56:00Z">
                <w:pPr>
                  <w:pStyle w:val="ListParagraph"/>
                  <w:numPr>
                    <w:numId w:val="4"/>
                  </w:numPr>
                  <w:tabs>
                    <w:tab w:val="left" w:pos="1622"/>
                  </w:tabs>
                  <w:ind w:hanging="363"/>
                </w:pPr>
              </w:pPrChange>
            </w:pPr>
            <w:ins w:id="109" w:author="Qualcomm" w:date="2020-05-06T09:51:00Z">
              <w:r>
                <w:t>this cell is a SNPN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A02CCF" w:rsidRDefault="00123562">
            <w:del w:id="11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 xml:space="preserve">in the above paragraph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bl>
    <w:p w:rsidR="00A02CCF" w:rsidRDefault="00A02CCF"/>
    <w:p w:rsidR="00A02CCF" w:rsidRDefault="00123562">
      <w:pPr>
        <w:pStyle w:val="Heading2"/>
      </w:pPr>
      <w:r>
        <w:t xml:space="preserve">3.2 Usage of </w:t>
      </w:r>
      <w:proofErr w:type="spellStart"/>
      <w:r>
        <w:t>cellReservedForFutureUse</w:t>
      </w:r>
      <w:proofErr w:type="spellEnd"/>
      <w:r>
        <w:t xml:space="preserve"> IE</w:t>
      </w:r>
    </w:p>
    <w:p w:rsidR="00A02CCF" w:rsidRDefault="00A02CCF"/>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Heading3"/>
            </w:pPr>
            <w:bookmarkStart w:id="125" w:name="_Toc37298574"/>
            <w:bookmarkStart w:id="126" w:name="_Toc29245223"/>
            <w:r>
              <w:lastRenderedPageBreak/>
              <w:t>5.3.1</w:t>
            </w:r>
            <w:r>
              <w:tab/>
              <w:t>Cell status and cell reservations</w:t>
            </w:r>
            <w:bookmarkEnd w:id="125"/>
            <w:bookmarkEnd w:id="126"/>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proofErr w:type="spellStart"/>
            <w:r>
              <w:rPr>
                <w:bCs/>
                <w:i/>
              </w:rPr>
              <w:t>cellBarred</w:t>
            </w:r>
            <w:proofErr w:type="spellEnd"/>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proofErr w:type="spellStart"/>
            <w:r>
              <w:rPr>
                <w:bCs/>
                <w:i/>
              </w:rPr>
              <w:t>cellReservedForOperatorUse</w:t>
            </w:r>
            <w:proofErr w:type="spellEnd"/>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27" w:name="_Hlk506409868"/>
            <w:proofErr w:type="spellStart"/>
            <w:r>
              <w:rPr>
                <w:bCs/>
                <w:i/>
              </w:rPr>
              <w:t>cellReservedForOtherUse</w:t>
            </w:r>
            <w:bookmarkEnd w:id="127"/>
            <w:proofErr w:type="spellEnd"/>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r>
            <w:proofErr w:type="spellStart"/>
            <w:r>
              <w:rPr>
                <w:bCs/>
                <w:i/>
              </w:rPr>
              <w:t>cellReservedForFutureUse</w:t>
            </w:r>
            <w:proofErr w:type="spellEnd"/>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proofErr w:type="spellStart"/>
            <w:r>
              <w:rPr>
                <w:bCs/>
                <w:i/>
              </w:rPr>
              <w:t>cellBarred</w:t>
            </w:r>
            <w:proofErr w:type="spellEnd"/>
            <w:r>
              <w:rPr>
                <w:bCs/>
              </w:rPr>
              <w:t>,</w:t>
            </w:r>
            <w:r>
              <w:rPr>
                <w:bCs/>
                <w:i/>
              </w:rPr>
              <w:t xml:space="preserve"> </w:t>
            </w:r>
            <w:proofErr w:type="spellStart"/>
            <w:r>
              <w:rPr>
                <w:bCs/>
                <w:i/>
              </w:rPr>
              <w:t>cellReservedForOperatorUse</w:t>
            </w:r>
            <w:proofErr w:type="spellEnd"/>
            <w:r>
              <w:rPr>
                <w:bCs/>
              </w:rPr>
              <w:t xml:space="preserve"> and </w:t>
            </w:r>
            <w:proofErr w:type="spellStart"/>
            <w:r>
              <w:rPr>
                <w:bCs/>
                <w:i/>
              </w:rPr>
              <w:t>cellReservedForOtherUse</w:t>
            </w:r>
            <w:proofErr w:type="spellEnd"/>
            <w:r>
              <w:rPr>
                <w:bCs/>
              </w:rPr>
              <w:t xml:space="preserve"> as defined in</w:t>
            </w:r>
            <w:r>
              <w:rPr>
                <w:rFonts w:eastAsia="Dotum"/>
              </w:rPr>
              <w:t xml:space="preserve"> TS 38.331 [3]</w:t>
            </w:r>
            <w:r>
              <w:t>.</w:t>
            </w:r>
          </w:p>
          <w:p w:rsidR="00A02CCF" w:rsidRDefault="00123562">
            <w:pPr>
              <w:pStyle w:val="B1"/>
              <w:rPr>
                <w:lang w:eastAsia="ko-KR"/>
              </w:rPr>
            </w:pPr>
            <w:r>
              <w:t>-</w:t>
            </w:r>
            <w:r>
              <w:tab/>
            </w:r>
            <w:proofErr w:type="spellStart"/>
            <w:r>
              <w:rPr>
                <w:bCs/>
                <w:i/>
              </w:rPr>
              <w:t>iab</w:t>
            </w:r>
            <w:proofErr w:type="spellEnd"/>
            <w:r>
              <w:rPr>
                <w:bCs/>
                <w:i/>
              </w:rPr>
              <w:t>-Support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delText xml:space="preserve">in SNPN AM or </w:delText>
              </w:r>
            </w:del>
            <w:del w:id="130"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A02CCF" w:rsidRDefault="00123562">
            <w:pPr>
              <w:pStyle w:val="EditorsNote"/>
            </w:pPr>
            <w:r>
              <w:rPr>
                <w:color w:val="auto"/>
                <w:highlight w:val="yellow"/>
              </w:rPr>
              <w:t xml:space="preserve">Editor's note: </w:t>
            </w:r>
            <w:ins w:id="137" w:author="Qualcomm" w:date="2020-05-13T12:26:00Z">
              <w:r>
                <w:rPr>
                  <w:color w:val="auto"/>
                  <w:highlight w:val="yellow"/>
                </w:rPr>
                <w:t xml:space="preserve">The terminology </w:t>
              </w:r>
              <w:proofErr w:type="spellStart"/>
              <w:r>
                <w:rPr>
                  <w:i/>
                  <w:iCs/>
                  <w:color w:val="auto"/>
                  <w:highlight w:val="yellow"/>
                  <w:rPrChange w:id="138" w:author="Qualcomm" w:date="2020-05-13T12:27:00Z">
                    <w:rPr>
                      <w:color w:val="auto"/>
                    </w:rPr>
                  </w:rPrChange>
                </w:rPr>
                <w:t>cellReservedForFutureUse</w:t>
              </w:r>
              <w:proofErr w:type="spellEnd"/>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Pr>
                  <w:color w:val="auto"/>
                </w:rPr>
                <w:delText>The applicability of above behaviour for non-NPN capable</w:delText>
              </w:r>
            </w:del>
            <w:del w:id="151"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152" w:author="Qualcomm" w:date="2020-04-24T16:50:00Z"/>
              </w:rPr>
            </w:pPr>
            <w:del w:id="153"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proofErr w:type="spellStart"/>
      <w:r>
        <w:rPr>
          <w:b/>
          <w:bCs/>
          <w:i/>
        </w:rPr>
        <w:t>cellReservedForFutureUse</w:t>
      </w:r>
      <w:proofErr w:type="spellEnd"/>
      <w:r>
        <w:rPr>
          <w:b/>
          <w:bCs/>
          <w:i/>
        </w:rPr>
        <w:t xml:space="preserve"> </w:t>
      </w:r>
      <w:r>
        <w:rPr>
          <w:b/>
          <w:bCs/>
          <w:iCs/>
        </w:rPr>
        <w:t>IE is not indicated as</w:t>
      </w:r>
      <w:r>
        <w:rPr>
          <w:b/>
          <w:bCs/>
          <w:i/>
        </w:rPr>
        <w:t xml:space="preserve"> </w:t>
      </w:r>
      <w:r>
        <w:rPr>
          <w:b/>
          <w:bCs/>
        </w:rPr>
        <w:t>"true</w:t>
      </w:r>
      <w:proofErr w:type="gramStart"/>
      <w:r>
        <w:rPr>
          <w:b/>
          <w:bCs/>
        </w:rPr>
        <w:t>" ”</w:t>
      </w:r>
      <w:proofErr w:type="gramEnd"/>
      <w:r>
        <w:rPr>
          <w:b/>
          <w:bCs/>
        </w:rPr>
        <w:t xml:space="preserve"> to “not "true" for future use” in Section 5.3.1.</w:t>
      </w:r>
    </w:p>
    <w:p w:rsidR="00A02CCF" w:rsidRDefault="00A02CCF"/>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bl>
    <w:p w:rsidR="00A02CCF" w:rsidRDefault="00A02CCF"/>
    <w:p w:rsidR="00A02CCF" w:rsidRDefault="00123562">
      <w:pPr>
        <w:pStyle w:val="Heading2"/>
      </w:pPr>
      <w:r>
        <w:t>3.3</w:t>
      </w:r>
      <w:r>
        <w:tab/>
        <w:t>SNPN selection and shared spectrum</w:t>
      </w:r>
    </w:p>
    <w:p w:rsidR="00A02CCF" w:rsidRDefault="00123562">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proofErr w:type="gramStart"/>
            <w:r>
              <w:rPr>
                <w:rFonts w:eastAsia="MS Mincho"/>
                <w:lang w:val="en-US" w:eastAsia="zh-CN"/>
              </w:rPr>
              <w:t>5.1.1.2  NR</w:t>
            </w:r>
            <w:proofErr w:type="gramEnd"/>
            <w:r>
              <w:rPr>
                <w:rFonts w:eastAsia="MS Mincho"/>
                <w:lang w:val="en-US" w:eastAsia="zh-CN"/>
              </w:rPr>
              <w:t xml:space="preserve">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154" w:name="_Toc37298542"/>
            <w:r>
              <w:t>5.1.2.2</w:t>
            </w:r>
            <w:proofErr w:type="gramStart"/>
            <w:r>
              <w:tab/>
              <w:t xml:space="preserve">  NR</w:t>
            </w:r>
            <w:proofErr w:type="gramEnd"/>
            <w:r>
              <w:t xml:space="preserve"> case</w:t>
            </w:r>
            <w:bookmarkEnd w:id="154"/>
            <w:r>
              <w:t xml:space="preserve"> [SNPN Selection]</w:t>
            </w:r>
          </w:p>
          <w:p w:rsidR="00A02CCF" w:rsidRDefault="00123562">
            <w:r>
              <w:t xml:space="preserve">The UE shall scan all RF channels in the NR bands according to its capabilities to find available SNPNs. On each carrier, the UE shall search for </w:t>
            </w:r>
            <w:r>
              <w:rPr>
                <w:snapToGrid w:val="0"/>
              </w:rPr>
              <w:t xml:space="preserve">the strongest cell and read its system information, in order to find out which SNPN(s) </w:t>
            </w:r>
            <w:r>
              <w:rPr>
                <w:snapToGrid w:val="0"/>
              </w:rPr>
              <w:lastRenderedPageBreak/>
              <w:t>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bl>
    <w:p w:rsidR="00A02CCF" w:rsidRDefault="00A02CCF"/>
    <w:p w:rsidR="00A02CCF" w:rsidRDefault="00123562">
      <w:pPr>
        <w:pStyle w:val="Heading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No change is needed as pointed out by </w:t>
            </w:r>
            <w:proofErr w:type="spellStart"/>
            <w:r>
              <w:rPr>
                <w:sz w:val="18"/>
                <w:szCs w:val="18"/>
              </w:rPr>
              <w:t>rapportuer</w:t>
            </w:r>
            <w:proofErr w:type="spellEnd"/>
            <w:r>
              <w:rPr>
                <w:sz w:val="18"/>
                <w:szCs w:val="18"/>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r w:rsidR="00015438">
        <w:tc>
          <w:tcPr>
            <w:tcW w:w="1636" w:type="dxa"/>
          </w:tcPr>
          <w:p w:rsidR="00015438" w:rsidRDefault="00015438">
            <w:pPr>
              <w:rPr>
                <w:sz w:val="18"/>
                <w:szCs w:val="18"/>
                <w:lang w:val="en-US" w:eastAsia="zh-CN"/>
              </w:rPr>
            </w:pPr>
            <w:r>
              <w:rPr>
                <w:sz w:val="18"/>
                <w:szCs w:val="18"/>
                <w:lang w:val="en-US" w:eastAsia="zh-CN"/>
              </w:rPr>
              <w:t>Ericsson</w:t>
            </w:r>
          </w:p>
        </w:tc>
        <w:tc>
          <w:tcPr>
            <w:tcW w:w="1072" w:type="dxa"/>
          </w:tcPr>
          <w:p w:rsidR="00015438" w:rsidRDefault="00015438">
            <w:pPr>
              <w:rPr>
                <w:sz w:val="18"/>
                <w:szCs w:val="18"/>
              </w:rPr>
            </w:pPr>
            <w:r>
              <w:rPr>
                <w:sz w:val="18"/>
                <w:szCs w:val="18"/>
              </w:rPr>
              <w:t>Yes</w:t>
            </w:r>
          </w:p>
        </w:tc>
        <w:tc>
          <w:tcPr>
            <w:tcW w:w="1427" w:type="dxa"/>
          </w:tcPr>
          <w:p w:rsidR="00015438" w:rsidRDefault="00015438">
            <w:pPr>
              <w:rPr>
                <w:sz w:val="18"/>
                <w:szCs w:val="18"/>
              </w:rPr>
            </w:pPr>
          </w:p>
        </w:tc>
        <w:tc>
          <w:tcPr>
            <w:tcW w:w="5496" w:type="dxa"/>
          </w:tcPr>
          <w:p w:rsidR="00015438" w:rsidRDefault="00015438">
            <w:pPr>
              <w:rPr>
                <w:sz w:val="18"/>
                <w:szCs w:val="18"/>
              </w:rPr>
            </w:pPr>
            <w:r>
              <w:rPr>
                <w:sz w:val="18"/>
                <w:szCs w:val="18"/>
              </w:rPr>
              <w:t>No strong view, can probably be left as is too.</w:t>
            </w:r>
          </w:p>
        </w:tc>
      </w:tr>
    </w:tbl>
    <w:p w:rsidR="00A02CCF" w:rsidRDefault="00A02CCF"/>
    <w:p w:rsidR="00A02CCF" w:rsidRDefault="00123562">
      <w:pPr>
        <w:pStyle w:val="Heading2"/>
      </w:pPr>
      <w:proofErr w:type="gramStart"/>
      <w:r>
        <w:t>3.5  Case</w:t>
      </w:r>
      <w:proofErr w:type="gramEnd"/>
      <w:r>
        <w:t xml:space="preserv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w:t>
      </w:r>
      <w:proofErr w:type="gramStart"/>
      <w:r>
        <w:t>said</w:t>
      </w:r>
      <w:proofErr w:type="gramEnd"/>
      <w:r>
        <w:t xml:space="preserve">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t xml:space="preserve">Question 3.5: Is there a need to make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 xml:space="preserve">The PLMN-ID of that PLMN is broadcast by the cell with no associated CAG-IDs and CAG-only indication in the UE </w:t>
            </w:r>
            <w:r>
              <w:lastRenderedPageBreak/>
              <w:t>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155"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E908B0" w:rsidRDefault="00631498">
            <w:pPr>
              <w:rPr>
                <w:lang w:val="en-US" w:eastAsia="zh-CN"/>
              </w:rPr>
            </w:pPr>
            <w:r>
              <w:rPr>
                <w:lang w:val="en-US" w:eastAsia="zh-CN"/>
              </w:rPr>
              <w:t>Current text is clear</w:t>
            </w:r>
          </w:p>
        </w:tc>
      </w:tr>
      <w:tr w:rsidR="00E908B0">
        <w:tc>
          <w:tcPr>
            <w:tcW w:w="1636" w:type="dxa"/>
          </w:tcPr>
          <w:p w:rsidR="00E908B0" w:rsidRDefault="00E908B0">
            <w:pPr>
              <w:rPr>
                <w:sz w:val="18"/>
                <w:szCs w:val="18"/>
                <w:lang w:val="en-US" w:eastAsia="zh-CN"/>
              </w:rPr>
            </w:pPr>
            <w:r>
              <w:rPr>
                <w:sz w:val="18"/>
                <w:szCs w:val="18"/>
                <w:lang w:val="en-US" w:eastAsia="zh-CN"/>
              </w:rPr>
              <w:t>Ericsson</w:t>
            </w:r>
          </w:p>
        </w:tc>
        <w:tc>
          <w:tcPr>
            <w:tcW w:w="1072" w:type="dxa"/>
          </w:tcPr>
          <w:p w:rsidR="00E908B0" w:rsidRDefault="00E908B0">
            <w:pPr>
              <w:rPr>
                <w:sz w:val="18"/>
                <w:szCs w:val="18"/>
                <w:lang w:val="en-US" w:eastAsia="zh-CN"/>
              </w:rPr>
            </w:pPr>
            <w:r>
              <w:rPr>
                <w:sz w:val="18"/>
                <w:szCs w:val="18"/>
                <w:lang w:val="en-US" w:eastAsia="zh-CN"/>
              </w:rPr>
              <w:t>No</w:t>
            </w:r>
          </w:p>
        </w:tc>
        <w:tc>
          <w:tcPr>
            <w:tcW w:w="2147" w:type="dxa"/>
          </w:tcPr>
          <w:p w:rsidR="00E908B0" w:rsidRDefault="00E908B0">
            <w:pPr>
              <w:rPr>
                <w:sz w:val="18"/>
                <w:szCs w:val="18"/>
                <w:lang w:val="en-US" w:eastAsia="zh-CN"/>
              </w:rPr>
            </w:pPr>
            <w:r>
              <w:rPr>
                <w:sz w:val="18"/>
                <w:szCs w:val="18"/>
                <w:lang w:val="en-US" w:eastAsia="zh-CN"/>
              </w:rPr>
              <w:t>Yes</w:t>
            </w:r>
          </w:p>
        </w:tc>
        <w:tc>
          <w:tcPr>
            <w:tcW w:w="4776" w:type="dxa"/>
          </w:tcPr>
          <w:p w:rsidR="00E908B0" w:rsidRDefault="00E908B0">
            <w:pPr>
              <w:rPr>
                <w:lang w:val="en-US" w:eastAsia="zh-CN"/>
              </w:rPr>
            </w:pPr>
            <w:r>
              <w:rPr>
                <w:lang w:val="en-US" w:eastAsia="zh-CN"/>
              </w:rPr>
              <w:t>We think current text is clear, but ok with update</w:t>
            </w:r>
          </w:p>
        </w:tc>
      </w:tr>
    </w:tbl>
    <w:p w:rsidR="00A02CCF" w:rsidRDefault="00A02CCF">
      <w:pPr>
        <w:rPr>
          <w:b/>
          <w:bCs/>
        </w:rPr>
      </w:pPr>
    </w:p>
    <w:p w:rsidR="00A02CCF" w:rsidRDefault="00A02CCF">
      <w:pPr>
        <w:rPr>
          <w:lang w:eastAsia="zh-CN"/>
        </w:rPr>
      </w:pPr>
    </w:p>
    <w:p w:rsidR="00A02CCF" w:rsidRDefault="00123562">
      <w:pPr>
        <w:pStyle w:val="Heading1"/>
        <w:rPr>
          <w:lang w:eastAsia="zh-CN"/>
        </w:rPr>
      </w:pPr>
      <w:r>
        <w:rPr>
          <w:lang w:eastAsia="zh-CN"/>
        </w:rPr>
        <w:t>4.</w:t>
      </w:r>
      <w:r>
        <w:rPr>
          <w:lang w:eastAsia="zh-CN"/>
        </w:rPr>
        <w:tab/>
        <w:t>Issues needing no further discussion</w:t>
      </w:r>
    </w:p>
    <w:p w:rsidR="00A02CCF" w:rsidRDefault="00123562">
      <w:pPr>
        <w:pStyle w:val="Heading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3:</w:t>
      </w:r>
      <w:r>
        <w:rPr>
          <w:b/>
          <w:bCs/>
        </w:rPr>
        <w:t xml:space="preserve"> </w:t>
      </w:r>
      <w:r>
        <w:t xml:space="preserve">Confirm that no restrictions apply for the CAG UE with regards to detected cell measurements and reporting. That means, in accordance with its capabilities the CAG UE may include detected NR public cells in measurement reporting in a CAG </w:t>
      </w:r>
      <w:proofErr w:type="gramStart"/>
      <w:r>
        <w:t>cell, and</w:t>
      </w:r>
      <w:proofErr w:type="gramEnd"/>
      <w:r>
        <w:t xml:space="preserve">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A02CCF" w:rsidRDefault="00A02CCF">
      <w:pPr>
        <w:rPr>
          <w:lang w:eastAsia="zh-CN"/>
        </w:rPr>
      </w:pPr>
      <w:bookmarkStart w:id="156" w:name="_GoBack"/>
      <w:bookmarkEnd w:id="156"/>
    </w:p>
    <w:sectPr w:rsidR="00A02CCF">
      <w:footerReference w:type="default" r:id="rId20"/>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AF" w:rsidRDefault="004264AF">
      <w:pPr>
        <w:spacing w:after="0" w:line="240" w:lineRule="auto"/>
      </w:pPr>
      <w:r>
        <w:separator/>
      </w:r>
    </w:p>
  </w:endnote>
  <w:endnote w:type="continuationSeparator" w:id="0">
    <w:p w:rsidR="004264AF" w:rsidRDefault="0042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0E" w:rsidRDefault="006E630E">
    <w:pPr>
      <w:pStyle w:val="Footer"/>
    </w:pPr>
    <w:r>
      <w:rPr>
        <w:noProof/>
        <w:lang w:val="en-IN" w:eastAsia="en-I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6E630E" w:rsidRDefault="006E630E">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AF" w:rsidRDefault="004264AF">
      <w:pPr>
        <w:spacing w:after="0" w:line="240" w:lineRule="auto"/>
      </w:pPr>
      <w:r>
        <w:separator/>
      </w:r>
    </w:p>
  </w:footnote>
  <w:footnote w:type="continuationSeparator" w:id="0">
    <w:p w:rsidR="004264AF" w:rsidRDefault="00426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632C"/>
    <w:rsid w:val="00085AFC"/>
    <w:rsid w:val="000E4467"/>
    <w:rsid w:val="00123562"/>
    <w:rsid w:val="001276CA"/>
    <w:rsid w:val="0015705D"/>
    <w:rsid w:val="002915DA"/>
    <w:rsid w:val="00337977"/>
    <w:rsid w:val="00342170"/>
    <w:rsid w:val="00422DAD"/>
    <w:rsid w:val="004264AF"/>
    <w:rsid w:val="004C3880"/>
    <w:rsid w:val="004D5C36"/>
    <w:rsid w:val="004F578B"/>
    <w:rsid w:val="00547F52"/>
    <w:rsid w:val="00582D22"/>
    <w:rsid w:val="005B3931"/>
    <w:rsid w:val="00631498"/>
    <w:rsid w:val="0063635F"/>
    <w:rsid w:val="006E630E"/>
    <w:rsid w:val="007D3E41"/>
    <w:rsid w:val="007E3EC0"/>
    <w:rsid w:val="008536B6"/>
    <w:rsid w:val="00886822"/>
    <w:rsid w:val="008E2C0E"/>
    <w:rsid w:val="008F5A1E"/>
    <w:rsid w:val="00926C88"/>
    <w:rsid w:val="00967CD0"/>
    <w:rsid w:val="009806F4"/>
    <w:rsid w:val="00A02CCF"/>
    <w:rsid w:val="00B92AC2"/>
    <w:rsid w:val="00BD40A8"/>
    <w:rsid w:val="00C40642"/>
    <w:rsid w:val="00CA2F7F"/>
    <w:rsid w:val="00D106EC"/>
    <w:rsid w:val="00D478BB"/>
    <w:rsid w:val="00D70FB2"/>
    <w:rsid w:val="00D97424"/>
    <w:rsid w:val="00DB1540"/>
    <w:rsid w:val="00DD2A9D"/>
    <w:rsid w:val="00E677BC"/>
    <w:rsid w:val="00E908B0"/>
    <w:rsid w:val="00EB02AF"/>
    <w:rsid w:val="00F3540D"/>
    <w:rsid w:val="00F575F0"/>
    <w:rsid w:val="00F83679"/>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AE53969-1A97-4E31-A831-410FCCD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Author</cp:lastModifiedBy>
  <cp:revision>3</cp:revision>
  <dcterms:created xsi:type="dcterms:W3CDTF">2020-06-02T19:51:00Z</dcterms:created>
  <dcterms:modified xsi:type="dcterms:W3CDTF">2020-06-02T19:52:00Z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