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4A65AE7F"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w:t>
            </w:r>
            <w:r>
              <w:rPr>
                <w:color w:val="000000"/>
                <w:shd w:val="clear" w:color="auto" w:fill="FFFFFF"/>
              </w:rPr>
              <w:lastRenderedPageBreak/>
              <w:t>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lastRenderedPageBreak/>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w:t>
            </w:r>
            <w:r>
              <w:rPr>
                <w:lang w:val="en-US"/>
              </w:rPr>
              <w:lastRenderedPageBreak/>
              <w:t>referenceTimeInd-r16 and those are two 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For example, simple industry processing machine without complex communication components or a receiving only machine with high precision clock that can receive accurate 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RoHC operation. </w:t>
      </w:r>
    </w:p>
    <w:p w14:paraId="03883FA9"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sidRPr="00DA2BFC">
        <w:rPr>
          <w:lang w:val="en-US"/>
        </w:rPr>
        <w:t>4</w:t>
      </w:r>
      <w:r w:rsidRPr="00DA2BFC">
        <w:rPr>
          <w:lang w:val="en-US"/>
        </w:rPr>
        <w:tab/>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lastRenderedPageBreak/>
              <w:t>Further, such UEs are expected to be optimized in user-plane to achieve demanding IIoT latency requirements and supporting RoHC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r w:rsidRPr="00AF3048">
              <w:rPr>
                <w:i/>
                <w:lang w:val="en-US"/>
              </w:rPr>
              <w:t>maxNumberROHC-ContextSessions</w:t>
            </w:r>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Usually RoHC processing will introduce considerable latency. Indeed RoHC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whether or not the UE can handle simultaneous RoHC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r w:rsidR="00BF33F0" w:rsidRPr="00BF33F0">
              <w:rPr>
                <w:lang w:eastAsia="ko-KR"/>
              </w:rPr>
              <w:t>maxNumberEHC-Contexts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there is no reason for a UE supporting EHC for industrial IoT case to support RoHC</w:t>
            </w:r>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whether the UE supports simultaneous EHC and ROHC operations on a DRB or whether UE supports different compression schemes (either RoHC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number of supported contexts for RoHC or EHC would achieve the desired effect? For example, UE reports reduced max number of supported contexts for EHC, then even if only EHC is configured, at most this reduced maximum context can be allocated, cannot be more. We guess this is undesired?</w:t>
            </w:r>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RoHC and EHC, we assume the previous </w:t>
            </w:r>
            <w:r w:rsidRPr="000D653E">
              <w:rPr>
                <w:i/>
                <w:sz w:val="18"/>
                <w:szCs w:val="18"/>
                <w:lang w:val="en-US"/>
              </w:rPr>
              <w:t xml:space="preserve">maxNumberROHC-ContextSessions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RoHC, and such new UE capability, e.g,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gNB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gNB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compression contexts for both RoHC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w:t>
            </w:r>
            <w:r>
              <w:rPr>
                <w:lang w:val="en-US"/>
              </w:rPr>
              <w:lastRenderedPageBreak/>
              <w:t xml:space="preserve">only one compression type is 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despite it is unclear whether there is a case where this operation is used or not in a DRB, why does the joint operation need to be mandated when both EHC and RoHC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As we have already agreed that EHC and RoHC are independent. I think it is applied to Capability aspect i.e. a UE has to have their memory size that it keeps both max number of the EHC contexts and the RoHC contexts. Their memory should not be shared between EHC and RoHC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RoHC operation. “</w:t>
      </w:r>
    </w:p>
    <w:bookmarkEnd w:id="14"/>
    <w:p w14:paraId="183AF633" w14:textId="4753B4F2" w:rsidR="00AF3048" w:rsidRPr="00AF3048" w:rsidRDefault="00AF3048" w:rsidP="00AF3048">
      <w:pPr>
        <w:pStyle w:val="ListParagraph"/>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ListParagraph"/>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Proposal 3: Discuss whether to introduce signaling of maximum number of EHC and RoHC contexts supported by the UE when EHC and RoHC are enabled together.</w:t>
      </w:r>
      <w:r w:rsidRPr="00AF3048">
        <w:rPr>
          <w:lang w:val="en-US"/>
        </w:rPr>
        <w:t xml:space="preserve"> “</w:t>
      </w:r>
      <w:r>
        <w:rPr>
          <w:lang w:val="en-US"/>
        </w:rPr>
        <w:t>:</w:t>
      </w:r>
    </w:p>
    <w:p w14:paraId="49D9BA22" w14:textId="3CC05F4F" w:rsidR="00AF3048" w:rsidRDefault="00AF3048" w:rsidP="00AF3048">
      <w:pPr>
        <w:pStyle w:val="ListParagraph"/>
        <w:numPr>
          <w:ilvl w:val="0"/>
          <w:numId w:val="20"/>
        </w:numPr>
        <w:rPr>
          <w:lang w:val="en-US"/>
        </w:rPr>
      </w:pPr>
      <w:r>
        <w:rPr>
          <w:lang w:val="en-US"/>
        </w:rPr>
        <w:t>Needed: 4</w:t>
      </w:r>
    </w:p>
    <w:p w14:paraId="72372267" w14:textId="067A3306" w:rsidR="00AF3048" w:rsidRDefault="00AF3048" w:rsidP="00AF3048">
      <w:pPr>
        <w:pStyle w:val="ListParagraph"/>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Proposal Ph1-1: Introduce a capability for the UE to indicate whether it supports simultaneous configuration of EHC and RoHC for the same DRB.</w:t>
      </w:r>
    </w:p>
    <w:p w14:paraId="5A7AB6D3" w14:textId="4DA9474F" w:rsidR="000663A5" w:rsidRPr="000663A5" w:rsidRDefault="000663A5" w:rsidP="00AF3048">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lastRenderedPageBreak/>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Maximum value of maxNumberEHC-Contexts that can be signalled is 65536</w:t>
            </w:r>
          </w:p>
          <w:p w14:paraId="0B81B095" w14:textId="605644CC" w:rsidR="002B67E3" w:rsidRPr="00DA2EFB" w:rsidRDefault="002B67E3" w:rsidP="002B67E3">
            <w:r>
              <w:t></w:t>
            </w:r>
            <w:r>
              <w:tab/>
              <w:t>Minimum value of maxNumberEHC-Contexts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r>
              <w:rPr>
                <w:rFonts w:eastAsia="SimSun" w:hint="eastAsia"/>
                <w:i/>
                <w:iCs/>
                <w:lang w:val="en-US" w:eastAsia="zh-CN"/>
              </w:rPr>
              <w:t>maxNumberEHC-Contexts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r>
              <w:rPr>
                <w:rFonts w:eastAsia="SimSun" w:hint="eastAsia"/>
                <w:i/>
                <w:iCs/>
                <w:lang w:val="en-US" w:eastAsia="zh-CN"/>
              </w:rPr>
              <w:t>maxNumberEHC-Contexts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lastRenderedPageBreak/>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maxNumberEHC-Contexts is specified with the following value range: {2, 4, 8, 16, 32, 64, 128, 256, 512, 1024, 2048, 4096, 8192, 16384, 32768, 65536}.</w:t>
      </w: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r>
              <w:rPr>
                <w:lang w:val="en-US"/>
              </w:rPr>
              <w:t>Signalling-wise,</w:t>
            </w:r>
            <w:r w:rsidR="002F604D">
              <w:rPr>
                <w:lang w:val="en-US"/>
              </w:rPr>
              <w:t xml:space="preserve"> </w:t>
            </w:r>
            <w:r w:rsidR="00FF3B78">
              <w:rPr>
                <w:lang w:val="en-US"/>
              </w:rPr>
              <w:t xml:space="preserve">RRC supports 32 RLC bearers </w:t>
            </w:r>
            <w:r w:rsidR="002F604D">
              <w:rPr>
                <w:lang w:val="en-US"/>
              </w:rPr>
              <w:t>in each CellGroupConfig</w:t>
            </w:r>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he question here is, for IIoT WI, should RAN2 introduce a separate capability going beyond that</w:t>
            </w:r>
            <w:r w:rsidR="00EC62D9">
              <w:rPr>
                <w:lang w:val="en-US"/>
              </w:rPr>
              <w:t xml:space="preserve">? </w:t>
            </w:r>
            <w:r w:rsidR="000961D7">
              <w:rPr>
                <w:lang w:val="en-US"/>
              </w:rPr>
              <w:t xml:space="preserve">For this, Ericsson agrees that it can be helpful for </w:t>
            </w:r>
            <w:r w:rsidR="00C665D8">
              <w:rPr>
                <w:lang w:val="en-US"/>
              </w:rPr>
              <w:t xml:space="preserve">IIoT.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lastRenderedPageBreak/>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 xml:space="preserve">[AT110e][017A][NR15],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[AT110e][017][NR15]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8 DRBs are sufficient.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lastRenderedPageBreak/>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ary in section 2.4, companies are in</w:t>
      </w:r>
      <w:r w:rsidR="0077555C">
        <w:rPr>
          <w:lang w:val="en-US"/>
        </w:rPr>
        <w:t>i</w:t>
      </w:r>
      <w:r>
        <w:rPr>
          <w:lang w:val="en-US"/>
        </w:rPr>
        <w:t>vted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 xml:space="preserve">components or a </w:t>
            </w:r>
            <w:r w:rsidRPr="00096512">
              <w:rPr>
                <w:lang w:val="en-US"/>
              </w:rPr>
              <w:lastRenderedPageBreak/>
              <w:t>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lastRenderedPageBreak/>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if UE supports Rel-16 PDCP duplication, then it supports all the Rel-15 PDPC duplication functions indicated in pdcp-DuplicationMCG-OrSCG-DRB, pdcp-DuplicationSplitDRB, pdcp-DuplicationSplitSRB, pdcp-DuplicationSRB</w:t>
      </w:r>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r w:rsidR="00CF1F22" w:rsidRPr="00CF1F22">
        <w:rPr>
          <w:b/>
          <w:bCs/>
          <w:lang w:val="en-US"/>
        </w:rPr>
        <w:t>pdcp-DuplicationMCG-OrSCG-DRB, pdcp-DuplicationSplitDRB, pdcp-DuplicationSplitSRB</w:t>
      </w:r>
      <w:r w:rsidR="00CF1F22">
        <w:rPr>
          <w:b/>
          <w:bCs/>
          <w:lang w:val="en-US"/>
        </w:rPr>
        <w:t xml:space="preserve"> and</w:t>
      </w:r>
      <w:r w:rsidR="00CF1F22" w:rsidRPr="00CF1F22">
        <w:rPr>
          <w:b/>
          <w:bCs/>
          <w:lang w:val="en-US"/>
        </w:rPr>
        <w:t xml:space="preserve"> pdcp-DuplicationSRB.</w:t>
      </w:r>
    </w:p>
    <w:p w14:paraId="627A367E" w14:textId="2021435A" w:rsidR="007105D6" w:rsidRDefault="007105D6">
      <w:pPr>
        <w:rPr>
          <w:lang w:val="en-US"/>
        </w:rPr>
      </w:pPr>
    </w:p>
    <w:p w14:paraId="372192F0" w14:textId="5E64990D" w:rsidR="00176673" w:rsidRDefault="00176673" w:rsidP="00176673">
      <w:pPr>
        <w:pStyle w:val="Heading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Proposal Ph1-1: Introduce a capability for the UE to indicate whether it supports simultaneous configuration of EHC and RoHC for the same DRB.</w:t>
      </w:r>
    </w:p>
    <w:p w14:paraId="1B8615D0" w14:textId="77777777" w:rsidR="00176673" w:rsidRPr="000663A5" w:rsidRDefault="00176673" w:rsidP="00176673">
      <w:pPr>
        <w:rPr>
          <w:b/>
          <w:bCs/>
          <w:lang w:val="en-US"/>
        </w:rPr>
      </w:pPr>
      <w:r>
        <w:rPr>
          <w:b/>
          <w:bCs/>
          <w:lang w:val="en-US"/>
        </w:rPr>
        <w:t>Proposal Ph1-2: If the UE indicates support for RoHC and EHC, but does not indicate support for a new capability as proposed in Proposal Ph1-1, EHC and RoHC may be simultaneously configured for different DRBs.</w:t>
      </w:r>
    </w:p>
    <w:p w14:paraId="01FF9DB7" w14:textId="77777777" w:rsidR="00176673" w:rsidRPr="000663A5" w:rsidRDefault="00176673" w:rsidP="00176673">
      <w:pPr>
        <w:rPr>
          <w:b/>
          <w:bCs/>
          <w:lang w:val="en-US"/>
        </w:rPr>
      </w:pPr>
      <w:r w:rsidRPr="000663A5">
        <w:rPr>
          <w:b/>
          <w:bCs/>
          <w:lang w:val="en-US"/>
        </w:rPr>
        <w:lastRenderedPageBreak/>
        <w:t>Proposal Ph1-3: maxNumberEHC-Contexts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759436E" w14:textId="046F8F42" w:rsidR="00176673" w:rsidRPr="00477698" w:rsidRDefault="00176673" w:rsidP="00176673">
      <w:pPr>
        <w:rPr>
          <w:b/>
          <w:bCs/>
          <w:lang w:val="en-US"/>
        </w:rPr>
      </w:pPr>
      <w:r>
        <w:rPr>
          <w:b/>
          <w:bCs/>
          <w:lang w:val="en-US"/>
        </w:rPr>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5FACA933" w14:textId="77777777" w:rsidR="00DA2BFC" w:rsidRDefault="00DA2BFC" w:rsidP="00176673">
      <w:pPr>
        <w:rPr>
          <w:b/>
          <w:bCs/>
          <w:lang w:val="en-US"/>
        </w:rPr>
      </w:pPr>
    </w:p>
    <w:p w14:paraId="2568377E" w14:textId="0F604636" w:rsidR="00DA2BFC" w:rsidRDefault="00DA2BFC" w:rsidP="00DA2BFC">
      <w:pPr>
        <w:pStyle w:val="Heading1"/>
        <w:rPr>
          <w:lang w:val="en-US"/>
        </w:rPr>
      </w:pPr>
      <w:r>
        <w:rPr>
          <w:lang w:val="en-US"/>
        </w:rPr>
        <w:t>5</w:t>
      </w:r>
      <w:r>
        <w:rPr>
          <w:lang w:val="en-US"/>
        </w:rPr>
        <w:tab/>
      </w:r>
      <w:r>
        <w:rPr>
          <w:highlight w:val="yellow"/>
          <w:lang w:val="en-US"/>
        </w:rPr>
        <w:t>E-mail discussion: [AT110e][048][IIOT] UE capabilities – Phase 2</w:t>
      </w:r>
    </w:p>
    <w:p w14:paraId="48645D4C" w14:textId="17F03BA8" w:rsidR="00DA2BFC" w:rsidRDefault="00DA2BFC" w:rsidP="00DA2BFC">
      <w:pPr>
        <w:pStyle w:val="Heading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Proposal Ph1-3: maxNumberEHC-Contexts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[AT110e][017][NR15]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r w:rsidRPr="00CF1F22">
        <w:rPr>
          <w:b/>
          <w:bCs/>
          <w:lang w:val="en-US"/>
        </w:rPr>
        <w:t>pdcp-DuplicationMCG-OrSCG-DRB, pdcp-DuplicationSplitDRB, pdcp-DuplicationSplitSRB</w:t>
      </w:r>
      <w:r>
        <w:rPr>
          <w:b/>
          <w:bCs/>
          <w:lang w:val="en-US"/>
        </w:rPr>
        <w:t xml:space="preserve"> and</w:t>
      </w:r>
      <w:r w:rsidRPr="00CF1F22">
        <w:rPr>
          <w:b/>
          <w:bCs/>
          <w:lang w:val="en-US"/>
        </w:rPr>
        <w:t xml:space="preserve"> pdcp-DuplicationSRB.</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TableGrid"/>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Finally, RAN2 has to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lang w:val="en-US" w:eastAsia="zh-CN"/>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TableGrid"/>
        <w:tblW w:w="0" w:type="auto"/>
        <w:tblLook w:val="04A0" w:firstRow="1" w:lastRow="0" w:firstColumn="1" w:lastColumn="0" w:noHBand="0" w:noVBand="1"/>
      </w:tblPr>
      <w:tblGrid>
        <w:gridCol w:w="1696"/>
        <w:gridCol w:w="1985"/>
        <w:gridCol w:w="5950"/>
      </w:tblGrid>
      <w:tr w:rsidR="00F849A4" w14:paraId="60900D48" w14:textId="77777777" w:rsidTr="00AB2584">
        <w:tc>
          <w:tcPr>
            <w:tcW w:w="1696" w:type="dxa"/>
          </w:tcPr>
          <w:p w14:paraId="65F24E77" w14:textId="77777777" w:rsidR="00F849A4" w:rsidRDefault="00F849A4" w:rsidP="00AB2584">
            <w:pPr>
              <w:rPr>
                <w:lang w:val="en-US"/>
              </w:rPr>
            </w:pPr>
            <w:r>
              <w:rPr>
                <w:lang w:val="en-US"/>
              </w:rPr>
              <w:t>Company</w:t>
            </w:r>
          </w:p>
        </w:tc>
        <w:tc>
          <w:tcPr>
            <w:tcW w:w="1985" w:type="dxa"/>
          </w:tcPr>
          <w:p w14:paraId="1BB91A20" w14:textId="790EFD0E" w:rsidR="00F849A4" w:rsidRDefault="00F849A4" w:rsidP="00AB2584">
            <w:pPr>
              <w:rPr>
                <w:lang w:val="en-US"/>
              </w:rPr>
            </w:pPr>
            <w:r>
              <w:rPr>
                <w:lang w:val="en-US"/>
              </w:rPr>
              <w:t>Preferred option</w:t>
            </w:r>
          </w:p>
        </w:tc>
        <w:tc>
          <w:tcPr>
            <w:tcW w:w="5950" w:type="dxa"/>
          </w:tcPr>
          <w:p w14:paraId="272C10DF" w14:textId="6C0D8AC1" w:rsidR="00F849A4" w:rsidRDefault="00F849A4" w:rsidP="00AB2584">
            <w:pPr>
              <w:rPr>
                <w:lang w:val="en-US"/>
              </w:rPr>
            </w:pPr>
            <w:r>
              <w:rPr>
                <w:lang w:val="en-US"/>
              </w:rPr>
              <w:t>Justification / comments</w:t>
            </w:r>
          </w:p>
        </w:tc>
      </w:tr>
      <w:tr w:rsidR="00ED19D6" w14:paraId="495BB373" w14:textId="77777777" w:rsidTr="00AB2584">
        <w:tc>
          <w:tcPr>
            <w:tcW w:w="1696" w:type="dxa"/>
          </w:tcPr>
          <w:p w14:paraId="2E139359" w14:textId="77777777" w:rsidR="00ED19D6" w:rsidRDefault="00ED19D6" w:rsidP="00AB2584">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B2584">
            <w:pPr>
              <w:rPr>
                <w:rFonts w:eastAsia="SimSun"/>
                <w:lang w:val="en-US" w:eastAsia="zh-CN"/>
              </w:rPr>
            </w:pPr>
            <w:r>
              <w:rPr>
                <w:rFonts w:hint="eastAsia"/>
                <w:lang w:val="en-US" w:eastAsia="ko-KR"/>
              </w:rPr>
              <w:t>Option 1</w:t>
            </w:r>
          </w:p>
        </w:tc>
        <w:tc>
          <w:tcPr>
            <w:tcW w:w="5950" w:type="dxa"/>
          </w:tcPr>
          <w:p w14:paraId="24180A9B" w14:textId="77777777" w:rsidR="00ED19D6" w:rsidRDefault="00ED19D6" w:rsidP="00AB2584">
            <w:pPr>
              <w:rPr>
                <w:rFonts w:eastAsia="SimSun"/>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B2584">
        <w:tc>
          <w:tcPr>
            <w:tcW w:w="1696" w:type="dxa"/>
          </w:tcPr>
          <w:p w14:paraId="115A6DEF" w14:textId="22481512" w:rsidR="00F849A4" w:rsidRDefault="00227840" w:rsidP="00AB2584">
            <w:pPr>
              <w:rPr>
                <w:lang w:val="en-US"/>
              </w:rPr>
            </w:pPr>
            <w:r>
              <w:rPr>
                <w:lang w:val="en-US"/>
              </w:rPr>
              <w:t>Huawei, Hisilicon</w:t>
            </w:r>
          </w:p>
        </w:tc>
        <w:tc>
          <w:tcPr>
            <w:tcW w:w="1985" w:type="dxa"/>
          </w:tcPr>
          <w:p w14:paraId="55381714" w14:textId="425D0DE9" w:rsidR="00F849A4" w:rsidRPr="00227840" w:rsidRDefault="00227840" w:rsidP="00AB2584">
            <w:pPr>
              <w:rPr>
                <w:rFonts w:eastAsia="SimSun"/>
                <w:lang w:val="en-US" w:eastAsia="zh-CN"/>
              </w:rPr>
            </w:pPr>
            <w:r>
              <w:rPr>
                <w:rFonts w:eastAsia="SimSun" w:hint="eastAsia"/>
                <w:lang w:val="en-US" w:eastAsia="zh-CN"/>
              </w:rPr>
              <w:t>1</w:t>
            </w:r>
            <w:bookmarkStart w:id="55" w:name="_GoBack"/>
            <w:bookmarkEnd w:id="55"/>
          </w:p>
        </w:tc>
        <w:tc>
          <w:tcPr>
            <w:tcW w:w="5950" w:type="dxa"/>
          </w:tcPr>
          <w:p w14:paraId="63DA4F60" w14:textId="38623CE2" w:rsidR="00F849A4" w:rsidRPr="00227840" w:rsidRDefault="00227840" w:rsidP="00AB2584">
            <w:pPr>
              <w:rPr>
                <w:rFonts w:eastAsia="SimSun"/>
                <w:lang w:val="en-US" w:eastAsia="zh-CN"/>
              </w:rPr>
            </w:pPr>
            <w:r>
              <w:rPr>
                <w:rFonts w:eastAsia="SimSun" w:hint="eastAsia"/>
                <w:lang w:val="en-US" w:eastAsia="zh-CN"/>
              </w:rPr>
              <w:t>W</w:t>
            </w:r>
            <w:r>
              <w:rPr>
                <w:rFonts w:eastAsia="SimSun"/>
                <w:lang w:val="en-US" w:eastAsia="zh-CN"/>
              </w:rPr>
              <w:t xml:space="preserve">ithout PHY-based prioritization, the physical layer cannot handle any overlapped grants in an intended manner. In this case, there is no point for the UE to support </w:t>
            </w:r>
            <w:r w:rsidRPr="00227840">
              <w:rPr>
                <w:rFonts w:eastAsia="SimSun"/>
                <w:lang w:val="en-US" w:eastAsia="zh-CN"/>
              </w:rPr>
              <w:t>LCH-based prioritization</w:t>
            </w:r>
            <w:r>
              <w:rPr>
                <w:rFonts w:eastAsia="SimSun"/>
                <w:lang w:val="en-US" w:eastAsia="zh-CN"/>
              </w:rPr>
              <w:t xml:space="preserve"> which is to handle the case of overlapped grants.</w:t>
            </w:r>
          </w:p>
        </w:tc>
      </w:tr>
    </w:tbl>
    <w:p w14:paraId="047F18CE" w14:textId="21596739" w:rsidR="00801556" w:rsidRDefault="00801556" w:rsidP="00176673">
      <w:pPr>
        <w:rPr>
          <w:lang w:val="en-US"/>
        </w:rPr>
      </w:pPr>
    </w:p>
    <w:p w14:paraId="43476049" w14:textId="211666BF" w:rsidR="00DA2BFC" w:rsidRDefault="00DA2BFC" w:rsidP="00DA2BFC">
      <w:pPr>
        <w:pStyle w:val="Heading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56"/>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130C13B4"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ListParagraph"/>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D623" w14:textId="77777777" w:rsidR="00E34A04" w:rsidRDefault="00E34A04">
      <w:r>
        <w:separator/>
      </w:r>
    </w:p>
  </w:endnote>
  <w:endnote w:type="continuationSeparator" w:id="0">
    <w:p w14:paraId="64181FD9" w14:textId="77777777" w:rsidR="00E34A04" w:rsidRDefault="00E34A04">
      <w:r>
        <w:continuationSeparator/>
      </w:r>
    </w:p>
  </w:endnote>
  <w:endnote w:type="continuationNotice" w:id="1">
    <w:p w14:paraId="408B1113" w14:textId="77777777" w:rsidR="00E34A04" w:rsidRDefault="00E34A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2680" w14:textId="77777777" w:rsidR="00E34A04" w:rsidRDefault="00E34A04">
      <w:r>
        <w:separator/>
      </w:r>
    </w:p>
  </w:footnote>
  <w:footnote w:type="continuationSeparator" w:id="0">
    <w:p w14:paraId="2FD6BB7A" w14:textId="77777777" w:rsidR="00E34A04" w:rsidRDefault="00E34A04">
      <w:r>
        <w:continuationSeparator/>
      </w:r>
    </w:p>
  </w:footnote>
  <w:footnote w:type="continuationNotice" w:id="1">
    <w:p w14:paraId="30050FDB" w14:textId="77777777" w:rsidR="00E34A04" w:rsidRDefault="00E34A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9"/>
  </w:num>
  <w:num w:numId="5">
    <w:abstractNumId w:val="7"/>
  </w:num>
  <w:num w:numId="6">
    <w:abstractNumId w:val="12"/>
  </w:num>
  <w:num w:numId="7">
    <w:abstractNumId w:val="13"/>
  </w:num>
  <w:num w:numId="8">
    <w:abstractNumId w:val="18"/>
  </w:num>
  <w:num w:numId="9">
    <w:abstractNumId w:val="15"/>
  </w:num>
  <w:num w:numId="10">
    <w:abstractNumId w:val="17"/>
  </w:num>
  <w:num w:numId="11">
    <w:abstractNumId w:val="8"/>
  </w:num>
  <w:num w:numId="12">
    <w:abstractNumId w:val="5"/>
  </w:num>
  <w:num w:numId="13">
    <w:abstractNumId w:val="16"/>
  </w:num>
  <w:num w:numId="14">
    <w:abstractNumId w:val="18"/>
  </w:num>
  <w:num w:numId="15">
    <w:abstractNumId w:val="10"/>
  </w:num>
  <w:num w:numId="16">
    <w:abstractNumId w:val="2"/>
  </w:num>
  <w:num w:numId="17">
    <w:abstractNumId w:val="4"/>
  </w:num>
  <w:num w:numId="18">
    <w:abstractNumId w:val="14"/>
  </w:num>
  <w:num w:numId="19">
    <w:abstractNumId w:val="1"/>
  </w:num>
  <w:num w:numId="20">
    <w:abstractNumId w:val="11"/>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D6"/>
    <w:rsid w:val="00014F10"/>
    <w:rsid w:val="000663A5"/>
    <w:rsid w:val="00073053"/>
    <w:rsid w:val="000809DA"/>
    <w:rsid w:val="00082161"/>
    <w:rsid w:val="0008572B"/>
    <w:rsid w:val="000961D7"/>
    <w:rsid w:val="00096512"/>
    <w:rsid w:val="00097455"/>
    <w:rsid w:val="000E7561"/>
    <w:rsid w:val="000F187A"/>
    <w:rsid w:val="00103392"/>
    <w:rsid w:val="00113B22"/>
    <w:rsid w:val="0013696A"/>
    <w:rsid w:val="00160F39"/>
    <w:rsid w:val="001719C6"/>
    <w:rsid w:val="00171F5E"/>
    <w:rsid w:val="00176673"/>
    <w:rsid w:val="00185949"/>
    <w:rsid w:val="00185EA6"/>
    <w:rsid w:val="001933F9"/>
    <w:rsid w:val="001D23BF"/>
    <w:rsid w:val="001E02E1"/>
    <w:rsid w:val="00225DE5"/>
    <w:rsid w:val="0022758F"/>
    <w:rsid w:val="00227840"/>
    <w:rsid w:val="0023105E"/>
    <w:rsid w:val="002664A1"/>
    <w:rsid w:val="002A70F0"/>
    <w:rsid w:val="002B67E3"/>
    <w:rsid w:val="002F604D"/>
    <w:rsid w:val="002F6416"/>
    <w:rsid w:val="0030459E"/>
    <w:rsid w:val="00316142"/>
    <w:rsid w:val="003240B0"/>
    <w:rsid w:val="003463EF"/>
    <w:rsid w:val="003745F9"/>
    <w:rsid w:val="003936BF"/>
    <w:rsid w:val="003956D6"/>
    <w:rsid w:val="00395CB5"/>
    <w:rsid w:val="00396963"/>
    <w:rsid w:val="003F1055"/>
    <w:rsid w:val="003F6BDC"/>
    <w:rsid w:val="004222D9"/>
    <w:rsid w:val="00423F71"/>
    <w:rsid w:val="00425FC1"/>
    <w:rsid w:val="00441A6D"/>
    <w:rsid w:val="00453109"/>
    <w:rsid w:val="00456A9C"/>
    <w:rsid w:val="00477698"/>
    <w:rsid w:val="004874F1"/>
    <w:rsid w:val="004B6362"/>
    <w:rsid w:val="004B6EE7"/>
    <w:rsid w:val="004C0FC4"/>
    <w:rsid w:val="004C35A8"/>
    <w:rsid w:val="004C7446"/>
    <w:rsid w:val="004E60AC"/>
    <w:rsid w:val="004F082A"/>
    <w:rsid w:val="004F5C2C"/>
    <w:rsid w:val="0053245D"/>
    <w:rsid w:val="005776F2"/>
    <w:rsid w:val="005C1815"/>
    <w:rsid w:val="005E05D3"/>
    <w:rsid w:val="005E1E19"/>
    <w:rsid w:val="005F5B42"/>
    <w:rsid w:val="00627BBA"/>
    <w:rsid w:val="00631285"/>
    <w:rsid w:val="00635F18"/>
    <w:rsid w:val="006407CF"/>
    <w:rsid w:val="00640DD5"/>
    <w:rsid w:val="00672AA6"/>
    <w:rsid w:val="006735E1"/>
    <w:rsid w:val="006935C2"/>
    <w:rsid w:val="00693923"/>
    <w:rsid w:val="006B4E5D"/>
    <w:rsid w:val="006E6647"/>
    <w:rsid w:val="006F7148"/>
    <w:rsid w:val="006F720D"/>
    <w:rsid w:val="00707397"/>
    <w:rsid w:val="007105D6"/>
    <w:rsid w:val="0077555C"/>
    <w:rsid w:val="007762A4"/>
    <w:rsid w:val="007A0776"/>
    <w:rsid w:val="007A549F"/>
    <w:rsid w:val="007B729A"/>
    <w:rsid w:val="007D5BD5"/>
    <w:rsid w:val="007F1429"/>
    <w:rsid w:val="007F5BEE"/>
    <w:rsid w:val="007F79B9"/>
    <w:rsid w:val="00801556"/>
    <w:rsid w:val="00850C21"/>
    <w:rsid w:val="00870A9E"/>
    <w:rsid w:val="0087116D"/>
    <w:rsid w:val="00875F40"/>
    <w:rsid w:val="0090074D"/>
    <w:rsid w:val="009035D8"/>
    <w:rsid w:val="0094178D"/>
    <w:rsid w:val="00952649"/>
    <w:rsid w:val="00964301"/>
    <w:rsid w:val="00966869"/>
    <w:rsid w:val="00972B2F"/>
    <w:rsid w:val="00984FED"/>
    <w:rsid w:val="00990F13"/>
    <w:rsid w:val="009C7A54"/>
    <w:rsid w:val="00A17A79"/>
    <w:rsid w:val="00A25C10"/>
    <w:rsid w:val="00A554CA"/>
    <w:rsid w:val="00A56253"/>
    <w:rsid w:val="00A7241C"/>
    <w:rsid w:val="00A87A68"/>
    <w:rsid w:val="00AF3048"/>
    <w:rsid w:val="00B0015E"/>
    <w:rsid w:val="00B35188"/>
    <w:rsid w:val="00B36001"/>
    <w:rsid w:val="00B463E3"/>
    <w:rsid w:val="00B73997"/>
    <w:rsid w:val="00B82988"/>
    <w:rsid w:val="00B97CD7"/>
    <w:rsid w:val="00BC33AA"/>
    <w:rsid w:val="00BC42AD"/>
    <w:rsid w:val="00BC633D"/>
    <w:rsid w:val="00BF33F0"/>
    <w:rsid w:val="00C01CF0"/>
    <w:rsid w:val="00C40265"/>
    <w:rsid w:val="00C40692"/>
    <w:rsid w:val="00C5507B"/>
    <w:rsid w:val="00C665D8"/>
    <w:rsid w:val="00CB140B"/>
    <w:rsid w:val="00CC0EBE"/>
    <w:rsid w:val="00CD1164"/>
    <w:rsid w:val="00CE1A60"/>
    <w:rsid w:val="00CE1D36"/>
    <w:rsid w:val="00CE443F"/>
    <w:rsid w:val="00CF0F5C"/>
    <w:rsid w:val="00CF1F22"/>
    <w:rsid w:val="00D00E1D"/>
    <w:rsid w:val="00D046D2"/>
    <w:rsid w:val="00D1110E"/>
    <w:rsid w:val="00D12766"/>
    <w:rsid w:val="00D26BD1"/>
    <w:rsid w:val="00D809C9"/>
    <w:rsid w:val="00D80C70"/>
    <w:rsid w:val="00D96C33"/>
    <w:rsid w:val="00DA2BFC"/>
    <w:rsid w:val="00DA2EFB"/>
    <w:rsid w:val="00DF0D3B"/>
    <w:rsid w:val="00E00E70"/>
    <w:rsid w:val="00E078CE"/>
    <w:rsid w:val="00E303B4"/>
    <w:rsid w:val="00E305F9"/>
    <w:rsid w:val="00E34A04"/>
    <w:rsid w:val="00E41D36"/>
    <w:rsid w:val="00E545FB"/>
    <w:rsid w:val="00E63883"/>
    <w:rsid w:val="00E744B3"/>
    <w:rsid w:val="00E94270"/>
    <w:rsid w:val="00EB06D5"/>
    <w:rsid w:val="00EC22E8"/>
    <w:rsid w:val="00EC62D9"/>
    <w:rsid w:val="00ED19D6"/>
    <w:rsid w:val="00EE7AE8"/>
    <w:rsid w:val="00EF492E"/>
    <w:rsid w:val="00F13CBA"/>
    <w:rsid w:val="00F2182E"/>
    <w:rsid w:val="00F340CB"/>
    <w:rsid w:val="00F556C9"/>
    <w:rsid w:val="00F83C8C"/>
    <w:rsid w:val="00F849A4"/>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docId w15:val="{4EBC869F-AE43-4565-8D76-46B4159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6.xml><?xml version="1.0" encoding="utf-8"?>
<ds:datastoreItem xmlns:ds="http://schemas.openxmlformats.org/officeDocument/2006/customXml" ds:itemID="{CDF7D83B-AE5B-465F-A39F-5B3BB98C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21</Pages>
  <Words>7940</Words>
  <Characters>47641</Characters>
  <Application>Microsoft Office Word</Application>
  <DocSecurity>0</DocSecurity>
  <Lines>397</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55471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Koziol, Dawid (Nokia - PL/Wroclaw)</cp:lastModifiedBy>
  <cp:revision>4</cp:revision>
  <dcterms:created xsi:type="dcterms:W3CDTF">2020-06-08T11:03:00Z</dcterms:created>
  <dcterms:modified xsi:type="dcterms:W3CDTF">2020-06-08T11:07:00Z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