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BB9F" w14:textId="77777777" w:rsidR="00D04D6E" w:rsidRDefault="00D04D6E">
      <w:pPr>
        <w:pStyle w:val="CRCoverPage"/>
        <w:tabs>
          <w:tab w:val="right" w:pos="9639"/>
        </w:tabs>
        <w:rPr>
          <w:rFonts w:ascii="Times New Roman" w:eastAsia="DengXian" w:hAnsi="Times New Roman"/>
          <w:b/>
          <w:sz w:val="24"/>
          <w:lang w:eastAsia="zh-CN"/>
        </w:rPr>
      </w:pPr>
      <w:bookmarkStart w:id="0" w:name="_Toc193024528"/>
    </w:p>
    <w:p w14:paraId="18BB6B3A" w14:textId="77777777" w:rsidR="00D04D6E" w:rsidRDefault="0044387D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7079F133" wp14:editId="11271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F9216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#110-e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690D46D7" w14:textId="77777777" w:rsidR="00D04D6E" w:rsidRDefault="0044387D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>, June 1 – 12, 2020</w:t>
      </w:r>
    </w:p>
    <w:p w14:paraId="3D639DD7" w14:textId="77777777" w:rsidR="00D04D6E" w:rsidRDefault="00D04D6E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1AB24FC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0DB6B642" w14:textId="77777777" w:rsidR="00D04D6E" w:rsidRDefault="0044387D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Summary of email discussion [AT110e][</w:t>
      </w:r>
      <w:proofErr w:type="gramStart"/>
      <w:r>
        <w:rPr>
          <w:rFonts w:ascii="Arial" w:hAnsi="Arial" w:cs="Arial"/>
          <w:b/>
          <w:sz w:val="22"/>
        </w:rPr>
        <w:t>017][</w:t>
      </w:r>
      <w:proofErr w:type="gramEnd"/>
      <w:r>
        <w:rPr>
          <w:rFonts w:ascii="Arial" w:hAnsi="Arial" w:cs="Arial"/>
          <w:b/>
          <w:sz w:val="22"/>
        </w:rPr>
        <w:t>NR15] UE cap Simultaneous SRS antenna and carrier switching</w:t>
      </w:r>
    </w:p>
    <w:p w14:paraId="357ACC3B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42F9CD7F" w14:textId="77777777" w:rsidR="00D04D6E" w:rsidRDefault="0044387D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5.4.3.1</w:t>
      </w:r>
    </w:p>
    <w:p w14:paraId="044D67B8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2890A482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003DE93" w14:textId="77777777" w:rsidR="00D04D6E" w:rsidRDefault="0044387D">
      <w:pPr>
        <w:pStyle w:val="EmailDiscussion"/>
        <w:tabs>
          <w:tab w:val="clear" w:pos="1710"/>
          <w:tab w:val="left" w:pos="419"/>
        </w:tabs>
        <w:ind w:leftChars="29" w:left="418"/>
      </w:pPr>
      <w:r>
        <w:t>[AT110e][</w:t>
      </w:r>
      <w:proofErr w:type="gramStart"/>
      <w:r>
        <w:t>017][</w:t>
      </w:r>
      <w:proofErr w:type="gramEnd"/>
      <w:r>
        <w:t>NR15] UE cap Simultaneous SRS antenna and carrier switching (Qualcomm)</w:t>
      </w:r>
    </w:p>
    <w:p w14:paraId="3F7E94F4" w14:textId="77777777" w:rsidR="00D04D6E" w:rsidRDefault="0044387D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Hyperlink"/>
        </w:rPr>
        <w:t>R2-2004434</w:t>
      </w:r>
      <w:r>
        <w:rPr>
          <w:rStyle w:val="Hyperlink"/>
        </w:rPr>
        <w:fldChar w:fldCharType="end"/>
      </w:r>
      <w:r>
        <w:t xml:space="preserve">, </w:t>
      </w:r>
      <w:hyperlink r:id="rId9" w:history="1">
        <w:r>
          <w:rPr>
            <w:rStyle w:val="Hyperlink"/>
          </w:rPr>
          <w:t>R2-2004435</w:t>
        </w:r>
      </w:hyperlink>
      <w:r>
        <w:t xml:space="preserve">, </w:t>
      </w:r>
      <w:hyperlink r:id="rId10" w:history="1">
        <w:r>
          <w:rPr>
            <w:rStyle w:val="Hyperlink"/>
          </w:rPr>
          <w:t>R2-2005360</w:t>
        </w:r>
      </w:hyperlink>
      <w:r>
        <w:t xml:space="preserve">, </w:t>
      </w:r>
      <w:hyperlink r:id="rId11" w:history="1">
        <w:r>
          <w:rPr>
            <w:rStyle w:val="Hyperlink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Hyperlink"/>
        </w:rPr>
        <w:t>R2-2004971</w:t>
      </w:r>
      <w:r>
        <w:rPr>
          <w:rStyle w:val="Hyperlink"/>
        </w:rPr>
        <w:fldChar w:fldCharType="end"/>
      </w:r>
      <w:r>
        <w:t xml:space="preserve">, </w:t>
      </w:r>
      <w:hyperlink r:id="rId12" w:history="1">
        <w:r>
          <w:rPr>
            <w:rStyle w:val="Hyperlink"/>
          </w:rPr>
          <w:t>R2-2005579</w:t>
        </w:r>
      </w:hyperlink>
      <w:r>
        <w:t xml:space="preserve">, </w:t>
      </w:r>
      <w:hyperlink r:id="rId13" w:history="1">
        <w:r>
          <w:rPr>
            <w:rStyle w:val="Hyperlink"/>
          </w:rPr>
          <w:t>R2-2005580</w:t>
        </w:r>
      </w:hyperlink>
      <w:bookmarkEnd w:id="2"/>
      <w:r>
        <w:t xml:space="preserve"> (proponents are responsible to explain and drive)</w:t>
      </w:r>
    </w:p>
    <w:p w14:paraId="76252F87" w14:textId="77777777" w:rsidR="00D04D6E" w:rsidRDefault="0044387D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B9D348C" w14:textId="77777777" w:rsidR="00D04D6E" w:rsidRDefault="0044387D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28F5A4EB" w14:textId="77777777" w:rsidR="00D04D6E" w:rsidRDefault="00D04D6E">
      <w:pPr>
        <w:pStyle w:val="Doc-text2"/>
        <w:ind w:left="0" w:firstLine="0"/>
      </w:pPr>
    </w:p>
    <w:p w14:paraId="72C49ED7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t>June 4, 0700 UTC</w:t>
      </w:r>
      <w:r>
        <w:rPr>
          <w:lang w:eastAsia="zh-CN"/>
        </w:rPr>
        <w:t>)</w:t>
      </w:r>
    </w:p>
    <w:p w14:paraId="7C0E8547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 xml:space="preserve">he issue of SRS antenna switching capability during SRS carrier is switched to SRS only </w:t>
      </w:r>
      <w:proofErr w:type="spellStart"/>
      <w:r>
        <w:rPr>
          <w:rFonts w:eastAsiaTheme="minorEastAsia"/>
          <w:sz w:val="22"/>
          <w:szCs w:val="22"/>
          <w:lang w:val="en-US" w:eastAsia="ja-JP"/>
        </w:rPr>
        <w:t>SCell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was discussed in RAN2#109bis-e.</w:t>
      </w:r>
    </w:p>
    <w:p w14:paraId="541BF9A4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Solution for NR</w:t>
      </w:r>
    </w:p>
    <w:p w14:paraId="5044E45D" w14:textId="77777777" w:rsidR="00D04D6E" w:rsidRDefault="0044387D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7DF9B12D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4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R2-2004434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5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6F0F130A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proofErr w:type="spellStart"/>
      <w:r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set to 0 (</w:t>
      </w:r>
      <w:hyperlink r:id="rId16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R2-2004971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R2-2005579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8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R2-2005580</w:t>
        </w:r>
      </w:hyperlink>
      <w:r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05A650A" w14:textId="77777777" w:rsidR="00D04D6E" w:rsidRDefault="00D04D6E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16E2F498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0BD73259" w14:textId="77777777">
        <w:tc>
          <w:tcPr>
            <w:tcW w:w="2122" w:type="dxa"/>
          </w:tcPr>
          <w:p w14:paraId="1BCE3B65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1C952CE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 to</w:t>
            </w:r>
          </w:p>
          <w:p w14:paraId="337A7CC2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7D10E2B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0808AF59" w14:textId="77777777">
        <w:tc>
          <w:tcPr>
            <w:tcW w:w="2122" w:type="dxa"/>
          </w:tcPr>
          <w:p w14:paraId="59B3311C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A6FE2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4152295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D04D6E" w14:paraId="02EBFD29" w14:textId="77777777">
        <w:tc>
          <w:tcPr>
            <w:tcW w:w="2122" w:type="dxa"/>
          </w:tcPr>
          <w:p w14:paraId="503B9A69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99F8703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DengXian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180B41E7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DengXian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D04D6E" w14:paraId="0434C626" w14:textId="77777777">
        <w:tc>
          <w:tcPr>
            <w:tcW w:w="2122" w:type="dxa"/>
          </w:tcPr>
          <w:p w14:paraId="325BB0E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CATT</w:t>
            </w:r>
          </w:p>
        </w:tc>
        <w:tc>
          <w:tcPr>
            <w:tcW w:w="1559" w:type="dxa"/>
          </w:tcPr>
          <w:p w14:paraId="029DC7A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 w14:paraId="7A009A8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 w:rsidR="00D04D6E" w14:paraId="78512AA4" w14:textId="77777777">
        <w:tc>
          <w:tcPr>
            <w:tcW w:w="2122" w:type="dxa"/>
          </w:tcPr>
          <w:p w14:paraId="77A2648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2BF6E51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39BF3B42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solution 2 is simpler and clearer than the solution 1.</w:t>
            </w:r>
          </w:p>
        </w:tc>
      </w:tr>
      <w:tr w:rsidR="00D04D6E" w14:paraId="4C500084" w14:textId="77777777">
        <w:tc>
          <w:tcPr>
            <w:tcW w:w="2122" w:type="dxa"/>
          </w:tcPr>
          <w:p w14:paraId="5CDDC35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29C0B38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Solution 2</w:t>
            </w:r>
          </w:p>
        </w:tc>
        <w:tc>
          <w:tcPr>
            <w:tcW w:w="5950" w:type="dxa"/>
          </w:tcPr>
          <w:p w14:paraId="77672DAB" w14:textId="77777777" w:rsidR="00D04D6E" w:rsidRDefault="0044387D">
            <w:pPr>
              <w:tabs>
                <w:tab w:val="left" w:pos="1971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We agree that the solution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is simple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. The solution 2 may  have some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limitation to the UE RF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as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our paper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sz w:val="21"/>
                  <w:szCs w:val="21"/>
                  <w:lang w:val="en-US" w:eastAsia="ja-JP"/>
                </w:rPr>
                <w:t>R2-2004971</w:t>
              </w:r>
            </w:hyperlink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analyzed. Anyway, if the solution 2 could be accepted by UE vendors, it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>s also OK for us.</w:t>
            </w:r>
          </w:p>
        </w:tc>
      </w:tr>
      <w:tr w:rsidR="00D04D6E" w14:paraId="366C5416" w14:textId="77777777">
        <w:tc>
          <w:tcPr>
            <w:tcW w:w="2122" w:type="dxa"/>
          </w:tcPr>
          <w:p w14:paraId="3430AA7C" w14:textId="2C8ED44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4A092B6A" w14:textId="7A1953DF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comments</w:t>
            </w:r>
          </w:p>
        </w:tc>
        <w:tc>
          <w:tcPr>
            <w:tcW w:w="5950" w:type="dxa"/>
          </w:tcPr>
          <w:p w14:paraId="0AAD1CF3" w14:textId="08D59478" w:rsidR="00D04D6E" w:rsidRDefault="0003640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Before selecting solution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, we would like to clarify one thing. From the ASN.1, it is seen UE can report a list of source bands (from which the SRS carrier switch is performed), and UE only report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one set of SRS antenna switch capability (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inlcuidng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) for th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e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particular target band. We are wondering how could UE properly report the SRS antenna switch </w:t>
            </w:r>
            <w:proofErr w:type="spellStart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capabilty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set to the target band, since different source bands have different capabilit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ies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 SRS antenna switch.</w:t>
            </w:r>
          </w:p>
          <w:p w14:paraId="7C11AF1C" w14:textId="4A3CDA52" w:rsidR="002D2561" w:rsidRDefault="007E2D85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For example, for a BC A+B+C, both A and B can operate as source band. For target band C which has no UL feature set, how 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would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UE indicate the SRS antenna switch capability? 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Please 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ote that UE should indicate three kinds of UE capability: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DB1350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From an initial thinking, my understanding is the last two parameters may be not relevant to source band, since the 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extra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>RF chain is now dedicated to the target band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and may be not coupled with other bands in the target BC when performing SRS antenna switch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. But I am not 100% sure. </w:t>
            </w:r>
          </w:p>
          <w:p w14:paraId="10984732" w14:textId="77777777" w:rsidR="00DB1350" w:rsidRDefault="00A526E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However, the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should be largely dependent to the UE capability on source band.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That is to say, dependent to which band (A or B) is the source band, </w:t>
            </w:r>
            <w:proofErr w:type="spellStart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supportedSRS-TxPorstSwitch</w:t>
            </w:r>
            <w:proofErr w:type="spellEnd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capability on band C should be different.</w:t>
            </w:r>
          </w:p>
          <w:p w14:paraId="5CD36F93" w14:textId="2EA66FFE" w:rsidR="00FD0954" w:rsidRPr="00A526EF" w:rsidRDefault="00FD0954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Then how solution 2 handles this?</w:t>
            </w:r>
          </w:p>
        </w:tc>
      </w:tr>
      <w:tr w:rsidR="006A47B2" w14:paraId="263E7000" w14:textId="77777777">
        <w:tc>
          <w:tcPr>
            <w:tcW w:w="2122" w:type="dxa"/>
          </w:tcPr>
          <w:p w14:paraId="2A757AD7" w14:textId="4E7BD9D6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Ericsson</w:t>
            </w:r>
          </w:p>
        </w:tc>
        <w:tc>
          <w:tcPr>
            <w:tcW w:w="1559" w:type="dxa"/>
          </w:tcPr>
          <w:p w14:paraId="77F65794" w14:textId="5AC8970F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408AC1ED" w14:textId="1F2DCF24" w:rsidR="006A47B2" w:rsidRDefault="004E330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Similar view as Huawei.</w:t>
            </w:r>
          </w:p>
        </w:tc>
      </w:tr>
    </w:tbl>
    <w:p w14:paraId="74E2A93B" w14:textId="77777777" w:rsidR="00D04D6E" w:rsidRDefault="00D04D6E">
      <w:pPr>
        <w:rPr>
          <w:rFonts w:eastAsiaTheme="minorEastAsia"/>
          <w:sz w:val="22"/>
          <w:szCs w:val="22"/>
          <w:lang w:eastAsia="ja-JP"/>
        </w:rPr>
      </w:pPr>
    </w:p>
    <w:p w14:paraId="36832316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Clarification for LTE (</w:t>
      </w:r>
      <w:hyperlink r:id="rId20" w:history="1">
        <w:r>
          <w:rPr>
            <w:rStyle w:val="Hyperlink"/>
            <w:rFonts w:eastAsia="MS Mincho"/>
          </w:rPr>
          <w:t>R2-2004435</w:t>
        </w:r>
      </w:hyperlink>
      <w:r>
        <w:rPr>
          <w:lang w:val="en-US" w:eastAsia="zh-CN"/>
        </w:rPr>
        <w:t xml:space="preserve">, </w:t>
      </w:r>
      <w:hyperlink r:id="rId21" w:history="1">
        <w:r>
          <w:rPr>
            <w:rStyle w:val="Hyperlink"/>
            <w:rFonts w:eastAsia="MS Mincho"/>
          </w:rPr>
          <w:t>R2-2005361</w:t>
        </w:r>
      </w:hyperlink>
      <w:r>
        <w:rPr>
          <w:lang w:eastAsia="zh-CN"/>
        </w:rPr>
        <w:t>)</w:t>
      </w:r>
    </w:p>
    <w:p w14:paraId="5FE5D723" w14:textId="77777777" w:rsidR="00D04D6E" w:rsidRDefault="0044387D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clarification to LTE specification is proposed (</w:t>
      </w:r>
      <w:bookmarkStart w:id="3" w:name="_Hlk42000912"/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Hyperlink"/>
          <w:sz w:val="22"/>
          <w:szCs w:val="22"/>
        </w:rPr>
        <w:t>R2-2004435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  <w:u w:val="none"/>
        </w:rPr>
        <w:t xml:space="preserve">, </w:t>
      </w:r>
      <w:hyperlink r:id="rId22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R2-2005361</w:t>
        </w:r>
      </w:hyperlink>
      <w:bookmarkEnd w:id="3"/>
      <w:r>
        <w:rPr>
          <w:rFonts w:eastAsiaTheme="minorEastAsia"/>
          <w:sz w:val="22"/>
          <w:szCs w:val="22"/>
          <w:lang w:eastAsia="ja-JP"/>
        </w:rPr>
        <w:t xml:space="preserve">; Qualcomm Incorporated). </w:t>
      </w: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he intention is to clarify how the target band combination where the antenna switching capability is applicable during SRS carrier is switched can be identified.</w:t>
      </w:r>
    </w:p>
    <w:p w14:paraId="0F7B32E2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22BFF54F" w14:textId="77777777">
        <w:tc>
          <w:tcPr>
            <w:tcW w:w="2122" w:type="dxa"/>
          </w:tcPr>
          <w:p w14:paraId="045BC16D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F182459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6C375B8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67B88CF4" w14:textId="77777777">
        <w:tc>
          <w:tcPr>
            <w:tcW w:w="2122" w:type="dxa"/>
          </w:tcPr>
          <w:p w14:paraId="39329D7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ualcomm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Incorporated</w:t>
            </w:r>
          </w:p>
        </w:tc>
        <w:tc>
          <w:tcPr>
            <w:tcW w:w="1559" w:type="dxa"/>
          </w:tcPr>
          <w:p w14:paraId="65CF6F7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gree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(proponent)</w:t>
            </w:r>
          </w:p>
        </w:tc>
        <w:tc>
          <w:tcPr>
            <w:tcW w:w="5950" w:type="dxa"/>
          </w:tcPr>
          <w:p w14:paraId="61F3F9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or LTE, we should stick to the current solution and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clarification should be done on top of it.</w:t>
            </w:r>
          </w:p>
        </w:tc>
      </w:tr>
      <w:tr w:rsidR="00D04D6E" w14:paraId="7A794C68" w14:textId="77777777">
        <w:tc>
          <w:tcPr>
            <w:tcW w:w="2122" w:type="dxa"/>
          </w:tcPr>
          <w:p w14:paraId="2E044F79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="DengXian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76699ED5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DengXian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4CFF5554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DengXian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DengXian"/>
                <w:sz w:val="22"/>
                <w:szCs w:val="22"/>
                <w:lang w:eastAsia="zh-CN"/>
              </w:rPr>
              <w:t>es</w:t>
            </w:r>
            <w:proofErr w:type="gramEnd"/>
            <w:r>
              <w:rPr>
                <w:rFonts w:eastAsia="DengXian"/>
                <w:sz w:val="22"/>
                <w:szCs w:val="22"/>
                <w:lang w:eastAsia="zh-CN"/>
              </w:rPr>
              <w:t xml:space="preserve"> this is our understanding and the clarification could help consistent understanding between the UE and the NW.</w:t>
            </w:r>
          </w:p>
        </w:tc>
      </w:tr>
      <w:tr w:rsidR="00D04D6E" w14:paraId="1883D0A4" w14:textId="77777777">
        <w:tc>
          <w:tcPr>
            <w:tcW w:w="2122" w:type="dxa"/>
          </w:tcPr>
          <w:p w14:paraId="1A752A4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1BE34F8B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 w14:paraId="7A6F3CFE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04D6E" w14:paraId="59F7C833" w14:textId="77777777">
        <w:tc>
          <w:tcPr>
            <w:tcW w:w="2122" w:type="dxa"/>
          </w:tcPr>
          <w:p w14:paraId="13E7DA81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40B63FCF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2ABAC3D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For LTE, the current solution needs this clarification for common understanding between the UE and the network.</w:t>
            </w:r>
          </w:p>
        </w:tc>
      </w:tr>
      <w:tr w:rsidR="00D04D6E" w14:paraId="49233604" w14:textId="77777777">
        <w:tc>
          <w:tcPr>
            <w:tcW w:w="2122" w:type="dxa"/>
          </w:tcPr>
          <w:p w14:paraId="11C8361B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8D05AA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Agree</w:t>
            </w:r>
          </w:p>
        </w:tc>
        <w:tc>
          <w:tcPr>
            <w:tcW w:w="5950" w:type="dxa"/>
          </w:tcPr>
          <w:p w14:paraId="7C32EFB7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Yes, we think this clarification is needed.</w:t>
            </w:r>
          </w:p>
        </w:tc>
      </w:tr>
      <w:tr w:rsidR="00D04D6E" w14:paraId="69A6CF5F" w14:textId="77777777">
        <w:tc>
          <w:tcPr>
            <w:tcW w:w="2122" w:type="dxa"/>
          </w:tcPr>
          <w:p w14:paraId="66DC1F14" w14:textId="06ADB55E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25A12420" w14:textId="10F4DED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1F39BA5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0206E" w14:paraId="11421884" w14:textId="77777777">
        <w:tc>
          <w:tcPr>
            <w:tcW w:w="2122" w:type="dxa"/>
          </w:tcPr>
          <w:p w14:paraId="184A3DA0" w14:textId="0775ED18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bookmarkStart w:id="4" w:name="_GoBack"/>
            <w:bookmarkEnd w:id="4"/>
            <w:r w:rsidRPr="00BE2CA1">
              <w:t>Ericsson</w:t>
            </w:r>
          </w:p>
        </w:tc>
        <w:tc>
          <w:tcPr>
            <w:tcW w:w="1559" w:type="dxa"/>
          </w:tcPr>
          <w:p w14:paraId="732AE270" w14:textId="1CA0E0C4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Agree</w:t>
            </w:r>
          </w:p>
        </w:tc>
        <w:tc>
          <w:tcPr>
            <w:tcW w:w="5950" w:type="dxa"/>
          </w:tcPr>
          <w:p w14:paraId="4F3DCF2F" w14:textId="19CAF7DE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We think the clarification is beneficial</w:t>
            </w:r>
          </w:p>
        </w:tc>
      </w:tr>
    </w:tbl>
    <w:p w14:paraId="3F6E65D3" w14:textId="77777777" w:rsidR="00D04D6E" w:rsidRDefault="00D04D6E">
      <w:pPr>
        <w:spacing w:beforeLines="50" w:before="120"/>
        <w:rPr>
          <w:sz w:val="22"/>
          <w:szCs w:val="22"/>
          <w:lang w:val="en-US" w:eastAsia="zh-CN"/>
        </w:rPr>
      </w:pPr>
    </w:p>
    <w:p w14:paraId="0945223A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 (by June 10, 0700 UTC)</w:t>
      </w:r>
    </w:p>
    <w:p w14:paraId="3C3EC4FE" w14:textId="77777777" w:rsidR="00D04D6E" w:rsidRDefault="0044387D">
      <w:pPr>
        <w:rPr>
          <w:lang w:eastAsia="ja-JP"/>
        </w:rPr>
      </w:pPr>
      <w:proofErr w:type="spellStart"/>
      <w:r>
        <w:rPr>
          <w:lang w:eastAsia="ja-JP"/>
        </w:rPr>
        <w:t>Xxxxxxxxxx</w:t>
      </w:r>
      <w:proofErr w:type="spellEnd"/>
    </w:p>
    <w:p w14:paraId="4F180769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7E11764" w14:textId="77777777" w:rsidR="00D04D6E" w:rsidRDefault="0044387D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414B45C6" w14:textId="77777777" w:rsidR="00D04D6E" w:rsidRDefault="0044387D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7FC08CBA" w14:textId="77777777" w:rsidR="00D04D6E" w:rsidRDefault="0044387D">
      <w:pPr>
        <w:rPr>
          <w:rFonts w:eastAsiaTheme="minorEastAsia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[</w:t>
      </w:r>
      <w:r>
        <w:rPr>
          <w:rFonts w:eastAsiaTheme="minorEastAsia"/>
          <w:sz w:val="21"/>
          <w:szCs w:val="21"/>
          <w:lang w:eastAsia="ja-JP"/>
        </w:rPr>
        <w:t>1]</w:t>
      </w:r>
      <w:r>
        <w:rPr>
          <w:rFonts w:eastAsiaTheme="minorEastAsia"/>
          <w:sz w:val="21"/>
          <w:szCs w:val="21"/>
          <w:lang w:eastAsia="ja-JP"/>
        </w:rPr>
        <w:tab/>
      </w:r>
      <w:r>
        <w:rPr>
          <w:rFonts w:eastAsiaTheme="minorEastAsia"/>
          <w:sz w:val="21"/>
          <w:szCs w:val="21"/>
          <w:lang w:eastAsia="ja-JP"/>
        </w:rPr>
        <w:tab/>
      </w:r>
    </w:p>
    <w:p w14:paraId="18E3A692" w14:textId="77777777" w:rsidR="00D04D6E" w:rsidRDefault="00D04D6E">
      <w:pPr>
        <w:rPr>
          <w:rFonts w:eastAsiaTheme="minorEastAsia"/>
          <w:sz w:val="21"/>
          <w:szCs w:val="21"/>
          <w:lang w:eastAsia="ja-JP"/>
        </w:rPr>
      </w:pPr>
    </w:p>
    <w:sectPr w:rsidR="00D04D6E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8DA4" w14:textId="77777777" w:rsidR="0071284F" w:rsidRDefault="0071284F">
      <w:pPr>
        <w:spacing w:after="0"/>
      </w:pPr>
      <w:r>
        <w:separator/>
      </w:r>
    </w:p>
  </w:endnote>
  <w:endnote w:type="continuationSeparator" w:id="0">
    <w:p w14:paraId="2AF7F285" w14:textId="77777777" w:rsidR="0071284F" w:rsidRDefault="00712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BFFB" w14:textId="77777777" w:rsidR="00D04D6E" w:rsidRDefault="004438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BDCD" w14:textId="77777777" w:rsidR="0071284F" w:rsidRDefault="0071284F">
      <w:pPr>
        <w:spacing w:after="0"/>
      </w:pPr>
      <w:r>
        <w:separator/>
      </w:r>
    </w:p>
  </w:footnote>
  <w:footnote w:type="continuationSeparator" w:id="0">
    <w:p w14:paraId="0CE89F0C" w14:textId="77777777" w:rsidR="0071284F" w:rsidRDefault="007128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06E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40C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0EB1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D26"/>
    <w:rsid w:val="002D1D19"/>
    <w:rsid w:val="002D2561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B27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C72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387D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88A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302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7B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84F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2D8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A82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26E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8E7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1E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5CC3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4D6E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221E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1350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54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DBD3A01"/>
    <w:rsid w:val="682E2B39"/>
    <w:rsid w:val="6BB17193"/>
    <w:rsid w:val="762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E8CFB5"/>
  <w15:docId w15:val="{FD461759-E0EB-A344-AB17-4EDBB5C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0">
    <w:name w:val="未处理的提及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10-e/Docs/R2-2005580.zip" TargetMode="External"/><Relationship Id="rId18" Type="http://schemas.openxmlformats.org/officeDocument/2006/relationships/hyperlink" Target="http://www.3gpp.org/ftp/tsg_ran/WG2_RL2/TSGR2_110-e/Docs/R2-2005580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10-e/Docs/R2-200536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10-e/Docs/R2-2005579.zip" TargetMode="External"/><Relationship Id="rId17" Type="http://schemas.openxmlformats.org/officeDocument/2006/relationships/hyperlink" Target="http://www.3gpp.org/ftp/tsg_ran/WG2_RL2/TSGR2_110-e/Docs/R2-2005579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0-e/Docs/R2-2004971.zip" TargetMode="External"/><Relationship Id="rId20" Type="http://schemas.openxmlformats.org/officeDocument/2006/relationships/hyperlink" Target="http://www.3gpp.org/ftp/tsg_ran/WG2_RL2/TSGR2_110-e/Docs/R2-2004435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10-e/Docs/R2-2005361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10-e/Docs/R2-2005360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ran/WG2_RL2/TSGR2_110-e/Docs/R2-2005360.zip" TargetMode="External"/><Relationship Id="rId19" Type="http://schemas.openxmlformats.org/officeDocument/2006/relationships/hyperlink" Target="http://www.3gpp.org/ftp/tsg_ran/WG2_RL2/TSGR2_110-e/Docs/R2-2004971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10-e/Docs/R2-2004435.zip" TargetMode="External"/><Relationship Id="rId14" Type="http://schemas.openxmlformats.org/officeDocument/2006/relationships/hyperlink" Target="http://www.3gpp.org/ftp/tsg_ran/WG2_RL2/TSGR2_110-e/Docs/R2-2004434.zip" TargetMode="External"/><Relationship Id="rId22" Type="http://schemas.openxmlformats.org/officeDocument/2006/relationships/hyperlink" Target="http://www.3gpp.org/ftp/tsg_ran/WG2_RL2/TSGR2_110-e/Docs/R2-200536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76B9-695D-40A1-BE01-C2E7938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Ericsson</cp:lastModifiedBy>
  <cp:revision>2</cp:revision>
  <cp:lastPrinted>2009-04-22T00:01:00Z</cp:lastPrinted>
  <dcterms:created xsi:type="dcterms:W3CDTF">2020-06-03T18:19:00Z</dcterms:created>
  <dcterms:modified xsi:type="dcterms:W3CDTF">2020-06-03T18:19:00Z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  <property fmtid="{D5CDD505-2E9C-101B-9397-08002B2CF9AE}" pid="15" name="KSOProductBuildVer">
    <vt:lpwstr>2052-11.8.2.8696</vt:lpwstr>
  </property>
</Properties>
</file>