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576EBC"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creates interoperability for Rel-16 UE operating under Rel-15 eNB.</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w:t>
              </w:r>
            </w:ins>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838"/>
        <w:gridCol w:w="7796"/>
      </w:tblGrid>
      <w:tr w:rsidR="00EF170A" w14:paraId="6C696271" w14:textId="77777777" w:rsidTr="00EF170A">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EF170A">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EF170A">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ListParagraph"/>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rlc-outoforderdelivery is configured for associated RLC). </w:t>
              </w:r>
            </w:ins>
          </w:p>
          <w:p w14:paraId="03BEFEEF" w14:textId="44CBA437" w:rsidR="00107C96" w:rsidRDefault="00107C96" w:rsidP="00B2535B">
            <w:pPr>
              <w:pStyle w:val="ListParagraph"/>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Cond SetupS</w:t>
              </w:r>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ins w:id="185" w:author="QC (Umesh)" w:date="2020-04-21T18:44:00Z">
              <w:r w:rsidRPr="00107C96">
                <w:rPr>
                  <w:i/>
                  <w:iCs/>
                  <w:lang w:eastAsia="ko-KR"/>
                </w:rPr>
                <w:t>rlc-OutofOrderDelivery</w:t>
              </w:r>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bookmarkStart w:id="199" w:name="_GoBack"/>
        <w:bookmarkEnd w:id="199"/>
      </w:tr>
      <w:tr w:rsidR="00EF170A" w14:paraId="22A8F32D" w14:textId="77777777" w:rsidTr="00EF170A">
        <w:tc>
          <w:tcPr>
            <w:tcW w:w="1838" w:type="dxa"/>
          </w:tcPr>
          <w:p w14:paraId="1834AAB7" w14:textId="7F8563C8" w:rsidR="00EF170A" w:rsidRDefault="00EF170A" w:rsidP="005F5DB8"/>
        </w:tc>
        <w:tc>
          <w:tcPr>
            <w:tcW w:w="7796" w:type="dxa"/>
          </w:tcPr>
          <w:p w14:paraId="25D2CA55" w14:textId="77777777" w:rsidR="00EF170A" w:rsidRDefault="00EF170A" w:rsidP="005F5DB8">
            <w:pPr>
              <w:rPr>
                <w:rFonts w:eastAsia="SimSun"/>
                <w:noProof/>
              </w:rPr>
            </w:pPr>
          </w:p>
        </w:tc>
      </w:tr>
    </w:tbl>
    <w:p w14:paraId="0F5BAF3A" w14:textId="41B3399A"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ins w:id="200" w:author="QC (Umesh)" w:date="2020-04-20T12:36:00Z">
              <w:r>
                <w:t>Qualcomm</w:t>
              </w:r>
            </w:ins>
          </w:p>
        </w:tc>
        <w:tc>
          <w:tcPr>
            <w:tcW w:w="7796" w:type="dxa"/>
          </w:tcPr>
          <w:p w14:paraId="5775499E" w14:textId="4BC2A528" w:rsidR="00CD04AA" w:rsidRPr="00CD04AA" w:rsidRDefault="00CD04AA" w:rsidP="00CD04AA">
            <w:pPr>
              <w:spacing w:afterLines="50" w:after="120"/>
              <w:jc w:val="both"/>
              <w:rPr>
                <w:ins w:id="201" w:author="QC (Umesh)" w:date="2020-04-20T12:42:00Z"/>
                <w:rFonts w:ascii="Arial" w:eastAsia="Yu Mincho" w:hAnsi="Arial" w:cs="Arial"/>
                <w:bCs/>
                <w:iCs/>
                <w:lang w:val="en-US" w:eastAsia="ja-JP"/>
              </w:rPr>
            </w:pPr>
            <w:ins w:id="202" w:author="QC (Umesh)" w:date="2020-04-20T12:36:00Z">
              <w:r>
                <w:t xml:space="preserve">The capabilities are still under discussion in RAN1. Specifically for DL MIMO enh, </w:t>
              </w:r>
            </w:ins>
            <w:ins w:id="203" w:author="QC (Umesh)" w:date="2020-04-20T12:41:00Z">
              <w:r>
                <w:t>the LS from RAN1 has this extra statement</w:t>
              </w:r>
            </w:ins>
            <w:ins w:id="204" w:author="QC (Umesh)" w:date="2020-04-20T12:43:00Z">
              <w:r>
                <w:t xml:space="preserve"> (highlighting added)</w:t>
              </w:r>
            </w:ins>
            <w:ins w:id="205" w:author="QC (Umesh)" w:date="2020-04-20T12:41:00Z">
              <w:r>
                <w:t xml:space="preserve"> </w:t>
              </w:r>
            </w:ins>
          </w:p>
          <w:p w14:paraId="69A78B75" w14:textId="0546D2BD" w:rsidR="00CD04AA" w:rsidRDefault="00CD04AA" w:rsidP="00CD04AA">
            <w:pPr>
              <w:pStyle w:val="ListParagraph"/>
              <w:numPr>
                <w:ilvl w:val="0"/>
                <w:numId w:val="14"/>
              </w:numPr>
              <w:spacing w:afterLines="50" w:after="120"/>
              <w:contextualSpacing w:val="0"/>
              <w:jc w:val="both"/>
              <w:rPr>
                <w:ins w:id="206" w:author="QC (Umesh)" w:date="2020-04-20T12:42:00Z"/>
                <w:rFonts w:ascii="Arial" w:eastAsia="Yu Mincho" w:hAnsi="Arial" w:cs="Arial"/>
                <w:bCs/>
                <w:iCs/>
                <w:lang w:val="en-US" w:eastAsia="ja-JP"/>
              </w:rPr>
            </w:pPr>
            <w:ins w:id="207"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208"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209" w:author="Lenovo" w:date="2020-04-21T21:24:00Z">
              <w:r>
                <w:t>Lenovo</w:t>
              </w:r>
            </w:ins>
          </w:p>
        </w:tc>
        <w:tc>
          <w:tcPr>
            <w:tcW w:w="7796" w:type="dxa"/>
          </w:tcPr>
          <w:p w14:paraId="1B3A5EA7" w14:textId="77777777" w:rsidR="00CE167B" w:rsidRDefault="00CE167B" w:rsidP="00CE167B">
            <w:pPr>
              <w:rPr>
                <w:ins w:id="210" w:author="Lenovo" w:date="2020-04-21T21:24:00Z"/>
              </w:rPr>
            </w:pPr>
            <w:ins w:id="211"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ListParagraph"/>
              <w:numPr>
                <w:ilvl w:val="0"/>
                <w:numId w:val="16"/>
              </w:numPr>
              <w:rPr>
                <w:ins w:id="212" w:author="Lenovo" w:date="2020-04-21T21:24:00Z"/>
              </w:rPr>
            </w:pPr>
            <w:ins w:id="213"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ListParagraph"/>
              <w:numPr>
                <w:ilvl w:val="0"/>
                <w:numId w:val="16"/>
              </w:numPr>
            </w:pPr>
            <w:ins w:id="214" w:author="Lenovo" w:date="2020-04-21T21:24:00Z">
              <w:r>
                <w:t xml:space="preserve">Furthermore, </w:t>
              </w:r>
            </w:ins>
            <w:ins w:id="215" w:author="Lenovo" w:date="2020-04-21T21:25:00Z">
              <w:r w:rsidR="00CD1C7B">
                <w:t>each</w:t>
              </w:r>
            </w:ins>
            <w:ins w:id="216" w:author="Lenovo" w:date="2020-04-21T21:24:00Z">
              <w:r>
                <w:t xml:space="preserve"> “addSRS” capabilit</w:t>
              </w:r>
            </w:ins>
            <w:ins w:id="217" w:author="Lenovo" w:date="2020-04-21T21:25:00Z">
              <w:r w:rsidR="00CD1C7B">
                <w:t>y</w:t>
              </w:r>
            </w:ins>
            <w:ins w:id="218" w:author="Lenovo" w:date="2020-04-21T21:24:00Z">
              <w:r>
                <w:t xml:space="preserve"> </w:t>
              </w:r>
            </w:ins>
            <w:ins w:id="219" w:author="Lenovo" w:date="2020-04-21T21:25:00Z">
              <w:r w:rsidR="00CD1C7B">
                <w:t>is</w:t>
              </w:r>
            </w:ins>
            <w:ins w:id="220"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221" w:author="QC (Umesh)" w:date="2020-04-20T12:44:00Z">
              <w:r>
                <w:t>Qualcomm</w:t>
              </w:r>
            </w:ins>
          </w:p>
        </w:tc>
        <w:tc>
          <w:tcPr>
            <w:tcW w:w="7796" w:type="dxa"/>
          </w:tcPr>
          <w:p w14:paraId="42718E03" w14:textId="0FC34011" w:rsidR="00423C28" w:rsidRDefault="00423C28" w:rsidP="00423C28">
            <w:pPr>
              <w:rPr>
                <w:ins w:id="222" w:author="QC (Umesh)" w:date="2020-04-20T13:17:00Z"/>
              </w:rPr>
            </w:pPr>
            <w:ins w:id="223" w:author="QC (Umesh)" w:date="2020-04-20T13:17:00Z">
              <w:r>
                <w:t xml:space="preserve">In our understanding, proposals in 3a) and 3b) are not the same. </w:t>
              </w:r>
            </w:ins>
          </w:p>
          <w:p w14:paraId="5F3C670A" w14:textId="7316E567" w:rsidR="00423C28" w:rsidRDefault="00423C28" w:rsidP="00423C28">
            <w:pPr>
              <w:rPr>
                <w:ins w:id="224" w:author="QC (Umesh)" w:date="2020-04-20T13:17:00Z"/>
              </w:rPr>
            </w:pPr>
            <w:ins w:id="225"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226" w:author="QC (Umesh)" w:date="2020-04-20T13:17:00Z"/>
              </w:rPr>
            </w:pPr>
            <w:ins w:id="227"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228" w:author="QC (Umesh)" w:date="2020-04-20T13:17:00Z"/>
              </w:rPr>
            </w:pPr>
            <w:ins w:id="229" w:author="QC (Umesh)" w:date="2020-04-20T13:17:00Z">
              <w:r>
                <w:t xml:space="preserve">If 3b) is not agreed, then 7 out of 13 3ms-MBMS slots cannot be used to schedule MTCH. This is huge performance degradation for subcarrier spacing of 0.37kHz </w:t>
              </w:r>
            </w:ins>
            <w:ins w:id="230" w:author="QC (Umesh)" w:date="2020-04-20T13:18:00Z">
              <w:r>
                <w:t>t</w:t>
              </w:r>
            </w:ins>
            <w:ins w:id="231" w:author="QC (Umesh)" w:date="2020-04-20T13:17:00Z">
              <w:r>
                <w:t xml:space="preserve">o schedule MTCH in all 13 3ms-MBMS slots, new signalling is needed (i.e., to schedule MTCH in subframe #0 and #5 in dedicated MBMS). The reason we need new signalling is </w:t>
              </w:r>
            </w:ins>
            <w:ins w:id="232" w:author="QC (Umesh)" w:date="2020-04-20T13:19:00Z">
              <w:r>
                <w:t>as follows:</w:t>
              </w:r>
            </w:ins>
          </w:p>
          <w:p w14:paraId="4DAE9DE1" w14:textId="02D50F38" w:rsidR="00423C28" w:rsidRDefault="00423C28" w:rsidP="00423C28">
            <w:pPr>
              <w:pStyle w:val="ListParagraph"/>
              <w:numPr>
                <w:ilvl w:val="0"/>
                <w:numId w:val="15"/>
              </w:numPr>
              <w:rPr>
                <w:ins w:id="233" w:author="QC (Umesh)" w:date="2020-04-20T13:17:00Z"/>
              </w:rPr>
            </w:pPr>
            <w:ins w:id="234" w:author="QC (Umesh)" w:date="2020-04-20T13:19:00Z">
              <w:r>
                <w:t>Currently, t</w:t>
              </w:r>
            </w:ins>
            <w:ins w:id="235" w:author="QC (Umesh)" w:date="2020-04-20T13:17:00Z">
              <w:r>
                <w:t>here is no signalling to schedule MTCH in #0 and #5.</w:t>
              </w:r>
            </w:ins>
          </w:p>
          <w:p w14:paraId="3EEBA6F1" w14:textId="5F205460" w:rsidR="00423C28" w:rsidRDefault="00423C28" w:rsidP="00423C28">
            <w:pPr>
              <w:pStyle w:val="ListParagraph"/>
              <w:numPr>
                <w:ilvl w:val="0"/>
                <w:numId w:val="15"/>
              </w:numPr>
              <w:rPr>
                <w:ins w:id="236" w:author="QC (Umesh)" w:date="2020-04-20T13:17:00Z"/>
              </w:rPr>
            </w:pPr>
            <w:ins w:id="237" w:author="QC (Umesh)" w:date="2020-04-20T13:17:00Z">
              <w:r>
                <w:t>RAN2 already agreed that if any subframe in 3ms-MBMS slot is non-MBSFN subframe, then whole 3ms-MBMS slot is not valid and cannot be used. So</w:t>
              </w:r>
            </w:ins>
            <w:ins w:id="238" w:author="QC (Umesh)" w:date="2020-04-20T13:19:00Z">
              <w:r>
                <w:t>,</w:t>
              </w:r>
            </w:ins>
            <w:ins w:id="239" w:author="QC (Umesh)" w:date="2020-04-20T13:17:00Z">
              <w:r>
                <w:t xml:space="preserve"> any MBMS slot including subframe #0 and #5 in dedicated MBMS cell are wasted in the configured MBMS area. Each MBMS area needs to configure separately MBSF</w:t>
              </w:r>
            </w:ins>
            <w:ins w:id="240" w:author="QC (Umesh)" w:date="2020-04-20T13:19:00Z">
              <w:r>
                <w:t>N</w:t>
              </w:r>
            </w:ins>
            <w:ins w:id="241" w:author="QC (Umesh)" w:date="2020-04-20T13:17:00Z">
              <w:r>
                <w:t xml:space="preserve"> bitmap including #0 and #5.</w:t>
              </w:r>
            </w:ins>
          </w:p>
          <w:p w14:paraId="5B2582EC" w14:textId="2E385AF7" w:rsidR="00423C28" w:rsidRDefault="00423C28" w:rsidP="00423C28">
            <w:ins w:id="242" w:author="QC (Umesh)" w:date="2020-04-20T13:17:00Z">
              <w:r>
                <w:t xml:space="preserve">Therefore, we think both </w:t>
              </w:r>
            </w:ins>
            <w:ins w:id="243" w:author="QC (Umesh)" w:date="2020-04-20T13:19:00Z">
              <w:r>
                <w:t xml:space="preserve">sets of proposals </w:t>
              </w:r>
            </w:ins>
            <w:ins w:id="244" w:author="QC (Umesh)" w:date="2020-04-20T13:20:00Z">
              <w:r>
                <w:t xml:space="preserve">/ </w:t>
              </w:r>
            </w:ins>
            <w:ins w:id="245" w:author="QC (Umesh)" w:date="2020-04-20T13:17:00Z">
              <w:r>
                <w:t>CRs are needed.</w:t>
              </w:r>
            </w:ins>
            <w:ins w:id="246" w:author="QC (Umesh)" w:date="2020-04-20T13:20:00Z">
              <w:r>
                <w:t xml:space="preserve"> </w:t>
              </w:r>
            </w:ins>
            <w:ins w:id="247" w:author="QC (Umesh)" w:date="2020-04-20T13:21:00Z">
              <w:r>
                <w:t>After</w:t>
              </w:r>
            </w:ins>
            <w:ins w:id="248"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8" w:history="1">
        <w:r>
          <w:rPr>
            <w:rStyle w:val="Hyperlink"/>
          </w:rPr>
          <w:t>R2-2003545</w:t>
        </w:r>
      </w:hyperlink>
      <w:r>
        <w:t>) or addition of new signalling (</w:t>
      </w:r>
      <w:hyperlink r:id="rId49" w:history="1">
        <w:r>
          <w:rPr>
            <w:rStyle w:val="Hyperlink"/>
          </w:rPr>
          <w:t>R2-2003364</w:t>
        </w:r>
      </w:hyperlink>
      <w:r>
        <w:t>).</w:t>
      </w:r>
    </w:p>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17E5" w14:textId="77777777" w:rsidR="00576EBC" w:rsidRDefault="00576EBC">
      <w:r>
        <w:separator/>
      </w:r>
    </w:p>
  </w:endnote>
  <w:endnote w:type="continuationSeparator" w:id="0">
    <w:p w14:paraId="77CA9E40" w14:textId="77777777" w:rsidR="00576EBC" w:rsidRDefault="00576EBC">
      <w:r>
        <w:continuationSeparator/>
      </w:r>
    </w:p>
  </w:endnote>
  <w:endnote w:type="continuationNotice" w:id="1">
    <w:p w14:paraId="55142A78" w14:textId="77777777" w:rsidR="00576EBC" w:rsidRDefault="00576E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9F66" w14:textId="77777777" w:rsidR="00576EBC" w:rsidRDefault="00576EBC">
      <w:r>
        <w:separator/>
      </w:r>
    </w:p>
  </w:footnote>
  <w:footnote w:type="continuationSeparator" w:id="0">
    <w:p w14:paraId="65F55D5C" w14:textId="77777777" w:rsidR="00576EBC" w:rsidRDefault="00576EBC">
      <w:r>
        <w:continuationSeparator/>
      </w:r>
    </w:p>
  </w:footnote>
  <w:footnote w:type="continuationNotice" w:id="1">
    <w:p w14:paraId="03164089" w14:textId="77777777" w:rsidR="00576EBC" w:rsidRDefault="00576E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592D"/>
    <w:rsid w:val="001F7831"/>
    <w:rsid w:val="00204045"/>
    <w:rsid w:val="0020712B"/>
    <w:rsid w:val="0022606D"/>
    <w:rsid w:val="00227B12"/>
    <w:rsid w:val="00231728"/>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71193"/>
    <w:rsid w:val="00383096"/>
    <w:rsid w:val="00387F4B"/>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83EAC"/>
    <w:rsid w:val="00B84DB2"/>
    <w:rsid w:val="00B8583F"/>
    <w:rsid w:val="00B93EA0"/>
    <w:rsid w:val="00BA5089"/>
    <w:rsid w:val="00BB7A70"/>
    <w:rsid w:val="00BC3555"/>
    <w:rsid w:val="00BD482B"/>
    <w:rsid w:val="00BF0CD7"/>
    <w:rsid w:val="00BF31A9"/>
    <w:rsid w:val="00C0272E"/>
    <w:rsid w:val="00C12B51"/>
    <w:rsid w:val="00C1356E"/>
    <w:rsid w:val="00C243CC"/>
    <w:rsid w:val="00C24650"/>
    <w:rsid w:val="00C25465"/>
    <w:rsid w:val="00C33079"/>
    <w:rsid w:val="00C570B1"/>
    <w:rsid w:val="00C623C4"/>
    <w:rsid w:val="00C83A13"/>
    <w:rsid w:val="00C9068C"/>
    <w:rsid w:val="00C92967"/>
    <w:rsid w:val="00CA3D0C"/>
    <w:rsid w:val="00CA5813"/>
    <w:rsid w:val="00CA654B"/>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E2ED5"/>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8CEB6ADC-AF51-487D-950F-23326C9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 Char,列出段落1 Char,中等深浅网格 1 - 着色 21 Char,列表段落 Char,¥¡¡¡¡ì¬º¥¹¥È¶ÎÂä Char,ÁÐ³ö¶ÎÂä Char,列表段落1 Char,—ño’i—Ž Char,¥ê¥¹¥È¶ÎÂä Char"/>
    <w:link w:val="ListParagraph"/>
    <w:uiPriority w:val="34"/>
    <w:qFormat/>
    <w:rsid w:val="00CD04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9" Type="http://schemas.openxmlformats.org/officeDocument/2006/relationships/hyperlink" Target="https://www.3gpp.org/ftp/TSG_RAN/WG2_RL2/TSGR2_109bis-e/Docs/R2-2003364.zip" TargetMode="Externa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yperlink" Target="https://www.3gpp.org/ftp/TSG_RAN/WG2_RL2/TSGR2_109bis-e/Docs/R2-200135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59" Type="http://schemas.openxmlformats.org/officeDocument/2006/relationships/theme" Target="theme/theme1.xml"/><Relationship Id="rId20" Type="http://schemas.openxmlformats.org/officeDocument/2006/relationships/hyperlink" Target="https://www.3gpp.org/ftp/TSG_RAN/WG2_RL2/TSGR2_109bis-e/Docs/R2-2002888.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A46B2-540D-435E-A0FF-2BE78D10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43</TotalTime>
  <Pages>1</Pages>
  <Words>2943</Words>
  <Characters>16779</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19683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cp:lastModifiedBy>
  <cp:revision>5</cp:revision>
  <dcterms:created xsi:type="dcterms:W3CDTF">2020-04-22T01:06:00Z</dcterms:created>
  <dcterms:modified xsi:type="dcterms:W3CDTF">2020-04-22T04:41:00Z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