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w:t>
      </w:r>
      <w:proofErr w:type="gramStart"/>
      <w:r>
        <w:t>105][</w:t>
      </w:r>
      <w:proofErr w:type="gramEnd"/>
      <w:r>
        <w:t>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Heading1"/>
      </w:pPr>
      <w:r>
        <w:t>2</w:t>
      </w:r>
      <w:r w:rsidR="005077CE">
        <w:tab/>
      </w:r>
      <w:r w:rsidR="001558CB">
        <w:t>Discussion</w:t>
      </w:r>
    </w:p>
    <w:p w14:paraId="257036A5" w14:textId="2007CDC3" w:rsidR="001558CB" w:rsidRDefault="001558CB" w:rsidP="001558CB">
      <w:pPr>
        <w:pStyle w:val="Heading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bookmarkStart w:id="0" w:name="_GoBack"/>
      <w:bookmarkEnd w:id="0"/>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1"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1"/>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ListParagraph"/>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ListParagraph"/>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ListParagraph"/>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w:t>
            </w:r>
            <w:proofErr w:type="gramStart"/>
            <w:r>
              <w:rPr>
                <w:rFonts w:ascii="Times New Roman" w:hAnsi="Times New Roman"/>
                <w:sz w:val="20"/>
                <w:lang w:eastAsia="zh-CN"/>
              </w:rPr>
              <w:t>operator</w:t>
            </w:r>
            <w:proofErr w:type="gramEnd"/>
            <w:r>
              <w:rPr>
                <w:rFonts w:ascii="Times New Roman" w:hAnsi="Times New Roman"/>
                <w:sz w:val="20"/>
                <w:lang w:eastAsia="zh-CN"/>
              </w:rPr>
              <w:t xml:space="preserve">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w:t>
            </w:r>
            <w:proofErr w:type="gramStart"/>
            <w:r w:rsidR="00AA678F">
              <w:rPr>
                <w:rFonts w:ascii="Times New Roman" w:hAnsi="Times New Roman"/>
                <w:sz w:val="20"/>
                <w:lang w:eastAsia="zh-CN"/>
              </w:rPr>
              <w:t>Therefore</w:t>
            </w:r>
            <w:proofErr w:type="gramEnd"/>
            <w:r w:rsidR="00AA678F">
              <w:rPr>
                <w:rFonts w:ascii="Times New Roman" w:hAnsi="Times New Roman"/>
                <w:sz w:val="20"/>
                <w:lang w:eastAsia="zh-CN"/>
              </w:rPr>
              <w:t xml:space="preserv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w:t>
            </w:r>
            <w:proofErr w:type="gramStart"/>
            <w:r w:rsidR="00B44CB2">
              <w:rPr>
                <w:rFonts w:ascii="Times New Roman" w:hAnsi="Times New Roman" w:hint="eastAsia"/>
                <w:sz w:val="20"/>
                <w:lang w:eastAsia="zh-CN"/>
              </w:rPr>
              <w:t>Therefore</w:t>
            </w:r>
            <w:proofErr w:type="gramEnd"/>
            <w:r w:rsidR="00B44CB2">
              <w:rPr>
                <w:rFonts w:ascii="Times New Roman" w:hAnsi="Times New Roman" w:hint="eastAsia"/>
                <w:sz w:val="20"/>
                <w:lang w:eastAsia="zh-CN"/>
              </w:rPr>
              <w:t xml:space="preserv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 xml:space="preserve">the correct </w:t>
            </w:r>
            <w:proofErr w:type="gramStart"/>
            <w:r w:rsidR="00952082" w:rsidRPr="00952082">
              <w:rPr>
                <w:rFonts w:ascii="Times New Roman" w:hAnsi="Times New Roman"/>
                <w:sz w:val="20"/>
                <w:lang w:eastAsia="zh-CN"/>
              </w:rPr>
              <w:t>operator</w:t>
            </w:r>
            <w:proofErr w:type="gramEnd"/>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want the frequency deployment strategy of CAG is flexible for operators, no matter licensed or unlicensed spectrum. There might be more than one CAG deployment in the same frequency within one operator. </w:t>
            </w:r>
            <w:proofErr w:type="gramStart"/>
            <w:r>
              <w:rPr>
                <w:rFonts w:ascii="Times New Roman" w:hAnsi="Times New Roman"/>
                <w:sz w:val="20"/>
                <w:lang w:eastAsia="zh-CN"/>
              </w:rPr>
              <w:t>So</w:t>
            </w:r>
            <w:proofErr w:type="gramEnd"/>
            <w:r>
              <w:rPr>
                <w:rFonts w:ascii="Times New Roman" w:hAnsi="Times New Roman"/>
                <w:sz w:val="20"/>
                <w:lang w:eastAsia="zh-CN"/>
              </w:rPr>
              <w:t xml:space="preserve">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 xml:space="preserve">We prefer option </w:t>
            </w:r>
            <w:proofErr w:type="gramStart"/>
            <w:r>
              <w:rPr>
                <w:rFonts w:ascii="Times New Roman" w:hAnsi="Times New Roman"/>
                <w:sz w:val="20"/>
                <w:lang w:eastAsia="zh-CN"/>
              </w:rPr>
              <w:t>B</w:t>
            </w:r>
            <w:proofErr w:type="gramEnd"/>
            <w:r>
              <w:rPr>
                <w:rFonts w:ascii="Times New Roman" w:hAnsi="Times New Roman"/>
                <w:sz w:val="20"/>
                <w:lang w:eastAsia="zh-CN"/>
              </w:rPr>
              <w:t xml:space="preserve">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lastRenderedPageBreak/>
        <w:t xml:space="preserve">Summary: </w:t>
      </w:r>
    </w:p>
    <w:p w14:paraId="6BD88B0F" w14:textId="77777777" w:rsidR="0095568A" w:rsidRDefault="0095568A" w:rsidP="006318AD"/>
    <w:p w14:paraId="6F7DE305" w14:textId="23EAD171" w:rsidR="001558CB" w:rsidRDefault="001558CB" w:rsidP="001558CB">
      <w:pPr>
        <w:pStyle w:val="Heading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ListParagraph"/>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ListParagraph"/>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Heading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ListParagraph"/>
        <w:numPr>
          <w:ilvl w:val="0"/>
          <w:numId w:val="17"/>
        </w:numPr>
      </w:pPr>
      <w:bookmarkStart w:id="2"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ListParagraph"/>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ListParagraph"/>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2"/>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ListParagraph"/>
        <w:numPr>
          <w:ilvl w:val="0"/>
          <w:numId w:val="29"/>
        </w:numPr>
      </w:pPr>
      <w:r w:rsidRPr="009018C2">
        <w:t>ANR reporting is important</w:t>
      </w:r>
    </w:p>
    <w:p w14:paraId="369D3441" w14:textId="77777777" w:rsidR="0095568A" w:rsidRPr="009018C2" w:rsidRDefault="0095568A" w:rsidP="0095568A">
      <w:pPr>
        <w:pStyle w:val="ListParagraph"/>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ListParagraph"/>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TableGrid"/>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 xml:space="preserve">e agree that ANR reporting is </w:t>
            </w:r>
            <w:proofErr w:type="gramStart"/>
            <w:r>
              <w:rPr>
                <w:rFonts w:ascii="Times New Roman" w:hAnsi="Times New Roman"/>
                <w:sz w:val="20"/>
                <w:lang w:eastAsia="zh-CN"/>
              </w:rPr>
              <w:t>important, but</w:t>
            </w:r>
            <w:proofErr w:type="gramEnd"/>
            <w:r>
              <w:rPr>
                <w:rFonts w:ascii="Times New Roman" w:hAnsi="Times New Roman"/>
                <w:sz w:val="20"/>
                <w:lang w:eastAsia="zh-CN"/>
              </w:rPr>
              <w:t xml:space="preserve">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Heading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TableGrid"/>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Heading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ListParagraph"/>
        <w:numPr>
          <w:ilvl w:val="0"/>
          <w:numId w:val="27"/>
        </w:numPr>
      </w:pPr>
      <w:r w:rsidRPr="00AD6B62">
        <w:rPr>
          <w:b/>
          <w:bCs/>
        </w:rPr>
        <w:lastRenderedPageBreak/>
        <w:t>Option A) Follow the NR-U behaviour:</w:t>
      </w:r>
      <w:r>
        <w:t xml:space="preserve"> </w:t>
      </w:r>
      <w:r>
        <w:br/>
        <w:t xml:space="preserve">In </w:t>
      </w:r>
      <w:commentRangeStart w:id="3"/>
      <w:r>
        <w:t xml:space="preserve">unlicensed </w:t>
      </w:r>
      <w:commentRangeEnd w:id="3"/>
      <w:r w:rsidR="00396FCC">
        <w:rPr>
          <w:rStyle w:val="CommentReference"/>
          <w:rFonts w:eastAsia="Times New Roman"/>
        </w:rPr>
        <w:commentReference w:id="3"/>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ListParagraph"/>
        <w:numPr>
          <w:ilvl w:val="0"/>
          <w:numId w:val="27"/>
        </w:numPr>
      </w:pPr>
      <w:r w:rsidRPr="00AD6B62">
        <w:rPr>
          <w:b/>
          <w:bCs/>
        </w:rPr>
        <w:t>Option B) Follow the licensed behaviour:</w:t>
      </w:r>
      <w:r>
        <w:t xml:space="preserve"> </w:t>
      </w:r>
      <w:r>
        <w:br/>
        <w:t xml:space="preserve">In </w:t>
      </w:r>
      <w:commentRangeStart w:id="4"/>
      <w:r>
        <w:t xml:space="preserve">unlicensed </w:t>
      </w:r>
      <w:commentRangeEnd w:id="4"/>
      <w:r w:rsidR="00396FCC">
        <w:rPr>
          <w:rStyle w:val="CommentReference"/>
          <w:rFonts w:eastAsia="Times New Roman"/>
        </w:rPr>
        <w:commentReference w:id="4"/>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ListParagraph"/>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TableGrid"/>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xml:space="preserve">, it is quite easy to connect to second-strongest cell without causing interference to the strongest cell, while situation may be different in sub-6. </w:t>
            </w:r>
            <w:proofErr w:type="gramStart"/>
            <w:r>
              <w:rPr>
                <w:rFonts w:ascii="Times New Roman" w:hAnsi="Times New Roman"/>
                <w:sz w:val="20"/>
                <w:lang w:eastAsia="zh-CN"/>
              </w:rPr>
              <w:t>So</w:t>
            </w:r>
            <w:proofErr w:type="gramEnd"/>
            <w:r>
              <w:rPr>
                <w:rFonts w:ascii="Times New Roman" w:hAnsi="Times New Roman"/>
                <w:sz w:val="20"/>
                <w:lang w:eastAsia="zh-CN"/>
              </w:rPr>
              <w:t xml:space="preserve"> operator can decide based on their band choices etc.</w:t>
            </w:r>
          </w:p>
        </w:tc>
      </w:tr>
      <w:tr w:rsidR="00C32ECF" w14:paraId="24C0E9A4" w14:textId="77777777" w:rsidTr="00E7557D">
        <w:tc>
          <w:tcPr>
            <w:tcW w:w="1227" w:type="dxa"/>
            <w:vAlign w:val="center"/>
          </w:tcPr>
          <w:p w14:paraId="7958EEBA" w14:textId="73B8BF90" w:rsidR="00C32ECF" w:rsidRDefault="00C32ECF" w:rsidP="00E7557D">
            <w:pPr>
              <w:pStyle w:val="TAC"/>
              <w:jc w:val="left"/>
              <w:rPr>
                <w:rFonts w:ascii="Times New Roman" w:hAnsi="Times New Roman"/>
                <w:sz w:val="20"/>
                <w:lang w:eastAsia="zh-CN"/>
              </w:rPr>
            </w:pPr>
          </w:p>
        </w:tc>
        <w:tc>
          <w:tcPr>
            <w:tcW w:w="1108" w:type="dxa"/>
            <w:vAlign w:val="center"/>
          </w:tcPr>
          <w:p w14:paraId="63CB5014" w14:textId="3668F62C" w:rsidR="00C32ECF" w:rsidRDefault="00C32ECF" w:rsidP="00E7557D">
            <w:pPr>
              <w:pStyle w:val="TAC"/>
              <w:jc w:val="left"/>
              <w:rPr>
                <w:rFonts w:ascii="Times New Roman" w:hAnsi="Times New Roman"/>
                <w:sz w:val="20"/>
                <w:lang w:eastAsia="zh-CN"/>
              </w:rPr>
            </w:pPr>
          </w:p>
        </w:tc>
        <w:tc>
          <w:tcPr>
            <w:tcW w:w="7290" w:type="dxa"/>
            <w:vAlign w:val="center"/>
          </w:tcPr>
          <w:p w14:paraId="2E739FA9" w14:textId="77777777" w:rsidR="00C32ECF" w:rsidRDefault="00C32ECF" w:rsidP="00E7557D">
            <w:pPr>
              <w:pStyle w:val="TAC"/>
              <w:jc w:val="left"/>
              <w:rPr>
                <w:rFonts w:ascii="Times New Roman" w:hAnsi="Times New Roman"/>
                <w:sz w:val="20"/>
                <w:lang w:eastAsia="zh-CN"/>
              </w:rPr>
            </w:pPr>
          </w:p>
        </w:tc>
      </w:tr>
      <w:tr w:rsidR="00C32ECF" w14:paraId="40B68B36" w14:textId="77777777" w:rsidTr="00E7557D">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108" w:type="dxa"/>
            <w:vAlign w:val="center"/>
          </w:tcPr>
          <w:p w14:paraId="233D119B" w14:textId="571BBE57" w:rsidR="00C32ECF" w:rsidRDefault="00C32ECF" w:rsidP="00E7557D">
            <w:pPr>
              <w:pStyle w:val="TAC"/>
              <w:jc w:val="left"/>
              <w:rPr>
                <w:rFonts w:ascii="Times New Roman" w:hAnsi="Times New Roman"/>
                <w:sz w:val="20"/>
              </w:rPr>
            </w:pPr>
          </w:p>
        </w:tc>
        <w:tc>
          <w:tcPr>
            <w:tcW w:w="729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Heading1"/>
      </w:pPr>
      <w:r>
        <w:t>3</w:t>
      </w:r>
      <w:r w:rsidR="000A102F">
        <w:tab/>
        <w:t>Conclusions</w:t>
      </w:r>
    </w:p>
    <w:p w14:paraId="7451F383" w14:textId="38128155" w:rsidR="00FB6C22" w:rsidRPr="002A14A7" w:rsidRDefault="00FB6C22" w:rsidP="00FB6C22">
      <w:pPr>
        <w:pStyle w:val="Heading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Heading2"/>
      </w:pPr>
      <w:r>
        <w:t>3.2</w:t>
      </w:r>
      <w:r>
        <w:tab/>
      </w:r>
      <w:r w:rsidRPr="002A14A7">
        <w:t>The following issues are proposed to be discussed further</w:t>
      </w:r>
    </w:p>
    <w:p w14:paraId="077A27B5" w14:textId="77777777" w:rsidR="00FB6C22" w:rsidRPr="00FB6C22" w:rsidRDefault="00FB6C22" w:rsidP="00FB6C22"/>
    <w:sectPr w:rsidR="00FB6C22" w:rsidRPr="00FB6C2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w:date="2020-04-22T21:12:00Z" w:initials="Eri">
    <w:p w14:paraId="2FF6DCBB" w14:textId="43D83FAD" w:rsidR="00396FCC" w:rsidRDefault="00396FCC">
      <w:pPr>
        <w:pStyle w:val="CommentText"/>
      </w:pPr>
      <w:r>
        <w:rPr>
          <w:rStyle w:val="CommentReference"/>
        </w:rPr>
        <w:annotationRef/>
      </w:r>
      <w:r>
        <w:t>I assume it should say “licensed”</w:t>
      </w:r>
    </w:p>
  </w:comment>
  <w:comment w:id="4" w:author="Ericsson" w:date="2020-04-22T21:12:00Z" w:initials="Eri">
    <w:p w14:paraId="5A0FAF01" w14:textId="4C54D13D" w:rsidR="00396FCC" w:rsidRDefault="00396FCC">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0F20" w14:textId="77777777" w:rsidR="000B5B53" w:rsidRDefault="000B5B53" w:rsidP="00D02A3B">
      <w:pPr>
        <w:spacing w:after="0" w:line="240" w:lineRule="auto"/>
      </w:pPr>
      <w:r>
        <w:separator/>
      </w:r>
    </w:p>
  </w:endnote>
  <w:endnote w:type="continuationSeparator" w:id="0">
    <w:p w14:paraId="4B6D97DD" w14:textId="77777777" w:rsidR="000B5B53" w:rsidRDefault="000B5B53"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CC5" w14:textId="77777777" w:rsidR="007F486F" w:rsidRDefault="007F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85E9" w14:textId="7EB4998A" w:rsidR="00361D81" w:rsidRDefault="00361D81">
    <w:pPr>
      <w:pStyle w:val="Footer"/>
    </w:pPr>
    <w:r>
      <w:rPr>
        <w:noProof/>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0094" w14:textId="77777777" w:rsidR="007F486F" w:rsidRDefault="007F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23B6" w14:textId="77777777" w:rsidR="000B5B53" w:rsidRDefault="000B5B53" w:rsidP="00D02A3B">
      <w:pPr>
        <w:spacing w:after="0" w:line="240" w:lineRule="auto"/>
      </w:pPr>
      <w:r>
        <w:separator/>
      </w:r>
    </w:p>
  </w:footnote>
  <w:footnote w:type="continuationSeparator" w:id="0">
    <w:p w14:paraId="6F669FC3" w14:textId="77777777" w:rsidR="000B5B53" w:rsidRDefault="000B5B53"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2053" w14:textId="77777777" w:rsidR="007F486F" w:rsidRDefault="007F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896" w14:textId="77777777" w:rsidR="007F486F" w:rsidRDefault="007F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90A" w14:textId="77777777" w:rsidR="007F486F" w:rsidRDefault="007F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71809F-53C4-4CEC-A200-70DCD026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Qualcomm</cp:lastModifiedBy>
  <cp:revision>3</cp:revision>
  <dcterms:created xsi:type="dcterms:W3CDTF">2020-04-22T19:18:00Z</dcterms:created>
  <dcterms:modified xsi:type="dcterms:W3CDTF">2020-04-23T01:38:00Z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1587346025</vt:lpwstr>
  </property>
  <property fmtid="{D5CDD505-2E9C-101B-9397-08002B2CF9AE}" pid="15" name="MSIP_Label_0359f705-2ba0-454b-9cfc-6ce5bcaac040_Enabled">
    <vt:lpwstr>true</vt:lpwstr>
  </property>
  <property fmtid="{D5CDD505-2E9C-101B-9397-08002B2CF9AE}" pid="16" name="MSIP_Label_0359f705-2ba0-454b-9cfc-6ce5bcaac040_SetDate">
    <vt:lpwstr>2020-04-22T08:53:25Z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34c6a653-6b33-463a-a392-000098810d77</vt:lpwstr>
  </property>
  <property fmtid="{D5CDD505-2E9C-101B-9397-08002B2CF9AE}" pid="21" name="MSIP_Label_0359f705-2ba0-454b-9cfc-6ce5bcaac040_ContentBits">
    <vt:lpwstr>2</vt:lpwstr>
  </property>
  <property fmtid="{D5CDD505-2E9C-101B-9397-08002B2CF9AE}" pid="22" name="CTPClassification">
    <vt:lpwstr>CTP_NT</vt:lpwstr>
  </property>
</Properties>
</file>