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1EBFD76" w:rsidR="00A209D6" w:rsidRPr="00F4403C" w:rsidRDefault="00A209D6" w:rsidP="00A209D6">
      <w:pPr>
        <w:pStyle w:val="a3"/>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a5"/>
            <w:bCs/>
            <w:noProof w:val="0"/>
            <w:sz w:val="24"/>
            <w:szCs w:val="24"/>
          </w:rPr>
          <w:t>R2-200xxxx</w:t>
        </w:r>
      </w:hyperlink>
    </w:p>
    <w:p w14:paraId="11776FA6" w14:textId="5C0F4C1B" w:rsidR="00A209D6" w:rsidRPr="00F4403C" w:rsidRDefault="00AB0854" w:rsidP="00A209D6">
      <w:pPr>
        <w:pStyle w:val="a3"/>
        <w:tabs>
          <w:tab w:val="right" w:pos="9639"/>
        </w:tabs>
        <w:rPr>
          <w:rFonts w:eastAsia="宋体"/>
          <w:bCs/>
          <w:sz w:val="24"/>
          <w:szCs w:val="24"/>
          <w:lang w:eastAsia="zh-CN"/>
        </w:rPr>
      </w:pPr>
      <w:r w:rsidRPr="00F4403C">
        <w:rPr>
          <w:rFonts w:eastAsia="宋体"/>
          <w:bCs/>
          <w:sz w:val="24"/>
          <w:szCs w:val="24"/>
          <w:lang w:eastAsia="zh-CN"/>
        </w:rPr>
        <w:t>Elbonia, 20 – 30 April 2020</w:t>
      </w:r>
      <w:r w:rsidR="00A209D6" w:rsidRPr="00F4403C">
        <w:rPr>
          <w:rFonts w:eastAsia="宋体"/>
          <w:noProof w:val="0"/>
          <w:sz w:val="24"/>
          <w:szCs w:val="24"/>
          <w:lang w:eastAsia="zh-CN"/>
        </w:rPr>
        <w:tab/>
      </w:r>
    </w:p>
    <w:p w14:paraId="2E02E5F5" w14:textId="77777777" w:rsidR="00A209D6" w:rsidRPr="00F4403C" w:rsidRDefault="00A209D6" w:rsidP="00A209D6">
      <w:pPr>
        <w:pStyle w:val="a3"/>
        <w:rPr>
          <w:bCs/>
          <w:noProof w:val="0"/>
          <w:sz w:val="24"/>
        </w:rPr>
      </w:pPr>
    </w:p>
    <w:p w14:paraId="403CB9C0" w14:textId="77777777" w:rsidR="00A209D6" w:rsidRPr="00F4403C" w:rsidRDefault="00A209D6" w:rsidP="00A209D6">
      <w:pPr>
        <w:pStyle w:val="a3"/>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73585B" w:rsidP="00114465">
      <w:pPr>
        <w:pStyle w:val="Doc-title"/>
      </w:pPr>
      <w:hyperlink r:id="rId14" w:history="1">
        <w:r w:rsidR="00A75E46" w:rsidRPr="00F4403C">
          <w:rPr>
            <w:rStyle w:val="a5"/>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73585B" w:rsidP="00114465">
      <w:pPr>
        <w:pStyle w:val="Doc-title"/>
      </w:pPr>
      <w:hyperlink r:id="rId15" w:history="1">
        <w:r w:rsidR="00A75E46" w:rsidRPr="00F4403C">
          <w:rPr>
            <w:rStyle w:val="a5"/>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73585B" w:rsidP="00114465">
      <w:pPr>
        <w:pStyle w:val="Doc-title"/>
      </w:pPr>
      <w:hyperlink r:id="rId16" w:history="1">
        <w:r w:rsidR="00A75E46" w:rsidRPr="00F4403C">
          <w:rPr>
            <w:rStyle w:val="a5"/>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73585B" w:rsidP="00114465">
      <w:pPr>
        <w:pStyle w:val="Doc-title"/>
      </w:pPr>
      <w:hyperlink r:id="rId17" w:history="1">
        <w:r w:rsidR="00A75E46" w:rsidRPr="00F4403C">
          <w:rPr>
            <w:rStyle w:val="a5"/>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73585B" w:rsidP="00114465">
      <w:pPr>
        <w:pStyle w:val="Doc-title"/>
      </w:pPr>
      <w:hyperlink r:id="rId18" w:history="1">
        <w:r w:rsidR="00A75E46" w:rsidRPr="00F4403C">
          <w:rPr>
            <w:rStyle w:val="a5"/>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73585B" w:rsidP="00114465">
      <w:pPr>
        <w:pStyle w:val="Doc-title"/>
      </w:pPr>
      <w:hyperlink r:id="rId19" w:history="1">
        <w:r w:rsidR="00A75E46" w:rsidRPr="00F4403C">
          <w:rPr>
            <w:rStyle w:val="a5"/>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73585B" w:rsidP="00114465">
      <w:pPr>
        <w:pStyle w:val="Doc-title"/>
      </w:pPr>
      <w:hyperlink r:id="rId20" w:history="1">
        <w:r w:rsidR="00A75E46" w:rsidRPr="00F4403C">
          <w:rPr>
            <w:rStyle w:val="a5"/>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73585B" w:rsidP="00114465">
      <w:pPr>
        <w:pStyle w:val="Doc-title"/>
      </w:pPr>
      <w:hyperlink r:id="rId21" w:history="1">
        <w:r w:rsidR="00A75E46" w:rsidRPr="00F4403C">
          <w:rPr>
            <w:rStyle w:val="a5"/>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1"/>
      </w:pPr>
      <w:r w:rsidRPr="00F4403C">
        <w:t>2</w:t>
      </w:r>
      <w:r w:rsidR="00A209D6" w:rsidRPr="00F4403C">
        <w:tab/>
      </w:r>
      <w:r w:rsidR="00114465" w:rsidRPr="00F4403C">
        <w:t>Summary of MPE contributions</w:t>
      </w:r>
    </w:p>
    <w:p w14:paraId="35E0CE77" w14:textId="6EACF890" w:rsidR="00A6189B" w:rsidRPr="00F4403C" w:rsidRDefault="00A6189B" w:rsidP="00A6189B">
      <w:pPr>
        <w:pStyle w:val="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ac"/>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a5"/>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a5"/>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a8"/>
              <w:numPr>
                <w:ilvl w:val="0"/>
                <w:numId w:val="15"/>
              </w:numPr>
            </w:pPr>
            <w:r w:rsidRPr="00F4403C">
              <w:t xml:space="preserve">Event-triggered reporting of FR2 P-MPR level via the MAC CE </w:t>
            </w:r>
          </w:p>
          <w:p w14:paraId="66C85B63" w14:textId="2B1AFCC4" w:rsidR="00A75E46" w:rsidRPr="00F4403C" w:rsidRDefault="00A75E46" w:rsidP="00A75E46">
            <w:pPr>
              <w:pStyle w:val="a8"/>
              <w:numPr>
                <w:ilvl w:val="0"/>
                <w:numId w:val="15"/>
              </w:numPr>
            </w:pPr>
            <w:r w:rsidRPr="00F4403C">
              <w:t>Network-configurable prohibit timer for the MAC CE</w:t>
            </w:r>
          </w:p>
          <w:p w14:paraId="3263AD11" w14:textId="77777777" w:rsidR="00A75E46" w:rsidRPr="00F4403C" w:rsidRDefault="00A75E46" w:rsidP="005F5DB8">
            <w:pPr>
              <w:pStyle w:val="a8"/>
              <w:numPr>
                <w:ilvl w:val="0"/>
                <w:numId w:val="15"/>
              </w:numPr>
            </w:pPr>
            <w:r w:rsidRPr="00F4403C">
              <w:t>P-MPR reporting range to be confirmed by RAN4 later on</w:t>
            </w:r>
          </w:p>
          <w:p w14:paraId="6E0157B5" w14:textId="08AB527A" w:rsidR="00104311" w:rsidRPr="00F4403C" w:rsidRDefault="00104311" w:rsidP="005F5DB8">
            <w:pPr>
              <w:pStyle w:val="a8"/>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73585B" w:rsidP="00114465">
      <w:pPr>
        <w:pStyle w:val="Doc-title"/>
      </w:pPr>
      <w:hyperlink r:id="rId24" w:history="1">
        <w:r w:rsidR="00A75E46" w:rsidRPr="00F4403C">
          <w:rPr>
            <w:rStyle w:val="a5"/>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73585B" w:rsidP="00114465">
      <w:pPr>
        <w:pStyle w:val="Doc-title"/>
      </w:pPr>
      <w:hyperlink r:id="rId25" w:history="1">
        <w:r w:rsidR="00A75E46" w:rsidRPr="00F4403C">
          <w:rPr>
            <w:rStyle w:val="a5"/>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73585B" w:rsidP="00114465">
      <w:pPr>
        <w:pStyle w:val="Doc-title"/>
      </w:pPr>
      <w:hyperlink r:id="rId26" w:history="1">
        <w:r w:rsidR="00A75E46" w:rsidRPr="00F4403C">
          <w:rPr>
            <w:rStyle w:val="a5"/>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73585B" w:rsidP="00114465">
      <w:pPr>
        <w:pStyle w:val="Doc-title"/>
      </w:pPr>
      <w:hyperlink r:id="rId27" w:history="1">
        <w:r w:rsidR="00A75E46" w:rsidRPr="00F4403C">
          <w:rPr>
            <w:rStyle w:val="a5"/>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73585B" w:rsidP="00114465">
      <w:pPr>
        <w:pStyle w:val="Doc-title"/>
      </w:pPr>
      <w:hyperlink r:id="rId28" w:history="1">
        <w:r w:rsidR="00A75E46" w:rsidRPr="00F4403C">
          <w:rPr>
            <w:rStyle w:val="a5"/>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73585B" w:rsidP="00114465">
      <w:pPr>
        <w:pStyle w:val="Doc-title"/>
      </w:pPr>
      <w:hyperlink r:id="rId29" w:history="1">
        <w:r w:rsidR="00A75E46" w:rsidRPr="00F4403C">
          <w:rPr>
            <w:rStyle w:val="a5"/>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ac"/>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a5"/>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a5"/>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宋体"/>
                <w:noProof/>
              </w:rPr>
            </w:pPr>
            <w:r w:rsidRPr="00F4403C">
              <w:rPr>
                <w:rFonts w:eastAsia="宋体"/>
                <w:b/>
                <w:bCs/>
                <w:noProof/>
              </w:rPr>
              <w:t>Summary:</w:t>
            </w:r>
            <w:r w:rsidRPr="00F4403C">
              <w:rPr>
                <w:rFonts w:eastAsia="宋体"/>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宋体"/>
                <w:b/>
                <w:bCs/>
                <w:noProof/>
              </w:rPr>
            </w:pPr>
            <w:r w:rsidRPr="00F4403C">
              <w:rPr>
                <w:rFonts w:eastAsia="宋体"/>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a5"/>
                  <w:rFonts w:eastAsia="Calibri"/>
                </w:rPr>
                <w:t>R2-2002688</w:t>
              </w:r>
            </w:hyperlink>
            <w:r w:rsidRPr="00F4403C">
              <w:rPr>
                <w:rFonts w:eastAsia="Calibri"/>
              </w:rPr>
              <w:t xml:space="preserve"> (38.300), </w:t>
            </w:r>
            <w:hyperlink r:id="rId33" w:history="1">
              <w:r w:rsidRPr="00F4403C">
                <w:rPr>
                  <w:rStyle w:val="a5"/>
                  <w:rFonts w:eastAsia="Calibri"/>
                </w:rPr>
                <w:t>R2-2002685</w:t>
              </w:r>
            </w:hyperlink>
            <w:r w:rsidRPr="00F4403C">
              <w:rPr>
                <w:rFonts w:eastAsia="Calibri"/>
              </w:rPr>
              <w:t xml:space="preserve"> (38.331), </w:t>
            </w:r>
            <w:hyperlink r:id="rId34" w:history="1">
              <w:r w:rsidRPr="00F4403C">
                <w:rPr>
                  <w:rStyle w:val="a5"/>
                  <w:rFonts w:eastAsia="Calibri"/>
                </w:rPr>
                <w:t>R2-2002686</w:t>
              </w:r>
            </w:hyperlink>
            <w:r w:rsidRPr="00F4403C">
              <w:rPr>
                <w:rFonts w:eastAsia="Calibri"/>
              </w:rPr>
              <w:t xml:space="preserve"> (38.321) and </w:t>
            </w:r>
            <w:hyperlink r:id="rId35" w:history="1">
              <w:r w:rsidRPr="00F4403C">
                <w:rPr>
                  <w:rStyle w:val="a5"/>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宋体"/>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a5"/>
                </w:rPr>
                <w:t>R2-2002685</w:t>
              </w:r>
            </w:hyperlink>
            <w:r w:rsidRPr="00F4403C">
              <w:t xml:space="preserve">, </w:t>
            </w:r>
            <w:hyperlink r:id="rId37" w:history="1">
              <w:r w:rsidRPr="00F4403C">
                <w:rPr>
                  <w:rStyle w:val="a5"/>
                </w:rPr>
                <w:t>R2-2002686</w:t>
              </w:r>
            </w:hyperlink>
            <w:r w:rsidRPr="00F4403C">
              <w:t xml:space="preserve">, </w:t>
            </w:r>
            <w:hyperlink r:id="rId38" w:history="1">
              <w:r w:rsidRPr="00F4403C">
                <w:rPr>
                  <w:rStyle w:val="a5"/>
                </w:rPr>
                <w:t>R2-2002687</w:t>
              </w:r>
            </w:hyperlink>
            <w:r w:rsidRPr="00F4403C">
              <w:t xml:space="preserve">, </w:t>
            </w:r>
            <w:hyperlink r:id="rId39" w:history="1">
              <w:r w:rsidRPr="00F4403C">
                <w:rPr>
                  <w:rStyle w:val="a5"/>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a5"/>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a8"/>
        <w:numPr>
          <w:ilvl w:val="0"/>
          <w:numId w:val="15"/>
        </w:numPr>
      </w:pPr>
      <w:r w:rsidRPr="00F4403C">
        <w:t>Whether to create new MAC CE or reuse existing MAC CE?</w:t>
      </w:r>
    </w:p>
    <w:p w14:paraId="593F4323" w14:textId="62C8E42B" w:rsidR="003F5959" w:rsidRPr="00F4403C" w:rsidRDefault="003F5959" w:rsidP="003F5959">
      <w:pPr>
        <w:pStyle w:val="a8"/>
        <w:numPr>
          <w:ilvl w:val="0"/>
          <w:numId w:val="15"/>
        </w:numPr>
      </w:pPr>
      <w:r w:rsidRPr="00F4403C">
        <w:t>How are the conditions for triggering the MAC CE defined?</w:t>
      </w:r>
    </w:p>
    <w:p w14:paraId="347916AF" w14:textId="77777777" w:rsidR="00104311" w:rsidRPr="00F4403C" w:rsidRDefault="00104311" w:rsidP="00104311">
      <w:pPr>
        <w:pStyle w:val="a8"/>
        <w:numPr>
          <w:ilvl w:val="0"/>
          <w:numId w:val="15"/>
        </w:numPr>
      </w:pPr>
      <w:r w:rsidRPr="00F4403C">
        <w:t>How to ensure sufficiently short signalling delays for the MAC CE?</w:t>
      </w:r>
    </w:p>
    <w:p w14:paraId="088BE73E" w14:textId="4AA2722D" w:rsidR="003F5959" w:rsidRPr="00F4403C" w:rsidRDefault="003F5959" w:rsidP="003F5959">
      <w:pPr>
        <w:pStyle w:val="a8"/>
        <w:numPr>
          <w:ilvl w:val="0"/>
          <w:numId w:val="15"/>
        </w:numPr>
      </w:pPr>
      <w:r w:rsidRPr="00F4403C">
        <w:t>How is the RRC configuration for the MAC CE reporting done?</w:t>
      </w:r>
    </w:p>
    <w:p w14:paraId="55031152" w14:textId="2F87B6BD" w:rsidR="003F5959" w:rsidRPr="00F4403C" w:rsidRDefault="003F5959" w:rsidP="003F5959">
      <w:pPr>
        <w:pStyle w:val="a8"/>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ac"/>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1"/>
      </w:pPr>
      <w:r w:rsidRPr="00F4403C">
        <w:t>3</w:t>
      </w:r>
      <w:r w:rsidRPr="00F4403C">
        <w:tab/>
      </w:r>
      <w:r w:rsidR="00FF481A" w:rsidRPr="00F4403C">
        <w:t>Discussion on RAN2 questions for MPE</w:t>
      </w:r>
    </w:p>
    <w:p w14:paraId="07014E88" w14:textId="7EA16134" w:rsidR="00697CFC" w:rsidRPr="00F4403C" w:rsidRDefault="00697CFC" w:rsidP="00697CFC">
      <w:pPr>
        <w:pStyle w:val="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bookmarkStart w:id="1" w:name="_GoBack"/>
            <w:bookmarkEnd w:id="1"/>
            <w:r w:rsidR="006122DA">
              <w:t xml:space="preserve"> wait for RAN4 conclusion </w:t>
            </w:r>
            <w:r w:rsidR="008462C3">
              <w:t xml:space="preserve">then </w:t>
            </w:r>
            <w:r w:rsidR="006122DA">
              <w:t xml:space="preserve">to discuss the MAC CE design. Besides, if a new </w:t>
            </w:r>
            <w:r w:rsidR="006122DA">
              <w:t>MAC CE</w:t>
            </w:r>
            <w:r w:rsidR="006122DA">
              <w:t xml:space="preserve"> will be introduced, it is </w:t>
            </w:r>
            <w:r w:rsidR="00B50091">
              <w:t xml:space="preserve">important to clarify the relationship between PHR MAC CE and </w:t>
            </w:r>
            <w:r w:rsidR="00B50091" w:rsidRPr="006122DA">
              <w:t>P-MPR</w:t>
            </w:r>
            <w:r w:rsidR="00B50091" w:rsidRPr="006122DA">
              <w:t xml:space="preserve"> </w:t>
            </w:r>
            <w:r w:rsidR="00B50091" w:rsidRPr="006122DA">
              <w:t>MAC CE</w:t>
            </w:r>
            <w:r w:rsidR="00B50091">
              <w:t xml:space="preserve">, and how to use them </w:t>
            </w:r>
            <w:r w:rsidR="00B50091">
              <w:t>by the network</w:t>
            </w:r>
            <w:r w:rsidR="00B50091">
              <w:t xml:space="preserve"> if both MAC CEs are reported.</w:t>
            </w:r>
          </w:p>
        </w:tc>
      </w:tr>
    </w:tbl>
    <w:p w14:paraId="6932ECF3" w14:textId="76D8FA6D" w:rsidR="00EF170A" w:rsidRPr="00F4403C" w:rsidRDefault="00EF170A" w:rsidP="00EF170A">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ac"/>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lastRenderedPageBreak/>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宋体"/>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宋体"/>
                <w:noProof/>
              </w:rPr>
            </w:pPr>
            <w:r w:rsidRPr="00FF4C4B">
              <w:rPr>
                <w:rFonts w:eastAsia="宋体"/>
                <w:b/>
                <w:bCs/>
                <w:noProof/>
              </w:rPr>
              <w:t>No</w:t>
            </w:r>
            <w:r w:rsidR="00FF4C4B">
              <w:rPr>
                <w:rFonts w:eastAsia="宋体"/>
                <w:b/>
                <w:bCs/>
                <w:noProof/>
              </w:rPr>
              <w:t xml:space="preserve">: </w:t>
            </w:r>
            <w:r w:rsidR="00E841E9" w:rsidRPr="00E841E9">
              <w:rPr>
                <w:rFonts w:eastAsia="宋体"/>
                <w:noProof/>
              </w:rPr>
              <w:t>U</w:t>
            </w:r>
            <w:r>
              <w:rPr>
                <w:rFonts w:eastAsia="宋体"/>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4) A new MAC is much more easily dealt with at the network side since it can trigger disinctive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宋体" w:hint="eastAsia"/>
                <w:b/>
                <w:bCs/>
                <w:noProof/>
                <w:lang w:eastAsia="zh-CN"/>
              </w:rPr>
            </w:pPr>
            <w:r w:rsidRPr="008462C3">
              <w:t>S</w:t>
            </w:r>
            <w:r w:rsidRPr="008462C3">
              <w:rPr>
                <w:rFonts w:hint="eastAsia"/>
              </w:rPr>
              <w:t>ee</w:t>
            </w:r>
            <w:r w:rsidRPr="008462C3">
              <w:t xml:space="preserve"> our comments above.</w:t>
            </w:r>
          </w:p>
        </w:tc>
      </w:tr>
    </w:tbl>
    <w:p w14:paraId="0F5BAF3A" w14:textId="370A8551" w:rsidR="00EF170A" w:rsidRPr="00F4403C" w:rsidRDefault="00EF170A" w:rsidP="00EF170A">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2"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2"/>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lastRenderedPageBreak/>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宋体" w:hint="eastAsia"/>
                <w:lang w:eastAsia="zh-CN"/>
              </w:rPr>
            </w:pPr>
            <w:r>
              <w:rPr>
                <w:rFonts w:eastAsia="宋体"/>
                <w:lang w:eastAsia="zh-CN"/>
              </w:rPr>
              <w:lastRenderedPageBreak/>
              <w:t>Huawei</w:t>
            </w:r>
          </w:p>
        </w:tc>
        <w:tc>
          <w:tcPr>
            <w:tcW w:w="7796" w:type="dxa"/>
          </w:tcPr>
          <w:p w14:paraId="53E82D7B" w14:textId="54E9677B" w:rsidR="001E68F7" w:rsidRPr="00802C84" w:rsidRDefault="00802C84" w:rsidP="00802C84">
            <w:pPr>
              <w:rPr>
                <w:rFonts w:eastAsia="宋体" w:hint="eastAsia"/>
                <w:lang w:eastAsia="zh-CN"/>
              </w:rPr>
            </w:pPr>
            <w:r>
              <w:rPr>
                <w:rFonts w:eastAsia="宋体"/>
                <w:lang w:eastAsia="zh-CN"/>
              </w:rPr>
              <w:t xml:space="preserve">Agree with Apple that </w:t>
            </w:r>
            <w:r w:rsidRPr="00802C84">
              <w:rPr>
                <w:rFonts w:eastAsia="宋体"/>
                <w:lang w:eastAsia="zh-CN"/>
              </w:rPr>
              <w:t>the triggering conditions for P-MPR reporting is still discussed in RAN4, we’d better wait for RAN4 conclusion</w:t>
            </w:r>
            <w:r>
              <w:rPr>
                <w:rFonts w:eastAsia="宋体"/>
                <w:lang w:eastAsia="zh-CN"/>
              </w:rPr>
              <w:t>.</w:t>
            </w:r>
          </w:p>
        </w:tc>
      </w:tr>
    </w:tbl>
    <w:p w14:paraId="580EBE73" w14:textId="681D612A" w:rsidR="00FF481A" w:rsidRPr="00F4403C" w:rsidRDefault="00FF481A" w:rsidP="00FF481A">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宋体" w:hint="eastAsia"/>
                <w:lang w:eastAsia="zh-CN"/>
              </w:rPr>
            </w:pPr>
            <w:r>
              <w:rPr>
                <w:rFonts w:eastAsia="宋体"/>
                <w:lang w:eastAsia="zh-CN"/>
              </w:rPr>
              <w:t>Huawei</w:t>
            </w:r>
          </w:p>
        </w:tc>
        <w:tc>
          <w:tcPr>
            <w:tcW w:w="7796" w:type="dxa"/>
          </w:tcPr>
          <w:p w14:paraId="3AC5F312" w14:textId="537F57A5" w:rsidR="00B24F8F" w:rsidRPr="00AB294A" w:rsidRDefault="001B1144" w:rsidP="0016592F">
            <w:pPr>
              <w:rPr>
                <w:rFonts w:eastAsia="宋体" w:hint="eastAsia"/>
                <w:lang w:eastAsia="zh-CN"/>
              </w:rPr>
            </w:pPr>
            <w:r>
              <w:rPr>
                <w:rFonts w:eastAsia="宋体"/>
                <w:lang w:eastAsia="zh-CN"/>
              </w:rPr>
              <w:t>A</w:t>
            </w:r>
            <w:r w:rsidR="00AB294A">
              <w:rPr>
                <w:rFonts w:eastAsia="宋体"/>
                <w:lang w:eastAsia="zh-CN"/>
              </w:rPr>
              <w:t xml:space="preserve">s we already agreed to use MAC CE, we understand the requirement for </w:t>
            </w:r>
            <w:r w:rsidR="00AB294A" w:rsidRPr="00AB294A">
              <w:rPr>
                <w:rFonts w:eastAsia="宋体"/>
                <w:lang w:eastAsia="zh-CN"/>
              </w:rPr>
              <w:t>short signalling delays</w:t>
            </w:r>
            <w:r w:rsidR="00AB294A">
              <w:rPr>
                <w:rFonts w:eastAsia="宋体"/>
                <w:lang w:eastAsia="zh-CN"/>
              </w:rPr>
              <w:t xml:space="preserve"> can be met. </w:t>
            </w:r>
            <w:r w:rsidR="0016592F">
              <w:rPr>
                <w:rFonts w:eastAsia="宋体"/>
                <w:lang w:eastAsia="zh-CN"/>
              </w:rPr>
              <w:t>O</w:t>
            </w:r>
            <w:r w:rsidR="00AB294A">
              <w:rPr>
                <w:rFonts w:eastAsia="宋体"/>
                <w:lang w:eastAsia="zh-CN"/>
              </w:rPr>
              <w:t xml:space="preserve">ther </w:t>
            </w:r>
            <w:r w:rsidR="0016592F">
              <w:rPr>
                <w:rFonts w:eastAsia="宋体"/>
                <w:lang w:eastAsia="zh-CN"/>
              </w:rPr>
              <w:t xml:space="preserve">special handling </w:t>
            </w:r>
            <w:r w:rsidR="00AB294A">
              <w:rPr>
                <w:rFonts w:eastAsia="宋体"/>
                <w:lang w:eastAsia="zh-CN"/>
              </w:rPr>
              <w:t xml:space="preserve">is </w:t>
            </w:r>
            <w:r w:rsidR="0016592F">
              <w:rPr>
                <w:rFonts w:eastAsia="宋体"/>
                <w:lang w:eastAsia="zh-CN"/>
              </w:rPr>
              <w:t xml:space="preserve">not </w:t>
            </w:r>
            <w:r w:rsidR="00AB294A">
              <w:rPr>
                <w:rFonts w:eastAsia="宋体"/>
                <w:lang w:eastAsia="zh-CN"/>
              </w:rPr>
              <w:t>needed.</w:t>
            </w:r>
          </w:p>
        </w:tc>
      </w:tr>
    </w:tbl>
    <w:p w14:paraId="7FDDD783" w14:textId="1FC99F87" w:rsidR="00FF481A" w:rsidRPr="00F4403C" w:rsidRDefault="00FF481A" w:rsidP="00E67CCC">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lastRenderedPageBreak/>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宋体" w:hint="eastAsia"/>
                <w:lang w:eastAsia="zh-CN"/>
              </w:rPr>
            </w:pPr>
            <w:r>
              <w:rPr>
                <w:rFonts w:eastAsia="宋体"/>
                <w:lang w:eastAsia="zh-CN"/>
              </w:rPr>
              <w:t>Huawei</w:t>
            </w:r>
          </w:p>
        </w:tc>
        <w:tc>
          <w:tcPr>
            <w:tcW w:w="7796" w:type="dxa"/>
          </w:tcPr>
          <w:p w14:paraId="1F3A76D3" w14:textId="410514AD" w:rsidR="00B8420E" w:rsidRPr="00D16D33" w:rsidRDefault="00D16D33" w:rsidP="004538F3">
            <w:pPr>
              <w:rPr>
                <w:rFonts w:eastAsia="宋体" w:hint="eastAsia"/>
                <w:lang w:eastAsia="zh-CN"/>
              </w:rPr>
            </w:pPr>
            <w:r>
              <w:rPr>
                <w:rFonts w:eastAsia="宋体"/>
                <w:lang w:eastAsia="zh-CN"/>
              </w:rPr>
              <w:t xml:space="preserve">Agree with </w:t>
            </w:r>
            <w:r>
              <w:rPr>
                <w:rFonts w:eastAsiaTheme="minorEastAsia" w:hint="eastAsia"/>
                <w:lang w:eastAsia="ja-JP"/>
              </w:rPr>
              <w:t>Q</w:t>
            </w:r>
            <w:r>
              <w:rPr>
                <w:rFonts w:eastAsiaTheme="minorEastAsia"/>
                <w:lang w:eastAsia="ja-JP"/>
              </w:rPr>
              <w:t>ualcomm</w:t>
            </w:r>
            <w:r>
              <w:rPr>
                <w:rFonts w:eastAsiaTheme="minorEastAsia"/>
                <w:lang w:eastAsia="ja-JP"/>
              </w:rPr>
              <w:t xml:space="preserve">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bl>
    <w:p w14:paraId="7679E0BD" w14:textId="4EBA6219" w:rsidR="00104311" w:rsidRPr="00F4403C" w:rsidRDefault="00104311" w:rsidP="00104311">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宋体" w:hint="eastAsia"/>
                <w:lang w:eastAsia="zh-CN"/>
              </w:rPr>
            </w:pPr>
            <w:r>
              <w:rPr>
                <w:rFonts w:eastAsia="宋体"/>
                <w:lang w:eastAsia="zh-CN"/>
              </w:rPr>
              <w:t>Huawei</w:t>
            </w:r>
          </w:p>
        </w:tc>
        <w:tc>
          <w:tcPr>
            <w:tcW w:w="7796" w:type="dxa"/>
          </w:tcPr>
          <w:p w14:paraId="4B132EFF" w14:textId="5901CE73" w:rsidR="00FF481A" w:rsidRPr="002C4427" w:rsidRDefault="002C4427" w:rsidP="002C4427">
            <w:pPr>
              <w:rPr>
                <w:rFonts w:eastAsia="宋体" w:hint="eastAsia"/>
                <w:lang w:eastAsia="zh-CN"/>
              </w:rPr>
            </w:pPr>
            <w:r w:rsidRPr="002C4427">
              <w:rPr>
                <w:rFonts w:eastAsia="宋体"/>
                <w:lang w:eastAsia="zh-CN"/>
              </w:rPr>
              <w:t xml:space="preserve">In our view it is an optional </w:t>
            </w:r>
            <w:r>
              <w:rPr>
                <w:rFonts w:eastAsia="宋体"/>
                <w:lang w:eastAsia="zh-CN"/>
              </w:rPr>
              <w:t xml:space="preserve">Rel-16 </w:t>
            </w:r>
            <w:r w:rsidRPr="002C4427">
              <w:rPr>
                <w:rFonts w:eastAsia="宋体"/>
                <w:lang w:eastAsia="zh-CN"/>
              </w:rPr>
              <w:t xml:space="preserve">feature and </w:t>
            </w:r>
            <w:r>
              <w:rPr>
                <w:rFonts w:eastAsia="宋体"/>
                <w:lang w:eastAsia="zh-CN"/>
              </w:rPr>
              <w:t xml:space="preserve">we </w:t>
            </w:r>
            <w:r w:rsidRPr="002C4427">
              <w:rPr>
                <w:rFonts w:eastAsia="宋体"/>
                <w:lang w:eastAsia="zh-CN"/>
              </w:rPr>
              <w:t xml:space="preserve">agree that single per-UE capability bit </w:t>
            </w:r>
            <w:r w:rsidRPr="002C4427">
              <w:rPr>
                <w:rFonts w:eastAsia="宋体"/>
                <w:lang w:eastAsia="zh-CN"/>
              </w:rPr>
              <w:t>seems sufficient</w:t>
            </w:r>
            <w:r w:rsidRPr="002C4427">
              <w:rPr>
                <w:rFonts w:eastAsia="宋体"/>
                <w:lang w:eastAsia="zh-CN"/>
              </w:rPr>
              <w:t xml:space="preserve">. </w:t>
            </w:r>
          </w:p>
        </w:tc>
      </w:tr>
    </w:tbl>
    <w:p w14:paraId="4066B570" w14:textId="6569C1C4" w:rsidR="00FF481A" w:rsidRPr="00F4403C" w:rsidRDefault="00FF481A" w:rsidP="00E67CCC">
      <w:pPr>
        <w:pStyle w:val="ae"/>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ae"/>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a5"/>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a5"/>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a5"/>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a5"/>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a5"/>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a5"/>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a5"/>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a5"/>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814F" w14:textId="77777777" w:rsidR="0073585B" w:rsidRDefault="0073585B">
      <w:r>
        <w:separator/>
      </w:r>
    </w:p>
  </w:endnote>
  <w:endnote w:type="continuationSeparator" w:id="0">
    <w:p w14:paraId="51CBB2C9" w14:textId="77777777" w:rsidR="0073585B" w:rsidRDefault="0073585B">
      <w:r>
        <w:continuationSeparator/>
      </w:r>
    </w:p>
  </w:endnote>
  <w:endnote w:type="continuationNotice" w:id="1">
    <w:p w14:paraId="43A50716" w14:textId="77777777" w:rsidR="0073585B" w:rsidRDefault="007358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5319" w14:textId="77777777" w:rsidR="0073585B" w:rsidRDefault="0073585B">
      <w:r>
        <w:separator/>
      </w:r>
    </w:p>
  </w:footnote>
  <w:footnote w:type="continuationSeparator" w:id="0">
    <w:p w14:paraId="7626BFFC" w14:textId="77777777" w:rsidR="0073585B" w:rsidRDefault="0073585B">
      <w:r>
        <w:continuationSeparator/>
      </w:r>
    </w:p>
  </w:footnote>
  <w:footnote w:type="continuationNotice" w:id="1">
    <w:p w14:paraId="61C575EB" w14:textId="77777777" w:rsidR="0073585B" w:rsidRDefault="0073585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2C25"/>
    <w:rsid w:val="000F377D"/>
    <w:rsid w:val="000F3DFD"/>
    <w:rsid w:val="00104311"/>
    <w:rsid w:val="00112B9C"/>
    <w:rsid w:val="00112F1A"/>
    <w:rsid w:val="00114465"/>
    <w:rsid w:val="001340D1"/>
    <w:rsid w:val="00145075"/>
    <w:rsid w:val="00153C24"/>
    <w:rsid w:val="00160AEE"/>
    <w:rsid w:val="00162896"/>
    <w:rsid w:val="0016592F"/>
    <w:rsid w:val="001741A0"/>
    <w:rsid w:val="00175FA0"/>
    <w:rsid w:val="00194CD0"/>
    <w:rsid w:val="001A7133"/>
    <w:rsid w:val="001B1144"/>
    <w:rsid w:val="001B49C9"/>
    <w:rsid w:val="001C23F4"/>
    <w:rsid w:val="001C4F79"/>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50404"/>
    <w:rsid w:val="00254A7B"/>
    <w:rsid w:val="0025557A"/>
    <w:rsid w:val="002610D8"/>
    <w:rsid w:val="002747EC"/>
    <w:rsid w:val="0027528E"/>
    <w:rsid w:val="002855BF"/>
    <w:rsid w:val="002B0845"/>
    <w:rsid w:val="002B0A69"/>
    <w:rsid w:val="002C4427"/>
    <w:rsid w:val="002C70B5"/>
    <w:rsid w:val="002D5D7B"/>
    <w:rsid w:val="002F0D22"/>
    <w:rsid w:val="002F7FEA"/>
    <w:rsid w:val="00311B17"/>
    <w:rsid w:val="003172DC"/>
    <w:rsid w:val="00325AE3"/>
    <w:rsid w:val="00326069"/>
    <w:rsid w:val="00350BCF"/>
    <w:rsid w:val="0035462D"/>
    <w:rsid w:val="00356F67"/>
    <w:rsid w:val="00364B41"/>
    <w:rsid w:val="00371193"/>
    <w:rsid w:val="00383096"/>
    <w:rsid w:val="00385F6D"/>
    <w:rsid w:val="003A41EF"/>
    <w:rsid w:val="003B40AD"/>
    <w:rsid w:val="003C4E37"/>
    <w:rsid w:val="003C71DD"/>
    <w:rsid w:val="003D06FA"/>
    <w:rsid w:val="003D3AA0"/>
    <w:rsid w:val="003D5673"/>
    <w:rsid w:val="003D5E0C"/>
    <w:rsid w:val="003E16BE"/>
    <w:rsid w:val="003E2249"/>
    <w:rsid w:val="003E2BB9"/>
    <w:rsid w:val="003F4E28"/>
    <w:rsid w:val="003F5959"/>
    <w:rsid w:val="004006E8"/>
    <w:rsid w:val="00401855"/>
    <w:rsid w:val="004026E7"/>
    <w:rsid w:val="00406C19"/>
    <w:rsid w:val="00411CED"/>
    <w:rsid w:val="004361E8"/>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6C28"/>
    <w:rsid w:val="00526B82"/>
    <w:rsid w:val="00534DA0"/>
    <w:rsid w:val="00543E6C"/>
    <w:rsid w:val="00544ECB"/>
    <w:rsid w:val="00545085"/>
    <w:rsid w:val="005468EC"/>
    <w:rsid w:val="00565087"/>
    <w:rsid w:val="0056573F"/>
    <w:rsid w:val="00570AF0"/>
    <w:rsid w:val="00572BE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24452"/>
    <w:rsid w:val="00835081"/>
    <w:rsid w:val="008376B9"/>
    <w:rsid w:val="00840DE0"/>
    <w:rsid w:val="008462C3"/>
    <w:rsid w:val="0085285C"/>
    <w:rsid w:val="0086354A"/>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5B23"/>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D74A6"/>
    <w:rsid w:val="009E5B79"/>
    <w:rsid w:val="00A10F02"/>
    <w:rsid w:val="00A1367E"/>
    <w:rsid w:val="00A204CA"/>
    <w:rsid w:val="00A209D6"/>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D0C"/>
    <w:rsid w:val="00CA5813"/>
    <w:rsid w:val="00CA654B"/>
    <w:rsid w:val="00CB72B8"/>
    <w:rsid w:val="00CC59A5"/>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paragraph" w:customStyle="1" w:styleId="Doc-title">
    <w:name w:val="Doc-title"/>
    <w:basedOn w:val="a"/>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a"/>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a"/>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a"/>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19D0B0-3C97-47B3-8D5F-95045665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297</TotalTime>
  <Pages>8</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22538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31</cp:revision>
  <dcterms:created xsi:type="dcterms:W3CDTF">2020-04-22T09:05:00Z</dcterms:created>
  <dcterms:modified xsi:type="dcterms:W3CDTF">2020-04-23T11:53:00Z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ies>
</file>