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Header"/>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rsidR="00B83A08" w:rsidRDefault="00B83A08">
      <w:pPr>
        <w:pStyle w:val="Header"/>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Heading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w:t>
      </w:r>
      <w:proofErr w:type="gramStart"/>
      <w:r>
        <w:t>028][</w:t>
      </w:r>
      <w:proofErr w:type="gramEnd"/>
      <w:r>
        <w:t>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Hyperlink"/>
          </w:rPr>
          <w:t>R2-2003124</w:t>
        </w:r>
      </w:hyperlink>
      <w:r>
        <w:t xml:space="preserve">, and </w:t>
      </w:r>
      <w:hyperlink r:id="rId16" w:tooltip="D:Documents3GPPtsg_ranWG2TSGR2_109bis-eDocsR2-2002847.zip" w:history="1">
        <w:r>
          <w:rPr>
            <w:rStyle w:val="Hyperlink"/>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w:t>
      </w:r>
      <w:proofErr w:type="gramStart"/>
      <w:r>
        <w:rPr>
          <w:i/>
          <w:iCs/>
        </w:rPr>
        <w:t>50][</w:t>
      </w:r>
      <w:proofErr w:type="gramEnd"/>
      <w:r>
        <w:rPr>
          <w:i/>
          <w:iCs/>
        </w:rPr>
        <w:t>IIOT] Remaining issues intra-UE prioritization</w:t>
      </w:r>
      <w:r>
        <w:t>, which is</w:t>
      </w:r>
      <w:r>
        <w:rPr>
          <w:lang w:val="en-US"/>
        </w:rPr>
        <w:t xml:space="preserve"> R2-2003226 [1]:</w:t>
      </w:r>
    </w:p>
    <w:p w:rsidR="00B83A08" w:rsidRDefault="00EC4B2E">
      <w:pPr>
        <w:pStyle w:val="Doc-title"/>
      </w:pPr>
      <w:hyperlink r:id="rId17" w:tooltip="D:Documents3GPPtsg_ranWG2TSGR2_109bis-eDocsR2-2003226.zip" w:history="1">
        <w:r w:rsidR="00A44AA0">
          <w:rPr>
            <w:rStyle w:val="Hyperlink"/>
          </w:rPr>
          <w:t>R2-2003226</w:t>
        </w:r>
      </w:hyperlink>
      <w:r w:rsidR="00A44AA0">
        <w:tab/>
        <w:t>Summary of e-mail discussion: [Post109e#</w:t>
      </w:r>
      <w:proofErr w:type="gramStart"/>
      <w:r w:rsidR="00A44AA0">
        <w:t>50][</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Heading1"/>
        <w:rPr>
          <w:lang w:val="en-US"/>
        </w:rPr>
      </w:pPr>
      <w:r>
        <w:rPr>
          <w:lang w:val="en-US"/>
        </w:rPr>
        <w:t>2</w:t>
      </w:r>
      <w:r>
        <w:rPr>
          <w:lang w:val="en-US"/>
        </w:rPr>
        <w:tab/>
        <w:t>Discussion</w:t>
      </w:r>
    </w:p>
    <w:p w:rsidR="00B83A08" w:rsidRDefault="00A44AA0">
      <w:pPr>
        <w:pStyle w:val="Heading2"/>
        <w:rPr>
          <w:lang w:val="en-US"/>
        </w:rPr>
      </w:pPr>
      <w:r>
        <w:rPr>
          <w:lang w:val="en-US"/>
        </w:rPr>
        <w:t>2.1</w:t>
      </w:r>
      <w:r>
        <w:rPr>
          <w:lang w:val="en-US"/>
        </w:rPr>
        <w:tab/>
        <w:t>Proposal relating to Overlapping SPS prioritization</w:t>
      </w:r>
    </w:p>
    <w:p w:rsidR="00B83A08" w:rsidRDefault="00A44AA0">
      <w:pPr>
        <w:rPr>
          <w:lang w:val="en-US"/>
        </w:rPr>
      </w:pPr>
      <w:r>
        <w:rPr>
          <w:lang w:val="en-US"/>
        </w:rPr>
        <w:t xml:space="preserve">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w:t>
      </w:r>
      <w:proofErr w:type="gramStart"/>
      <w:r>
        <w:rPr>
          <w:lang w:val="en-US"/>
        </w:rPr>
        <w:t>It is clear that majority</w:t>
      </w:r>
      <w:proofErr w:type="gramEnd"/>
      <w:r>
        <w:rPr>
          <w:lang w:val="en-US"/>
        </w:rPr>
        <w:t xml:space="preserve">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SimSun"/>
                <w:lang w:val="en-US" w:eastAsia="zh-CN"/>
              </w:rPr>
            </w:pPr>
            <w:r>
              <w:rPr>
                <w:rFonts w:eastAsia="SimSun"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SimSun" w:hint="eastAsia"/>
                <w:lang w:val="en-US" w:eastAsia="zh-CN"/>
              </w:rPr>
            </w:pPr>
            <w:r>
              <w:rPr>
                <w:rFonts w:eastAsia="SimSun"/>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 xml:space="preserve">According to the discussions in [1], all companies think this is an issue that </w:t>
      </w:r>
      <w:proofErr w:type="gramStart"/>
      <w:r>
        <w:rPr>
          <w:lang w:val="en-US"/>
        </w:rPr>
        <w:t>has to</w:t>
      </w:r>
      <w:proofErr w:type="gramEnd"/>
      <w:r>
        <w:rPr>
          <w:lang w:val="en-US"/>
        </w:rPr>
        <w:t xml:space="preserve"> be resolved. Moreover, 18 out of the 20 companies think they can accept the text proposed by MAC rapporteur during [AT109e][</w:t>
      </w:r>
      <w:proofErr w:type="gramStart"/>
      <w:r>
        <w:rPr>
          <w:lang w:val="en-US"/>
        </w:rPr>
        <w:t>029][</w:t>
      </w:r>
      <w:proofErr w:type="gramEnd"/>
      <w:r>
        <w:rPr>
          <w:lang w:val="en-US"/>
        </w:rPr>
        <w:t xml:space="preserve">IIOT] to resolve this issue. The first TP in R2-2003226 [1] (for Section 5.4.2.1 of TS38.321) also captures the text proposed by the MAC rapporteur. </w:t>
      </w:r>
      <w:proofErr w:type="gramStart"/>
      <w:r>
        <w:rPr>
          <w:lang w:val="en-US"/>
        </w:rPr>
        <w:t>In light of</w:t>
      </w:r>
      <w:proofErr w:type="gramEnd"/>
      <w:r>
        <w:rPr>
          <w:lang w:val="en-US"/>
        </w:rPr>
        <w:t xml:space="preserve">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bl>
    <w:p w:rsidR="00B83A08" w:rsidRDefault="00B83A08">
      <w:pPr>
        <w:rPr>
          <w:lang w:val="en-US"/>
        </w:rPr>
      </w:pPr>
    </w:p>
    <w:p w:rsidR="00B83A08" w:rsidRDefault="00A44AA0">
      <w:pPr>
        <w:rPr>
          <w:b/>
          <w:bCs/>
          <w:lang w:val="en-US"/>
        </w:rPr>
      </w:pPr>
      <w:r>
        <w:rPr>
          <w:b/>
          <w:bCs/>
          <w:lang w:val="en-US"/>
        </w:rPr>
        <w:lastRenderedPageBreak/>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2.3</w:t>
      </w:r>
      <w:r>
        <w:rPr>
          <w:lang w:val="en-US"/>
        </w:rPr>
        <w:tab/>
        <w:t>Proposal relating to Configurability of data vs. data and SR vs. data prioritization</w:t>
      </w:r>
    </w:p>
    <w:p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 xml:space="preserve">14 companies think a single configuration for both features should be </w:t>
      </w:r>
      <w:proofErr w:type="gramStart"/>
      <w:r>
        <w:rPr>
          <w:lang w:val="en-US"/>
        </w:rPr>
        <w:t>sufficient</w:t>
      </w:r>
      <w:proofErr w:type="gramEnd"/>
      <w:r>
        <w:rPr>
          <w:lang w:val="en-US"/>
        </w:rPr>
        <w:t xml:space="preserve">, while 5 companies prefer to have separate configurations. Although there is some support for separate configuration, it seems joint configuration is a more favorable option in RAN2. </w:t>
      </w:r>
      <w:proofErr w:type="gramStart"/>
      <w:r>
        <w:rPr>
          <w:lang w:val="en-US"/>
        </w:rPr>
        <w:t>Hence</w:t>
      </w:r>
      <w:proofErr w:type="gramEnd"/>
      <w:r>
        <w:rPr>
          <w:lang w:val="en-US"/>
        </w:rPr>
        <w:t xml:space="preserv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(R2-2003226), and the proponents of unified configuration should present technical arguments.</w:t>
            </w:r>
          </w:p>
        </w:tc>
      </w:tr>
      <w:tr w:rsidR="00B83A08" w:rsidTr="00DB6ADE">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 xml:space="preserve">For this </w:t>
            </w:r>
            <w:proofErr w:type="gramStart"/>
            <w:r>
              <w:rPr>
                <w:rFonts w:eastAsia="SimSun" w:hint="eastAsia"/>
                <w:lang w:val="en-US" w:eastAsia="zh-CN"/>
              </w:rPr>
              <w:t>capability ,there</w:t>
            </w:r>
            <w:proofErr w:type="gramEnd"/>
            <w:r>
              <w:rPr>
                <w:rFonts w:eastAsia="SimSun" w:hint="eastAsia"/>
                <w:lang w:val="en-US" w:eastAsia="zh-CN"/>
              </w:rPr>
              <w:t xml:space="preserv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w:t>
            </w:r>
            <w:proofErr w:type="gramStart"/>
            <w:r>
              <w:rPr>
                <w:lang w:val="en-US"/>
              </w:rPr>
              <w:t>implementation, and</w:t>
            </w:r>
            <w:proofErr w:type="gramEnd"/>
            <w:r>
              <w:rPr>
                <w:lang w:val="en-US"/>
              </w:rPr>
              <w:t xml:space="preserve">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bl>
    <w:p w:rsidR="00B83A08" w:rsidRPr="00DB6ADE" w:rsidRDefault="00B83A08">
      <w:pPr>
        <w:rPr>
          <w:rFonts w:eastAsia="SimSun"/>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A44AA0">
      <w:pPr>
        <w:pStyle w:val="Heading2"/>
        <w:rPr>
          <w:lang w:val="en-US"/>
        </w:rPr>
      </w:pPr>
      <w:r>
        <w:rPr>
          <w:lang w:val="en-US"/>
        </w:rPr>
        <w:t>2.4</w:t>
      </w:r>
      <w:r>
        <w:rPr>
          <w:lang w:val="en-US"/>
        </w:rPr>
        <w:tab/>
        <w:t xml:space="preserve">Proposal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w:t>
      </w:r>
      <w:proofErr w:type="gramStart"/>
      <w:r>
        <w:rPr>
          <w:lang w:val="en-US"/>
        </w:rPr>
        <w:t>SR actually</w:t>
      </w:r>
      <w:proofErr w:type="gramEnd"/>
      <w:r>
        <w:rPr>
          <w:lang w:val="en-US"/>
        </w:rPr>
        <w:t xml:space="preserve">.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w:t>
      </w:r>
      <w:proofErr w:type="gramStart"/>
      <w:r>
        <w:rPr>
          <w:lang w:val="en-US"/>
        </w:rPr>
        <w:t>actually transmitted</w:t>
      </w:r>
      <w:proofErr w:type="gramEnd"/>
      <w:r>
        <w:rPr>
          <w:lang w:val="en-US"/>
        </w:rPr>
        <w:t xml:space="preserve">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w:t>
            </w:r>
            <w:proofErr w:type="gramStart"/>
            <w:r w:rsidRPr="00604115">
              <w:rPr>
                <w:lang w:eastAsia="ko-KR"/>
              </w:rPr>
              <w:t>One</w:t>
            </w:r>
            <w:proofErr w:type="gramEnd"/>
            <w:r w:rsidRPr="00604115">
              <w:rPr>
                <w:lang w:eastAsia="ko-KR"/>
              </w:rPr>
              <w:t xml:space="preserv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w:t>
      </w:r>
      <w:proofErr w:type="spellStart"/>
      <w:r>
        <w:rPr>
          <w:lang w:val="en-US"/>
        </w:rPr>
        <w:t>C</w:t>
      </w:r>
      <w:r w:rsidR="00EC4B2E">
        <w:rPr>
          <w:lang w:val="en-US"/>
        </w:rPr>
        <w:t>e</w:t>
      </w:r>
      <w:r>
        <w:rPr>
          <w:lang w:val="en-US"/>
        </w:rPr>
        <w:t>s</w:t>
      </w:r>
      <w:proofErr w:type="spellEnd"/>
      <w:r>
        <w:rPr>
          <w:lang w:val="en-US"/>
        </w:rPr>
        <w:t xml:space="preserve"> in Set2), and 1 company prefers Option 3 (i.e. Both MAC </w:t>
      </w:r>
      <w:proofErr w:type="spellStart"/>
      <w:r>
        <w:rPr>
          <w:lang w:val="en-US"/>
        </w:rPr>
        <w:t>C</w:t>
      </w:r>
      <w:r w:rsidR="00EC4B2E">
        <w:rPr>
          <w:lang w:val="en-US"/>
        </w:rPr>
        <w:t>e</w:t>
      </w:r>
      <w:r>
        <w:rPr>
          <w:lang w:val="en-US"/>
        </w:rPr>
        <w:t>s</w:t>
      </w:r>
      <w:proofErr w:type="spellEnd"/>
      <w:r>
        <w:rPr>
          <w:lang w:val="en-US"/>
        </w:rPr>
        <w:t xml:space="preserve"> in Set1). It is clear majority of companies prefer to assign </w:t>
      </w:r>
      <w:proofErr w:type="gramStart"/>
      <w:r>
        <w:rPr>
          <w:lang w:val="en-US"/>
        </w:rPr>
        <w:t>both of these</w:t>
      </w:r>
      <w:proofErr w:type="gramEnd"/>
      <w:r>
        <w:rPr>
          <w:lang w:val="en-US"/>
        </w:rPr>
        <w:t xml:space="preserve"> MAC </w:t>
      </w:r>
      <w:proofErr w:type="spellStart"/>
      <w:r>
        <w:rPr>
          <w:lang w:val="en-US"/>
        </w:rPr>
        <w:t>C</w:t>
      </w:r>
      <w:r w:rsidR="00EC4B2E">
        <w:rPr>
          <w:lang w:val="en-US"/>
        </w:rPr>
        <w:t>e</w:t>
      </w:r>
      <w:r>
        <w:rPr>
          <w:lang w:val="en-US"/>
        </w:rPr>
        <w:t>s</w:t>
      </w:r>
      <w:proofErr w:type="spellEnd"/>
      <w:r>
        <w:rPr>
          <w:lang w:val="en-US"/>
        </w:rPr>
        <w:t xml:space="preserve">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We understand the majority </w:t>
            </w:r>
            <w:proofErr w:type="gramStart"/>
            <w:r>
              <w:rPr>
                <w:lang w:val="en-US"/>
              </w:rPr>
              <w:t>view, but</w:t>
            </w:r>
            <w:proofErr w:type="gramEnd"/>
            <w:r>
              <w:rPr>
                <w:lang w:val="en-US"/>
              </w:rPr>
              <w:t xml:space="preserve">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,we</w:t>
            </w:r>
            <w:proofErr w:type="gramEnd"/>
            <w:r>
              <w:rPr>
                <w:rFonts w:eastAsia="SimSun" w:hint="eastAsia"/>
                <w:lang w:val="en-US" w:eastAsia="zh-CN"/>
              </w:rPr>
              <w:t xml:space="preserv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 xml:space="preserve">e do not think that these MAC </w:t>
            </w:r>
            <w:proofErr w:type="spellStart"/>
            <w:r>
              <w:rPr>
                <w:lang w:val="en-US" w:eastAsia="ko-KR"/>
              </w:rPr>
              <w:t>C</w:t>
            </w:r>
            <w:r w:rsidR="00EC4B2E">
              <w:rPr>
                <w:lang w:val="en-US" w:eastAsia="ko-KR"/>
              </w:rPr>
              <w:t>e</w:t>
            </w:r>
            <w:r>
              <w:rPr>
                <w:lang w:val="en-US" w:eastAsia="ko-KR"/>
              </w:rPr>
              <w:t>s</w:t>
            </w:r>
            <w:proofErr w:type="spellEnd"/>
            <w:r>
              <w:rPr>
                <w:lang w:val="en-US" w:eastAsia="ko-KR"/>
              </w:rPr>
              <w:t xml:space="preserve">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hint="eastAsia"/>
                <w:lang w:val="en-US" w:eastAsia="ko-KR"/>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“shall</w:t>
            </w:r>
            <w:proofErr w:type="gramStart"/>
            <w:r>
              <w:rPr>
                <w:lang w:val="en-US"/>
              </w:rPr>
              <w:t xml:space="preserve"> ..</w:t>
            </w:r>
            <w:proofErr w:type="gramEnd"/>
            <w:r>
              <w:rPr>
                <w:lang w:val="en-US"/>
              </w:rPr>
              <w:t xml:space="preserve"> only if”, but not okay with “shall” in the other direction. </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Partly 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Regarding</w:t>
            </w:r>
            <w:proofErr w:type="gramEnd"/>
            <w:r>
              <w:rPr>
                <w:rFonts w:eastAsia="SimSun" w:hint="eastAsia"/>
                <w:lang w:val="en-US" w:eastAsia="zh-CN"/>
              </w:rPr>
              <w:t xml:space="preserve">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there are two interpretations for this:</w:t>
            </w:r>
          </w:p>
          <w:p w:rsidR="00B83A08" w:rsidRDefault="00A44AA0">
            <w:pPr>
              <w:numPr>
                <w:ilvl w:val="0"/>
                <w:numId w:val="3"/>
              </w:numPr>
              <w:rPr>
                <w:rFonts w:eastAsia="SimSun"/>
                <w:lang w:val="en-US" w:eastAsia="zh-CN"/>
              </w:rPr>
            </w:pPr>
            <w:r>
              <w:rPr>
                <w:rFonts w:eastAsia="SimSun" w:hint="eastAsia"/>
                <w:lang w:val="en-US" w:eastAsia="zh-CN"/>
              </w:rPr>
              <w:t xml:space="preserve">Alt 1: A DCI indicates to </w:t>
            </w:r>
            <w:proofErr w:type="gramStart"/>
            <w:r>
              <w:rPr>
                <w:rFonts w:eastAsia="SimSun" w:hint="eastAsia"/>
                <w:lang w:val="en-US" w:eastAsia="zh-CN"/>
              </w:rPr>
              <w:t>activate  an</w:t>
            </w:r>
            <w:proofErr w:type="gramEnd"/>
            <w:r>
              <w:rPr>
                <w:rFonts w:eastAsia="SimSun" w:hint="eastAsia"/>
                <w:lang w:val="en-US" w:eastAsia="zh-CN"/>
              </w:rPr>
              <w:t xml:space="preserve">  </w:t>
            </w:r>
            <w:r>
              <w:rPr>
                <w:rFonts w:eastAsia="SimSun" w:hint="eastAsia"/>
                <w:highlight w:val="yellow"/>
                <w:lang w:val="en-US" w:eastAsia="zh-CN"/>
              </w:rPr>
              <w:t>activated</w:t>
            </w:r>
            <w:r>
              <w:rPr>
                <w:rFonts w:eastAsia="SimSun" w:hint="eastAsia"/>
                <w:lang w:val="en-US" w:eastAsia="zh-CN"/>
              </w:rPr>
              <w:t xml:space="preserve"> configured grant configuration. </w:t>
            </w:r>
          </w:p>
          <w:p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a </w:t>
            </w:r>
            <w:r>
              <w:rPr>
                <w:rFonts w:eastAsia="SimSun" w:hint="eastAsia"/>
                <w:highlight w:val="yellow"/>
                <w:lang w:val="en-US" w:eastAsia="zh-CN"/>
              </w:rPr>
              <w:t xml:space="preserve">deactivate </w:t>
            </w:r>
            <w:r>
              <w:rPr>
                <w:rFonts w:eastAsia="SimSun" w:hint="eastAsia"/>
                <w:lang w:val="en-US" w:eastAsia="zh-CN"/>
              </w:rPr>
              <w:t>configured grant configuration which used to be activated.</w:t>
            </w:r>
          </w:p>
          <w:p w:rsidR="00B83A08" w:rsidRDefault="00A44AA0">
            <w:pPr>
              <w:rPr>
                <w:rFonts w:eastAsia="SimSun"/>
                <w:lang w:val="en-US" w:eastAsia="zh-CN"/>
              </w:rPr>
            </w:pPr>
            <w:r>
              <w:rPr>
                <w:rFonts w:eastAsia="SimSun" w:hint="eastAsia"/>
                <w:lang w:val="en-US" w:eastAsia="zh-CN"/>
              </w:rPr>
              <w:t xml:space="preserve">For Alt.1, since the configured grant is still proceeding continuously without any </w:t>
            </w:r>
            <w:proofErr w:type="gramStart"/>
            <w:r>
              <w:rPr>
                <w:rFonts w:eastAsia="SimSun" w:hint="eastAsia"/>
                <w:lang w:val="en-US" w:eastAsia="zh-CN"/>
              </w:rPr>
              <w:t>interruption ,</w:t>
            </w:r>
            <w:proofErr w:type="gramEnd"/>
            <w:r>
              <w:rPr>
                <w:rFonts w:eastAsia="SimSun" w:hint="eastAsia"/>
                <w:lang w:val="en-US" w:eastAsia="zh-CN"/>
              </w:rPr>
              <w:t xml:space="preserve"> it can be supported the autonomous retransmission is still available if TB size remains the same.</w:t>
            </w:r>
          </w:p>
          <w:p w:rsidR="00B83A08" w:rsidRDefault="00A44AA0">
            <w:pPr>
              <w:rPr>
                <w:rFonts w:eastAsia="SimSun"/>
                <w:lang w:val="en-US" w:eastAsia="zh-CN"/>
              </w:rPr>
            </w:pPr>
            <w:r>
              <w:rPr>
                <w:rFonts w:eastAsia="SimSun" w:hint="eastAsia"/>
                <w:lang w:val="en-US" w:eastAsia="zh-CN"/>
              </w:rPr>
              <w:t xml:space="preserve">For Alt.2, this is a different story. If a configured grant is deactivated for a long </w:t>
            </w:r>
            <w:proofErr w:type="gramStart"/>
            <w:r>
              <w:rPr>
                <w:rFonts w:eastAsia="SimSun" w:hint="eastAsia"/>
                <w:lang w:val="en-US" w:eastAsia="zh-CN"/>
              </w:rPr>
              <w:t>time,  there</w:t>
            </w:r>
            <w:proofErr w:type="gramEnd"/>
            <w:r>
              <w:rPr>
                <w:rFonts w:eastAsia="SimSun" w:hint="eastAsia"/>
                <w:lang w:val="en-US" w:eastAsia="zh-CN"/>
              </w:rPr>
              <w:t xml:space="preserve"> is some </w:t>
            </w:r>
            <w:bookmarkStart w:id="0" w:name="OLE_LINK1"/>
            <w:r>
              <w:rPr>
                <w:rFonts w:eastAsia="SimSun" w:hint="eastAsia"/>
                <w:lang w:val="en-US" w:eastAsia="zh-CN"/>
              </w:rPr>
              <w:t xml:space="preserve">non-transmitted </w:t>
            </w:r>
            <w:bookmarkEnd w:id="0"/>
            <w:r>
              <w:rPr>
                <w:rFonts w:eastAsia="SimSun" w:hint="eastAsia"/>
                <w:lang w:val="en-US" w:eastAsia="zh-CN"/>
              </w:rPr>
              <w:t>data corresponding to a HARQ process ID. Maybe these non-</w:t>
            </w:r>
            <w:proofErr w:type="gramStart"/>
            <w:r>
              <w:rPr>
                <w:rFonts w:eastAsia="SimSun" w:hint="eastAsia"/>
                <w:lang w:val="en-US" w:eastAsia="zh-CN"/>
              </w:rPr>
              <w:t>transmitted  data</w:t>
            </w:r>
            <w:proofErr w:type="gramEnd"/>
            <w:r>
              <w:rPr>
                <w:rFonts w:eastAsia="SimSun"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SimSun"/>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 xml:space="preserve">Regarding QC’s comment, “should” means that UE can optionally perform the autonomous (re-)transmission. It means that we </w:t>
            </w:r>
            <w:proofErr w:type="gramStart"/>
            <w:r>
              <w:rPr>
                <w:rFonts w:eastAsia="Malgun Gothic"/>
                <w:lang w:val="en-US" w:eastAsia="ko-KR"/>
              </w:rPr>
              <w:t>have to</w:t>
            </w:r>
            <w:proofErr w:type="gramEnd"/>
            <w:r>
              <w:rPr>
                <w:rFonts w:eastAsia="Malgun Gothic"/>
                <w:lang w:val="en-US" w:eastAsia="ko-KR"/>
              </w:rPr>
              <w:t xml:space="preserve">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SimSun"/>
                <w:lang w:val="en-US" w:eastAsia="zh-CN"/>
              </w:rPr>
            </w:pPr>
            <w:r>
              <w:rPr>
                <w:rFonts w:eastAsia="SimSun"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 xml:space="preserve">Leave </w:t>
            </w:r>
            <w:proofErr w:type="gramStart"/>
            <w:r>
              <w:rPr>
                <w:rFonts w:eastAsia="Malgun Gothic"/>
                <w:lang w:val="en-US" w:eastAsia="ko-KR"/>
              </w:rPr>
              <w:t>to</w:t>
            </w:r>
            <w:proofErr w:type="gramEnd"/>
            <w:r>
              <w:rPr>
                <w:rFonts w:eastAsia="Malgun Gothic"/>
                <w:lang w:val="en-US" w:eastAsia="ko-KR"/>
              </w:rPr>
              <w:t xml:space="preserve">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bookmarkStart w:id="1" w:name="_GoBack"/>
            <w:bookmarkEnd w:id="1"/>
          </w:p>
        </w:tc>
        <w:tc>
          <w:tcPr>
            <w:tcW w:w="6234" w:type="dxa"/>
          </w:tcPr>
          <w:p w:rsidR="00EC4B2E" w:rsidRDefault="00EC4B2E" w:rsidP="0085750F">
            <w:pPr>
              <w:rPr>
                <w:rFonts w:eastAsia="Malgun Gothic"/>
                <w:lang w:val="en-US" w:eastAsia="ko-KR"/>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B83A08"/>
    <w:p w:rsidR="00B83A08" w:rsidRDefault="00A44AA0">
      <w:pPr>
        <w:pStyle w:val="Heading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Heading1"/>
        <w:rPr>
          <w:lang w:val="en-US"/>
        </w:rPr>
      </w:pPr>
      <w:r>
        <w:rPr>
          <w:lang w:val="en-US"/>
        </w:rPr>
        <w:t>References</w:t>
      </w:r>
    </w:p>
    <w:p w:rsidR="00B83A08" w:rsidRDefault="00A44AA0">
      <w:r>
        <w:rPr>
          <w:lang w:val="en-US"/>
        </w:rPr>
        <w:t>[1]</w:t>
      </w:r>
      <w:r>
        <w:rPr>
          <w:lang w:val="en-US"/>
        </w:rPr>
        <w:tab/>
        <w:t xml:space="preserve">R2-2003226, </w:t>
      </w:r>
      <w:r>
        <w:rPr>
          <w:i/>
          <w:iCs/>
        </w:rPr>
        <w:t>Summary of e-mail discussion: [Post109e#</w:t>
      </w:r>
      <w:proofErr w:type="gramStart"/>
      <w:r>
        <w:rPr>
          <w:i/>
          <w:iCs/>
        </w:rPr>
        <w:t>50][</w:t>
      </w:r>
      <w:proofErr w:type="gramEnd"/>
      <w:r>
        <w:rPr>
          <w:i/>
          <w:iCs/>
        </w:rPr>
        <w:t xml:space="preserve">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E5C" w:rsidRDefault="00451E5C" w:rsidP="004440A9">
      <w:pPr>
        <w:spacing w:after="0" w:line="240" w:lineRule="auto"/>
      </w:pPr>
      <w:r>
        <w:separator/>
      </w:r>
    </w:p>
  </w:endnote>
  <w:endnote w:type="continuationSeparator" w:id="0">
    <w:p w:rsidR="00451E5C" w:rsidRDefault="00451E5C"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E5C" w:rsidRDefault="00451E5C" w:rsidP="004440A9">
      <w:pPr>
        <w:spacing w:after="0" w:line="240" w:lineRule="auto"/>
      </w:pPr>
      <w:r>
        <w:separator/>
      </w:r>
    </w:p>
  </w:footnote>
  <w:footnote w:type="continuationSeparator" w:id="0">
    <w:p w:rsidR="00451E5C" w:rsidRDefault="00451E5C" w:rsidP="004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643D"/>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90037"/>
    <w:rsid w:val="0059111D"/>
    <w:rsid w:val="005A3F25"/>
    <w:rsid w:val="005A4243"/>
    <w:rsid w:val="005B0AA5"/>
    <w:rsid w:val="005B50C0"/>
    <w:rsid w:val="005C41B1"/>
    <w:rsid w:val="005D3955"/>
    <w:rsid w:val="005E3DF9"/>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7030"/>
    <w:rsid w:val="0085750F"/>
    <w:rsid w:val="0086354A"/>
    <w:rsid w:val="00875602"/>
    <w:rsid w:val="008768CA"/>
    <w:rsid w:val="00877E02"/>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3A2"/>
    <w:rsid w:val="00B41C05"/>
    <w:rsid w:val="00B47FD1"/>
    <w:rsid w:val="00B516BB"/>
    <w:rsid w:val="00B57135"/>
    <w:rsid w:val="00B60859"/>
    <w:rsid w:val="00B623DD"/>
    <w:rsid w:val="00B65127"/>
    <w:rsid w:val="00B8176A"/>
    <w:rsid w:val="00B83A08"/>
    <w:rsid w:val="00B84DB2"/>
    <w:rsid w:val="00B920CD"/>
    <w:rsid w:val="00BA12C6"/>
    <w:rsid w:val="00BB2591"/>
    <w:rsid w:val="00BC20DB"/>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6E06"/>
    <w:rsid w:val="00D172BE"/>
    <w:rsid w:val="00D33593"/>
    <w:rsid w:val="00D33BE3"/>
    <w:rsid w:val="00D3792D"/>
    <w:rsid w:val="00D4160C"/>
    <w:rsid w:val="00D41FC4"/>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FE8E65"/>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a3840f4f-04be-43d1-b2ef-6ff1382503c7"/>
    <ds:schemaRef ds:uri="http://schemas.microsoft.com/office/2006/documentManagement/types"/>
    <ds:schemaRef ds:uri="83f22d2f-d16e-4be6-ad4f-29fa0b067c3c"/>
    <ds:schemaRef ds:uri="http://schemas.microsoft.com/office/infopath/2007/PartnerControls"/>
    <ds:schemaRef ds:uri="3b34c8f0-1ef5-4d1e-bb66-517ce7fe7356"/>
    <ds:schemaRef ds:uri="http://www.w3.org/XML/1998/namespace"/>
    <ds:schemaRef ds:uri="http://purl.org/dc/dcmitype/"/>
  </ds:schemaRefs>
</ds:datastoreItem>
</file>

<file path=customXml/itemProps5.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6.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575491-4C14-416C-B090-DB6A2DF0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7</Pages>
  <Words>2082</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Wallace</cp:lastModifiedBy>
  <cp:revision>2</cp:revision>
  <dcterms:created xsi:type="dcterms:W3CDTF">2020-04-22T11:05:00Z</dcterms:created>
  <dcterms:modified xsi:type="dcterms:W3CDTF">2020-04-22T11:05:00Z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