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56D" w14:textId="77777777"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Hyperlink"/>
            <w:lang w:eastAsia="zh-CN"/>
          </w:rPr>
          <w:t>R2-2003014</w:t>
        </w:r>
      </w:hyperlink>
      <w:r>
        <w:rPr>
          <w:lang w:val="en-GB" w:eastAsia="zh-CN"/>
        </w:rPr>
        <w:t xml:space="preserve">, </w:t>
      </w:r>
      <w:hyperlink r:id="rId13" w:tooltip="D:Documents3GPPtsg_ranWG2TSGR2_109bis-eDocsR2-2002728.zip" w:history="1">
        <w:r>
          <w:rPr>
            <w:rStyle w:val="Hyperlink"/>
            <w:lang w:eastAsia="zh-CN"/>
          </w:rPr>
          <w:t>R2-2002728</w:t>
        </w:r>
      </w:hyperlink>
      <w:r>
        <w:rPr>
          <w:lang w:val="en-GB" w:eastAsia="zh-CN"/>
        </w:rPr>
        <w:t xml:space="preserve">, </w:t>
      </w:r>
      <w:hyperlink r:id="rId14" w:tooltip="D:Documents3GPPtsg_ranWG2TSGR2_109bis-eDocsR2-2003178.zip" w:history="1">
        <w:r>
          <w:rPr>
            <w:rStyle w:val="Hyperlink"/>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ListParagraph"/>
        <w:spacing w:after="60" w:line="240" w:lineRule="auto"/>
        <w:ind w:left="0"/>
        <w:contextualSpacing w:val="0"/>
        <w:rPr>
          <w:rFonts w:ascii="Times New Roman" w:hAnsi="Times New Roman" w:cs="Times New Roman"/>
          <w:sz w:val="20"/>
        </w:rPr>
      </w:pPr>
    </w:p>
    <w:p w14:paraId="446340D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gNB that provides network access to UEs via a network of backhaul and access links. </w:t>
      </w:r>
    </w:p>
    <w:p w14:paraId="2EBB24C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IAB-donor gNB</w:t>
      </w:r>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IAB-donor-gNB</w:t>
      </w:r>
      <w:r>
        <w:rPr>
          <w:rFonts w:ascii="Times New Roman" w:hAnsi="Times New Roman" w:cs="Times New Roman"/>
          <w:sz w:val="20"/>
          <w:szCs w:val="20"/>
          <w:lang w:eastAsia="zh-CN"/>
        </w:rPr>
        <w:t>.</w:t>
      </w:r>
    </w:p>
    <w:p w14:paraId="5C7E309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gNB-CU and gNB-DU. </w:t>
      </w:r>
    </w:p>
    <w:p w14:paraId="701A21CF"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gNB-DU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ListParagraph"/>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14:paraId="310655BE"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r w:rsidR="00C35BA3" w14:paraId="19256932" w14:textId="77777777">
        <w:tc>
          <w:tcPr>
            <w:tcW w:w="1795" w:type="dxa"/>
          </w:tcPr>
          <w:p w14:paraId="6C2FDAF8" w14:textId="27499F7A"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AT&amp;T</w:t>
            </w:r>
          </w:p>
        </w:tc>
        <w:tc>
          <w:tcPr>
            <w:tcW w:w="1980" w:type="dxa"/>
          </w:tcPr>
          <w:p w14:paraId="02F04E10" w14:textId="05AA18AD"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57EF79ED" w14:textId="77777777" w:rsidR="00C35BA3" w:rsidRPr="00640D69" w:rsidRDefault="00C35BA3">
            <w:pPr>
              <w:spacing w:after="0" w:line="240" w:lineRule="auto"/>
              <w:rPr>
                <w:rFonts w:ascii="Times New Roman" w:hAnsi="Times New Roman" w:cs="Times New Roman"/>
                <w:sz w:val="20"/>
                <w:szCs w:val="20"/>
                <w:lang w:eastAsia="zh-CN"/>
              </w:rPr>
            </w:pPr>
          </w:p>
        </w:tc>
      </w:tr>
      <w:tr w:rsidR="00F04445" w14:paraId="44FB5AD4" w14:textId="77777777" w:rsidTr="00191E36">
        <w:tc>
          <w:tcPr>
            <w:tcW w:w="1795" w:type="dxa"/>
          </w:tcPr>
          <w:p w14:paraId="69A186EF" w14:textId="77777777" w:rsidR="00F04445" w:rsidRPr="00640D69"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Nokia, Nokia Shanghai Bell</w:t>
            </w:r>
          </w:p>
        </w:tc>
        <w:tc>
          <w:tcPr>
            <w:tcW w:w="1980" w:type="dxa"/>
          </w:tcPr>
          <w:p w14:paraId="74C26CE4" w14:textId="77777777" w:rsidR="00F04445"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61D86083" w14:textId="77777777" w:rsidR="00F04445" w:rsidRPr="00640D69" w:rsidRDefault="00F04445" w:rsidP="00191E36">
            <w:pPr>
              <w:spacing w:after="0" w:line="240" w:lineRule="auto"/>
              <w:rPr>
                <w:rFonts w:ascii="Times New Roman" w:hAnsi="Times New Roman" w:cs="Times New Roman"/>
                <w:sz w:val="20"/>
                <w:szCs w:val="20"/>
                <w:lang w:eastAsia="zh-CN"/>
              </w:rPr>
            </w:pPr>
          </w:p>
        </w:tc>
      </w:tr>
      <w:tr w:rsidR="00F04445" w14:paraId="06E711C6" w14:textId="77777777">
        <w:tc>
          <w:tcPr>
            <w:tcW w:w="1795" w:type="dxa"/>
          </w:tcPr>
          <w:p w14:paraId="781FB3BD" w14:textId="77777777" w:rsidR="00F04445" w:rsidRDefault="00F04445">
            <w:pPr>
              <w:spacing w:after="0" w:line="240" w:lineRule="auto"/>
              <w:rPr>
                <w:rFonts w:ascii="Times New Roman" w:hAnsi="Times New Roman" w:cs="Times New Roman"/>
                <w:sz w:val="20"/>
                <w:szCs w:val="20"/>
                <w:lang w:eastAsia="zh-CN"/>
              </w:rPr>
            </w:pPr>
          </w:p>
        </w:tc>
        <w:tc>
          <w:tcPr>
            <w:tcW w:w="1980" w:type="dxa"/>
          </w:tcPr>
          <w:p w14:paraId="733F4B2C" w14:textId="77777777" w:rsidR="00F04445" w:rsidRDefault="00F04445">
            <w:pPr>
              <w:spacing w:after="0" w:line="240" w:lineRule="auto"/>
              <w:rPr>
                <w:rFonts w:ascii="Times New Roman" w:hAnsi="Times New Roman" w:cs="Times New Roman"/>
                <w:sz w:val="20"/>
                <w:szCs w:val="20"/>
                <w:lang w:eastAsia="zh-CN"/>
              </w:rPr>
            </w:pPr>
          </w:p>
        </w:tc>
        <w:tc>
          <w:tcPr>
            <w:tcW w:w="5575" w:type="dxa"/>
          </w:tcPr>
          <w:p w14:paraId="5E33DE61" w14:textId="77777777" w:rsidR="00F04445" w:rsidRPr="00640D69" w:rsidRDefault="00F04445">
            <w:pPr>
              <w:spacing w:after="0" w:line="240" w:lineRule="auto"/>
              <w:rPr>
                <w:rFonts w:ascii="Times New Roman" w:hAnsi="Times New Roman" w:cs="Times New Roman"/>
                <w:sz w:val="20"/>
                <w:szCs w:val="20"/>
                <w:lang w:eastAsia="zh-CN"/>
              </w:rPr>
            </w:pPr>
          </w:p>
        </w:tc>
      </w:tr>
    </w:tbl>
    <w:p w14:paraId="7C557DE5" w14:textId="61FB10AA"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ListParagraph"/>
        <w:spacing w:after="60" w:line="240" w:lineRule="auto"/>
        <w:ind w:left="0"/>
        <w:contextualSpacing w:val="0"/>
        <w:rPr>
          <w:rFonts w:ascii="Times New Roman" w:hAnsi="Times New Roman" w:cs="Times New Roman"/>
          <w:sz w:val="20"/>
        </w:rPr>
      </w:pPr>
    </w:p>
    <w:p w14:paraId="7D7A005C" w14:textId="77777777" w:rsidR="00604051" w:rsidRDefault="00604051">
      <w:pPr>
        <w:pStyle w:val="ListParagraph"/>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lastRenderedPageBreak/>
              <w:t>LG</w:t>
            </w:r>
          </w:p>
        </w:tc>
        <w:tc>
          <w:tcPr>
            <w:tcW w:w="1980" w:type="dxa"/>
          </w:tcPr>
          <w:p w14:paraId="1DB7053A"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IioT,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In the very late stage, it is difficult to have a comprehensive analyses.</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Instead, we can first try to agree if some of those Wis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IIoT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hint="eastAsia"/>
                <w:sz w:val="20"/>
                <w:szCs w:val="20"/>
                <w:lang w:eastAsia="zh-CN"/>
              </w:rPr>
              <w:t>v</w:t>
            </w:r>
            <w:r>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Yu Mincho"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r w:rsidR="00A966D3" w14:paraId="44499FFC" w14:textId="77777777" w:rsidTr="0087348C">
        <w:tc>
          <w:tcPr>
            <w:tcW w:w="1795" w:type="dxa"/>
          </w:tcPr>
          <w:p w14:paraId="1CD53CA3" w14:textId="172AAE46"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AT&amp;T</w:t>
            </w:r>
          </w:p>
        </w:tc>
        <w:tc>
          <w:tcPr>
            <w:tcW w:w="1980" w:type="dxa"/>
          </w:tcPr>
          <w:p w14:paraId="3B83E92B" w14:textId="4EFB74DF"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Yes, but probably not necessary</w:t>
            </w:r>
          </w:p>
        </w:tc>
        <w:tc>
          <w:tcPr>
            <w:tcW w:w="5575" w:type="dxa"/>
          </w:tcPr>
          <w:p w14:paraId="4E94FA0D" w14:textId="17F05C2F" w:rsidR="00A966D3" w:rsidRDefault="00A966D3" w:rsidP="0087348C">
            <w:pPr>
              <w:rPr>
                <w:rFonts w:ascii="Arial" w:hAnsi="Arial" w:cs="Arial"/>
                <w:sz w:val="20"/>
                <w:szCs w:val="20"/>
                <w:lang w:val="en-GB" w:eastAsia="zh-CN"/>
              </w:rPr>
            </w:pPr>
            <w:r>
              <w:rPr>
                <w:rFonts w:ascii="Arial" w:hAnsi="Arial" w:cs="Arial"/>
                <w:sz w:val="20"/>
                <w:szCs w:val="20"/>
                <w:lang w:val="en-GB" w:eastAsia="zh-CN"/>
              </w:rPr>
              <w:t xml:space="preserve">We agree with the spirit of the proposal (I assume this also applies to all optional Rel-15 features as well?), but </w:t>
            </w:r>
            <w:r w:rsidR="00C35BA3">
              <w:rPr>
                <w:rFonts w:ascii="Arial" w:hAnsi="Arial" w:cs="Arial"/>
                <w:sz w:val="20"/>
                <w:szCs w:val="20"/>
                <w:lang w:val="en-GB" w:eastAsia="zh-CN"/>
              </w:rPr>
              <w:t xml:space="preserve">it may not be strictly necessary as vendors should never be restricted from implementing optional features, although of course other network nodes may not implement them and the feature itself may not be that useful for IAB. We think the main issue arises if a feature from a different WI is a prerequisite for an IAB feature, in which case detailed </w:t>
            </w:r>
            <w:r w:rsidR="00C35BA3">
              <w:rPr>
                <w:rFonts w:ascii="Arial" w:hAnsi="Arial" w:cs="Arial"/>
                <w:sz w:val="20"/>
                <w:szCs w:val="20"/>
                <w:lang w:val="en-GB" w:eastAsia="zh-CN"/>
              </w:rPr>
              <w:lastRenderedPageBreak/>
              <w:t>analysis of the spec impact would have to be done in the WGs.</w:t>
            </w:r>
          </w:p>
        </w:tc>
      </w:tr>
      <w:tr w:rsidR="00F04445" w14:paraId="449AC003" w14:textId="77777777" w:rsidTr="0087348C">
        <w:tc>
          <w:tcPr>
            <w:tcW w:w="1795" w:type="dxa"/>
          </w:tcPr>
          <w:p w14:paraId="63BDEEB7" w14:textId="5524566E"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lastRenderedPageBreak/>
              <w:t>Nokia, Nokia Shanghai Bell</w:t>
            </w:r>
          </w:p>
        </w:tc>
        <w:tc>
          <w:tcPr>
            <w:tcW w:w="1980" w:type="dxa"/>
          </w:tcPr>
          <w:p w14:paraId="087BC983" w14:textId="6E149AB1"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t>FFS</w:t>
            </w:r>
          </w:p>
        </w:tc>
        <w:tc>
          <w:tcPr>
            <w:tcW w:w="5575" w:type="dxa"/>
          </w:tcPr>
          <w:p w14:paraId="277F6540" w14:textId="77777777" w:rsidR="00F04445" w:rsidRDefault="00F04445" w:rsidP="00F04445">
            <w:pPr>
              <w:spacing w:after="0" w:line="240" w:lineRule="auto"/>
              <w:rPr>
                <w:rFonts w:ascii="Arial" w:hAnsi="Arial" w:cs="Arial"/>
                <w:sz w:val="20"/>
                <w:szCs w:val="20"/>
                <w:lang w:eastAsia="zh-CN"/>
              </w:rPr>
            </w:pPr>
            <w:r w:rsidRPr="00557454">
              <w:rPr>
                <w:rFonts w:ascii="Arial" w:hAnsi="Arial" w:cs="Arial"/>
                <w:sz w:val="20"/>
                <w:szCs w:val="20"/>
                <w:lang w:eastAsia="zh-CN"/>
              </w:rPr>
              <w:t>By default, we should assume all Rel-16 features are available for IAB</w:t>
            </w:r>
            <w:r>
              <w:rPr>
                <w:rFonts w:ascii="Arial" w:hAnsi="Arial" w:cs="Arial"/>
                <w:sz w:val="20"/>
                <w:szCs w:val="20"/>
                <w:lang w:eastAsia="zh-CN"/>
              </w:rPr>
              <w:t>. However, we need to check if this would mean some specification impact on a case by case basis.</w:t>
            </w:r>
          </w:p>
          <w:p w14:paraId="0FEE50B4" w14:textId="77777777" w:rsidR="00F04445" w:rsidRDefault="00F04445" w:rsidP="00F04445">
            <w:pPr>
              <w:rPr>
                <w:rFonts w:ascii="Arial" w:hAnsi="Arial" w:cs="Arial"/>
                <w:sz w:val="20"/>
                <w:szCs w:val="20"/>
                <w:lang w:val="en-GB" w:eastAsia="zh-CN"/>
              </w:rPr>
            </w:pPr>
          </w:p>
        </w:tc>
      </w:tr>
    </w:tbl>
    <w:p w14:paraId="3B462F0D" w14:textId="77777777" w:rsidR="00604051" w:rsidRDefault="00604051">
      <w:pPr>
        <w:pStyle w:val="ListParagraph"/>
        <w:spacing w:after="60" w:line="240" w:lineRule="auto"/>
        <w:ind w:left="0"/>
        <w:contextualSpacing w:val="0"/>
        <w:rPr>
          <w:rFonts w:ascii="Times New Roman" w:hAnsi="Times New Roman" w:cs="Times New Roman"/>
          <w:sz w:val="20"/>
        </w:rPr>
      </w:pPr>
    </w:p>
    <w:p w14:paraId="0E87D2D4" w14:textId="77777777" w:rsidR="00604051" w:rsidRDefault="007D5913">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0504BFD9" w14:textId="5405FE2B" w:rsidR="0045190A" w:rsidRPr="0045190A" w:rsidRDefault="0045190A" w:rsidP="0045190A">
      <w:pPr>
        <w:rPr>
          <w:rFonts w:ascii="Arial" w:hAnsi="Arial" w:cs="Arial"/>
          <w:sz w:val="24"/>
          <w:szCs w:val="28"/>
        </w:rPr>
      </w:pPr>
      <w:r>
        <w:rPr>
          <w:rFonts w:ascii="Arial" w:hAnsi="Arial" w:cs="Arial"/>
          <w:sz w:val="24"/>
          <w:szCs w:val="28"/>
        </w:rPr>
        <w:t>IAB terminology/notation changes</w:t>
      </w:r>
      <w:r w:rsidRPr="0045190A">
        <w:rPr>
          <w:rFonts w:ascii="Arial" w:hAnsi="Arial" w:cs="Arial"/>
          <w:sz w:val="24"/>
          <w:szCs w:val="28"/>
        </w:rPr>
        <w:t xml:space="preserve"> based on</w:t>
      </w:r>
      <w:r w:rsidRPr="0045190A">
        <w:rPr>
          <w:rFonts w:ascii="Arial" w:hAnsi="Arial" w:cs="Arial"/>
          <w:sz w:val="24"/>
          <w:szCs w:val="28"/>
        </w:rPr>
        <w:t xml:space="preserve"> R2-2002728</w:t>
      </w:r>
    </w:p>
    <w:p w14:paraId="41D056E5" w14:textId="55C20846" w:rsidR="0045190A" w:rsidRPr="0045190A" w:rsidRDefault="0045190A" w:rsidP="0045190A">
      <w:pPr>
        <w:rPr>
          <w:rFonts w:ascii="Arial" w:hAnsi="Arial" w:cs="Arial"/>
          <w:sz w:val="20"/>
          <w:lang w:val="en-GB"/>
        </w:rPr>
      </w:pPr>
      <w:r w:rsidRPr="0045190A">
        <w:rPr>
          <w:rFonts w:ascii="Arial" w:hAnsi="Arial" w:cs="Arial"/>
          <w:sz w:val="20"/>
          <w:lang w:val="en-GB"/>
        </w:rPr>
        <w:t>12 companies have replied, an</w:t>
      </w:r>
      <w:r>
        <w:rPr>
          <w:rFonts w:ascii="Arial" w:hAnsi="Arial" w:cs="Arial"/>
          <w:sz w:val="20"/>
          <w:lang w:val="en-GB"/>
        </w:rPr>
        <w:t>d</w:t>
      </w:r>
      <w:r w:rsidRPr="0045190A">
        <w:rPr>
          <w:rFonts w:ascii="Arial" w:hAnsi="Arial" w:cs="Arial"/>
          <w:sz w:val="20"/>
          <w:lang w:val="en-GB"/>
        </w:rPr>
        <w:t xml:space="preserve"> all </w:t>
      </w:r>
      <w:r>
        <w:rPr>
          <w:rFonts w:ascii="Arial" w:hAnsi="Arial" w:cs="Arial"/>
          <w:sz w:val="20"/>
          <w:lang w:val="en-GB"/>
        </w:rPr>
        <w:t>were</w:t>
      </w:r>
      <w:r w:rsidRPr="0045190A">
        <w:rPr>
          <w:rFonts w:ascii="Arial" w:hAnsi="Arial" w:cs="Arial"/>
          <w:sz w:val="20"/>
          <w:lang w:val="en-GB"/>
        </w:rPr>
        <w:t xml:space="preserve"> </w:t>
      </w:r>
      <w:r>
        <w:rPr>
          <w:rFonts w:ascii="Arial" w:hAnsi="Arial" w:cs="Arial"/>
          <w:sz w:val="20"/>
          <w:lang w:val="en-GB"/>
        </w:rPr>
        <w:t>in support of the proposed changes.</w:t>
      </w:r>
    </w:p>
    <w:p w14:paraId="6C97276D" w14:textId="764306A7" w:rsidR="0045190A" w:rsidRDefault="0045190A" w:rsidP="0045190A">
      <w:pPr>
        <w:rPr>
          <w:rFonts w:ascii="Arial" w:hAnsi="Arial" w:cs="Arial"/>
          <w:b/>
          <w:bCs/>
          <w:sz w:val="20"/>
          <w:lang w:val="en-GB"/>
        </w:rPr>
      </w:pPr>
      <w:r>
        <w:rPr>
          <w:rFonts w:ascii="Arial" w:hAnsi="Arial" w:cs="Arial"/>
          <w:b/>
          <w:bCs/>
          <w:sz w:val="20"/>
          <w:lang w:val="en-GB"/>
        </w:rPr>
        <w:t xml:space="preserve">Proposal </w:t>
      </w:r>
      <w:r>
        <w:rPr>
          <w:rFonts w:ascii="Arial" w:hAnsi="Arial" w:cs="Arial"/>
          <w:b/>
          <w:bCs/>
          <w:sz w:val="20"/>
          <w:lang w:val="en-GB"/>
        </w:rPr>
        <w:t>1: Adopt the following IAB terminology:</w:t>
      </w:r>
    </w:p>
    <w:p w14:paraId="5DC61A12"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There is no </w:t>
      </w:r>
      <w:r w:rsidRPr="0045190A">
        <w:rPr>
          <w:rFonts w:ascii="Times New Roman" w:hAnsi="Times New Roman" w:cs="Times New Roman"/>
          <w:b/>
          <w:bCs/>
          <w:i/>
          <w:iCs/>
          <w:sz w:val="20"/>
          <w:szCs w:val="20"/>
          <w:lang w:eastAsia="zh-CN"/>
        </w:rPr>
        <w:t>IAB-donor gNB</w:t>
      </w:r>
      <w:r w:rsidRPr="0045190A">
        <w:rPr>
          <w:rFonts w:ascii="Times New Roman" w:hAnsi="Times New Roman" w:cs="Times New Roman"/>
          <w:b/>
          <w:bCs/>
          <w:sz w:val="20"/>
          <w:szCs w:val="20"/>
          <w:lang w:eastAsia="zh-CN"/>
        </w:rPr>
        <w:t xml:space="preserve"> or </w:t>
      </w:r>
      <w:r w:rsidRPr="0045190A">
        <w:rPr>
          <w:rFonts w:ascii="Times New Roman" w:hAnsi="Times New Roman" w:cs="Times New Roman"/>
          <w:b/>
          <w:bCs/>
          <w:i/>
          <w:iCs/>
          <w:sz w:val="20"/>
          <w:szCs w:val="20"/>
          <w:lang w:eastAsia="zh-CN"/>
        </w:rPr>
        <w:t>IAB-donor-gNB</w:t>
      </w:r>
      <w:r w:rsidRPr="0045190A">
        <w:rPr>
          <w:rFonts w:ascii="Times New Roman" w:hAnsi="Times New Roman" w:cs="Times New Roman"/>
          <w:b/>
          <w:bCs/>
          <w:sz w:val="20"/>
          <w:szCs w:val="20"/>
          <w:lang w:eastAsia="zh-CN"/>
        </w:rPr>
        <w:t>.</w:t>
      </w:r>
    </w:p>
    <w:p w14:paraId="13E3032D"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IAB-donor-DU and IAB-donor-CU are hyphenated in the same manner as the gNB-CU and gNB-DU. </w:t>
      </w:r>
    </w:p>
    <w:p w14:paraId="06FD98A3"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The IAB-node holds gNB-DU functionality with IAB-specific enhancements, referred to as </w:t>
      </w:r>
      <w:r w:rsidRPr="0045190A">
        <w:rPr>
          <w:rFonts w:ascii="Times New Roman" w:hAnsi="Times New Roman" w:cs="Times New Roman"/>
          <w:b/>
          <w:bCs/>
          <w:i/>
          <w:iCs/>
          <w:sz w:val="20"/>
          <w:szCs w:val="20"/>
          <w:lang w:eastAsia="zh-CN"/>
        </w:rPr>
        <w:t>IAB-DU</w:t>
      </w:r>
      <w:r w:rsidRPr="0045190A">
        <w:rPr>
          <w:rFonts w:ascii="Times New Roman" w:hAnsi="Times New Roman" w:cs="Times New Roman"/>
          <w:b/>
          <w:bCs/>
          <w:sz w:val="20"/>
          <w:szCs w:val="20"/>
          <w:lang w:eastAsia="zh-CN"/>
        </w:rPr>
        <w:t xml:space="preserve">. </w:t>
      </w:r>
    </w:p>
    <w:p w14:paraId="49D55D09" w14:textId="7874E0DE"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There is no </w:t>
      </w:r>
      <w:r w:rsidRPr="0045190A">
        <w:rPr>
          <w:rFonts w:ascii="Times New Roman" w:hAnsi="Times New Roman" w:cs="Times New Roman"/>
          <w:b/>
          <w:bCs/>
          <w:i/>
          <w:iCs/>
          <w:sz w:val="20"/>
          <w:szCs w:val="20"/>
          <w:lang w:eastAsia="zh-CN"/>
        </w:rPr>
        <w:t>IAB-node-DU</w:t>
      </w:r>
      <w:r w:rsidRPr="0045190A">
        <w:rPr>
          <w:rFonts w:ascii="Times New Roman" w:hAnsi="Times New Roman" w:cs="Times New Roman"/>
          <w:b/>
          <w:bCs/>
          <w:sz w:val="20"/>
          <w:szCs w:val="20"/>
          <w:lang w:eastAsia="zh-CN"/>
        </w:rPr>
        <w:t>.</w:t>
      </w:r>
    </w:p>
    <w:p w14:paraId="195F0879"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The IAB-DU of a specific IAB-node, e.g., IAB-node 1, can be referred to as IAB-node-1’s IAB-DU, or IAB-DU 1.</w:t>
      </w:r>
    </w:p>
    <w:p w14:paraId="6DD4DA81"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The IAB-node holds UE functionality with IAB-specific enhancements, referred to as </w:t>
      </w:r>
      <w:r w:rsidRPr="0045190A">
        <w:rPr>
          <w:rFonts w:ascii="Times New Roman" w:hAnsi="Times New Roman" w:cs="Times New Roman"/>
          <w:b/>
          <w:bCs/>
          <w:i/>
          <w:iCs/>
          <w:sz w:val="20"/>
          <w:szCs w:val="20"/>
          <w:lang w:eastAsia="zh-CN"/>
        </w:rPr>
        <w:t>IAB-MT</w:t>
      </w:r>
      <w:r w:rsidRPr="0045190A">
        <w:rPr>
          <w:rFonts w:ascii="Times New Roman" w:hAnsi="Times New Roman" w:cs="Times New Roman"/>
          <w:b/>
          <w:bCs/>
          <w:sz w:val="20"/>
          <w:szCs w:val="20"/>
          <w:lang w:eastAsia="zh-CN"/>
        </w:rPr>
        <w:t xml:space="preserve">. </w:t>
      </w:r>
    </w:p>
    <w:p w14:paraId="19CF6AD2" w14:textId="25CFBB1B"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There is no </w:t>
      </w:r>
      <w:r w:rsidRPr="0045190A">
        <w:rPr>
          <w:rFonts w:ascii="Times New Roman" w:hAnsi="Times New Roman" w:cs="Times New Roman"/>
          <w:b/>
          <w:bCs/>
          <w:i/>
          <w:iCs/>
          <w:sz w:val="20"/>
          <w:szCs w:val="20"/>
          <w:lang w:eastAsia="zh-CN"/>
        </w:rPr>
        <w:t>IAB-node-MT</w:t>
      </w:r>
      <w:r w:rsidRPr="0045190A">
        <w:rPr>
          <w:rFonts w:ascii="Times New Roman" w:hAnsi="Times New Roman" w:cs="Times New Roman"/>
          <w:b/>
          <w:bCs/>
          <w:sz w:val="20"/>
          <w:szCs w:val="20"/>
          <w:lang w:eastAsia="zh-CN"/>
        </w:rPr>
        <w:t xml:space="preserve">. </w:t>
      </w:r>
    </w:p>
    <w:p w14:paraId="4541B9C1"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The IAB-MT of a specific IAB-node, e.g., IAB-node 1, can be referred to as IAB-node-1’s IAB-MT, or IAB-MT 1.</w:t>
      </w:r>
    </w:p>
    <w:p w14:paraId="057FF530" w14:textId="77777777" w:rsidR="0045190A" w:rsidRPr="0045190A" w:rsidRDefault="0045190A" w:rsidP="0045190A">
      <w:pPr>
        <w:pStyle w:val="ListParagraph"/>
        <w:numPr>
          <w:ilvl w:val="0"/>
          <w:numId w:val="18"/>
        </w:numPr>
        <w:spacing w:after="180" w:line="240" w:lineRule="auto"/>
        <w:contextualSpacing w:val="0"/>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The parent-node IAB-DU and child-node IAB-MT may be referred to as parent IAB-DU and child IAB-MT, respectively.</w:t>
      </w:r>
    </w:p>
    <w:p w14:paraId="18EDDE46" w14:textId="77777777" w:rsidR="0045190A" w:rsidRPr="0045190A" w:rsidRDefault="0045190A" w:rsidP="0045190A">
      <w:pPr>
        <w:pStyle w:val="ListParagraph"/>
        <w:numPr>
          <w:ilvl w:val="0"/>
          <w:numId w:val="18"/>
        </w:numPr>
        <w:rPr>
          <w:rFonts w:ascii="Times New Roman" w:hAnsi="Times New Roman" w:cs="Times New Roman"/>
          <w:b/>
          <w:bCs/>
          <w:sz w:val="20"/>
          <w:szCs w:val="20"/>
          <w:lang w:eastAsia="zh-CN"/>
        </w:rPr>
      </w:pPr>
      <w:r w:rsidRPr="0045190A">
        <w:rPr>
          <w:rFonts w:ascii="Times New Roman" w:hAnsi="Times New Roman" w:cs="Times New Roman"/>
          <w:b/>
          <w:bCs/>
          <w:sz w:val="20"/>
          <w:szCs w:val="20"/>
          <w:lang w:eastAsia="zh-CN"/>
        </w:rPr>
        <w:t xml:space="preserve">Hyphenation follows commonly known rules. </w:t>
      </w:r>
    </w:p>
    <w:p w14:paraId="69304B51" w14:textId="77777777" w:rsidR="0045190A" w:rsidRDefault="0045190A" w:rsidP="0045190A">
      <w:pPr>
        <w:rPr>
          <w:rFonts w:ascii="Arial" w:hAnsi="Arial" w:cs="Arial"/>
          <w:b/>
          <w:bCs/>
          <w:sz w:val="20"/>
          <w:lang w:val="en-GB"/>
        </w:rPr>
      </w:pPr>
    </w:p>
    <w:p w14:paraId="768A0C0C" w14:textId="77777777" w:rsidR="0045190A" w:rsidRDefault="0045190A" w:rsidP="0045190A">
      <w:pPr>
        <w:pStyle w:val="ListParagraph"/>
        <w:spacing w:after="60" w:line="240" w:lineRule="auto"/>
        <w:ind w:left="0"/>
        <w:contextualSpacing w:val="0"/>
        <w:rPr>
          <w:rFonts w:ascii="Arial" w:hAnsi="Arial" w:cs="Arial"/>
          <w:sz w:val="24"/>
          <w:szCs w:val="28"/>
        </w:rPr>
      </w:pPr>
      <w:r>
        <w:rPr>
          <w:rFonts w:ascii="Arial" w:hAnsi="Arial" w:cs="Arial"/>
          <w:sz w:val="24"/>
          <w:szCs w:val="28"/>
        </w:rPr>
        <w:t>Use of Rel-16 UE features for IAB-MT</w:t>
      </w:r>
    </w:p>
    <w:p w14:paraId="28FD1A41" w14:textId="77777777" w:rsidR="0045190A" w:rsidRDefault="0045190A" w:rsidP="0045190A">
      <w:pPr>
        <w:pStyle w:val="EmailDiscussion2"/>
        <w:ind w:left="0"/>
        <w:rPr>
          <w:lang w:val="en-GB"/>
        </w:rPr>
      </w:pPr>
    </w:p>
    <w:p w14:paraId="3BE80CFD" w14:textId="19263D61" w:rsidR="0045190A" w:rsidRPr="0045190A" w:rsidRDefault="0045190A" w:rsidP="0045190A">
      <w:pPr>
        <w:pStyle w:val="EmailDiscussion2"/>
        <w:ind w:left="0"/>
        <w:rPr>
          <w:rFonts w:eastAsiaTheme="minorEastAsia"/>
          <w:szCs w:val="22"/>
          <w:lang w:val="en-GB" w:eastAsia="en-US"/>
        </w:rPr>
      </w:pPr>
      <w:r w:rsidRPr="0045190A">
        <w:rPr>
          <w:rFonts w:eastAsiaTheme="minorEastAsia"/>
          <w:szCs w:val="22"/>
          <w:lang w:val="en-GB" w:eastAsia="en-US"/>
        </w:rPr>
        <w:t>It was discussed if a</w:t>
      </w:r>
      <w:r w:rsidRPr="0045190A">
        <w:rPr>
          <w:rFonts w:eastAsiaTheme="minorEastAsia"/>
          <w:szCs w:val="22"/>
          <w:lang w:val="en-GB" w:eastAsia="en-US"/>
        </w:rPr>
        <w:t xml:space="preserve">ll Rel-16 UE features </w:t>
      </w:r>
      <w:r>
        <w:rPr>
          <w:rFonts w:eastAsiaTheme="minorEastAsia"/>
          <w:szCs w:val="22"/>
          <w:lang w:val="en-GB" w:eastAsia="en-US"/>
        </w:rPr>
        <w:t xml:space="preserve">could </w:t>
      </w:r>
      <w:r w:rsidRPr="0045190A">
        <w:rPr>
          <w:rFonts w:eastAsiaTheme="minorEastAsia"/>
          <w:szCs w:val="22"/>
          <w:lang w:val="en-GB" w:eastAsia="en-US"/>
        </w:rPr>
        <w:t>at least optionally be used by the IAB-MT.</w:t>
      </w:r>
      <w:r>
        <w:rPr>
          <w:rFonts w:eastAsiaTheme="minorEastAsia"/>
          <w:szCs w:val="22"/>
          <w:lang w:val="en-GB" w:eastAsia="en-US"/>
        </w:rPr>
        <w:t xml:space="preserve"> It was pointed out that RAN2 already had</w:t>
      </w:r>
      <w:bookmarkStart w:id="1" w:name="_GoBack"/>
      <w:bookmarkEnd w:id="1"/>
      <w:r>
        <w:rPr>
          <w:rFonts w:eastAsiaTheme="minorEastAsia"/>
          <w:szCs w:val="22"/>
          <w:lang w:val="en-GB" w:eastAsia="en-US"/>
        </w:rPr>
        <w:t xml:space="preserve"> an agreement on this, which is:</w:t>
      </w:r>
    </w:p>
    <w:p w14:paraId="3D7DC0E8" w14:textId="496E5800" w:rsidR="0045190A" w:rsidRDefault="0045190A" w:rsidP="0045190A">
      <w:pPr>
        <w:pStyle w:val="EmailDiscussion2"/>
        <w:ind w:left="0"/>
        <w:rPr>
          <w:lang w:val="en-GB"/>
        </w:rPr>
      </w:pPr>
    </w:p>
    <w:p w14:paraId="5DEA1800" w14:textId="77777777" w:rsidR="0045190A" w:rsidRDefault="0045190A" w:rsidP="0045190A">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2932CFF8" w14:textId="77777777" w:rsidR="0045190A" w:rsidRDefault="0045190A" w:rsidP="0045190A">
      <w:pPr>
        <w:pStyle w:val="EmailDiscussion2"/>
        <w:ind w:left="0"/>
        <w:rPr>
          <w:lang w:val="en-GB"/>
        </w:rPr>
      </w:pPr>
    </w:p>
    <w:p w14:paraId="340AE7BC" w14:textId="2168E30D" w:rsidR="0045190A" w:rsidRPr="0045190A" w:rsidRDefault="0045190A" w:rsidP="0045190A">
      <w:pPr>
        <w:rPr>
          <w:rFonts w:ascii="Arial" w:hAnsi="Arial" w:cs="Arial"/>
          <w:sz w:val="20"/>
          <w:lang w:val="en-GB"/>
        </w:rPr>
      </w:pPr>
      <w:r w:rsidRPr="0045190A">
        <w:rPr>
          <w:rFonts w:ascii="Arial" w:hAnsi="Arial" w:cs="Arial"/>
          <w:sz w:val="20"/>
          <w:lang w:val="en-GB"/>
        </w:rPr>
        <w:t xml:space="preserve">Therefore, nothing else needs to be done. </w:t>
      </w:r>
    </w:p>
    <w:sectPr w:rsidR="0045190A" w:rsidRPr="00451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E1B9" w14:textId="77777777" w:rsidR="00107ED6" w:rsidRDefault="00107ED6" w:rsidP="00FE0F5B">
      <w:pPr>
        <w:spacing w:after="0" w:line="240" w:lineRule="auto"/>
      </w:pPr>
      <w:r>
        <w:separator/>
      </w:r>
    </w:p>
  </w:endnote>
  <w:endnote w:type="continuationSeparator" w:id="0">
    <w:p w14:paraId="4973D02C" w14:textId="77777777" w:rsidR="00107ED6" w:rsidRDefault="00107ED6"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071F" w14:textId="77777777" w:rsidR="00107ED6" w:rsidRDefault="00107ED6" w:rsidP="00FE0F5B">
      <w:pPr>
        <w:spacing w:after="0" w:line="240" w:lineRule="auto"/>
      </w:pPr>
      <w:r>
        <w:separator/>
      </w:r>
    </w:p>
  </w:footnote>
  <w:footnote w:type="continuationSeparator" w:id="0">
    <w:p w14:paraId="2EA1EB39" w14:textId="77777777" w:rsidR="00107ED6" w:rsidRDefault="00107ED6"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07ED6"/>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6792B"/>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190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966D3"/>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BA3"/>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4445"/>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76F12"/>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3E1594-B0A3-4E41-A783-FC60D93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1211</Words>
  <Characters>6907</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QC-7</cp:lastModifiedBy>
  <cp:revision>3</cp:revision>
  <dcterms:created xsi:type="dcterms:W3CDTF">2020-04-23T17:15:00Z</dcterms:created>
  <dcterms:modified xsi:type="dcterms:W3CDTF">2020-04-23T17:23:00Z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