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Hyperlink"/>
            <w:lang w:eastAsia="zh-CN"/>
          </w:rPr>
          <w:t>R2-2003014</w:t>
        </w:r>
      </w:hyperlink>
      <w:r>
        <w:rPr>
          <w:lang w:val="en-GB" w:eastAsia="zh-CN"/>
        </w:rPr>
        <w:t xml:space="preserve">, </w:t>
      </w:r>
      <w:hyperlink r:id="rId13" w:tooltip="D:Documents3GPPtsg_ranWG2TSGR2_109bis-eDocsR2-2002728.zip" w:history="1">
        <w:r>
          <w:rPr>
            <w:rStyle w:val="Hyperlink"/>
            <w:lang w:eastAsia="zh-CN"/>
          </w:rPr>
          <w:t>R2-2002728</w:t>
        </w:r>
      </w:hyperlink>
      <w:r>
        <w:rPr>
          <w:lang w:val="en-GB" w:eastAsia="zh-CN"/>
        </w:rPr>
        <w:t xml:space="preserve">, </w:t>
      </w:r>
      <w:hyperlink r:id="rId14" w:tooltip="D:Documents3GPPtsg_ranWG2TSGR2_109bis-eDocsR2-2003178.zip" w:history="1">
        <w:r>
          <w:rPr>
            <w:rStyle w:val="Hyperlink"/>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ListParagraph"/>
        <w:spacing w:after="60" w:line="240" w:lineRule="auto"/>
        <w:ind w:left="0"/>
        <w:contextualSpacing w:val="0"/>
        <w:rPr>
          <w:rFonts w:ascii="Times New Roman" w:hAnsi="Times New Roman" w:cs="Times New Roman"/>
          <w:sz w:val="20"/>
        </w:rPr>
      </w:pPr>
    </w:p>
    <w:p w14:paraId="446340D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 that provides network access to UEs via a network of backhaul and access links. </w:t>
      </w:r>
    </w:p>
    <w:p w14:paraId="2EBB24C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 xml:space="preserve">IAB-donor </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w:t>
      </w:r>
    </w:p>
    <w:p w14:paraId="5C7E309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-CU and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w:t>
      </w:r>
    </w:p>
    <w:p w14:paraId="701A21CF"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ListParagraph"/>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ListParagraph"/>
        <w:spacing w:after="60" w:line="240" w:lineRule="auto"/>
        <w:ind w:left="0"/>
        <w:contextualSpacing w:val="0"/>
        <w:rPr>
          <w:rFonts w:ascii="Times New Roman" w:hAnsi="Times New Roman" w:cs="Times New Roman"/>
          <w:sz w:val="20"/>
        </w:rPr>
      </w:pPr>
    </w:p>
    <w:p w14:paraId="7D7A005C" w14:textId="77777777" w:rsidR="00604051" w:rsidRDefault="00604051">
      <w:pPr>
        <w:pStyle w:val="ListParagraph"/>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 xml:space="preserve">In the very late stage, it is difficult to have a </w:t>
            </w:r>
            <w:proofErr w:type="gramStart"/>
            <w:r>
              <w:rPr>
                <w:rFonts w:ascii="Arial" w:hAnsi="Arial" w:cs="Arial"/>
                <w:sz w:val="20"/>
                <w:szCs w:val="20"/>
                <w:lang w:eastAsia="zh-CN"/>
              </w:rPr>
              <w:t>comprehensive analyses</w:t>
            </w:r>
            <w:proofErr w:type="gramEnd"/>
            <w:r>
              <w:rPr>
                <w:rFonts w:ascii="Arial" w:hAnsi="Arial" w:cs="Arial"/>
                <w:sz w:val="20"/>
                <w:szCs w:val="20"/>
                <w:lang w:eastAsia="zh-CN"/>
              </w:rPr>
              <w:t>.</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Instead, we can first try to agree if some of those </w:t>
            </w:r>
            <w:proofErr w:type="spellStart"/>
            <w:r>
              <w:rPr>
                <w:rFonts w:ascii="Arial" w:hAnsi="Arial" w:cs="Arial"/>
                <w:sz w:val="20"/>
                <w:szCs w:val="20"/>
                <w:lang w:eastAsia="zh-CN"/>
              </w:rPr>
              <w:t>Wis</w:t>
            </w:r>
            <w:proofErr w:type="spellEnd"/>
            <w:r>
              <w:rPr>
                <w:rFonts w:ascii="Arial" w:hAnsi="Arial" w:cs="Arial"/>
                <w:sz w:val="20"/>
                <w:szCs w:val="20"/>
                <w:lang w:eastAsia="zh-CN"/>
              </w:rPr>
              <w:t xml:space="preserve">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hint="eastAsia"/>
                <w:sz w:val="20"/>
                <w:szCs w:val="20"/>
                <w:lang w:eastAsia="zh-CN"/>
              </w:rPr>
              <w:t>v</w:t>
            </w:r>
            <w:r>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hint="eastAsia"/>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it may not be strictly necessary as vendors should never be restricted from implementing optional features, although of course other network nodes may not implement them and the feature itself may not be that useful for IAB. We think the main issue arises if a feature from a different WI is a prerequisite for an IAB feature, in which case detailed analysis of the spec impact would have to be done in the WGs.</w:t>
            </w:r>
          </w:p>
        </w:tc>
      </w:tr>
    </w:tbl>
    <w:p w14:paraId="3B462F0D" w14:textId="77777777" w:rsidR="00604051" w:rsidRDefault="00604051">
      <w:pPr>
        <w:pStyle w:val="ListParagraph"/>
        <w:spacing w:after="60" w:line="240" w:lineRule="auto"/>
        <w:ind w:left="0"/>
        <w:contextualSpacing w:val="0"/>
        <w:rPr>
          <w:rFonts w:ascii="Times New Roman" w:hAnsi="Times New Roman" w:cs="Times New Roman"/>
          <w:sz w:val="20"/>
        </w:rPr>
      </w:pPr>
    </w:p>
    <w:p w14:paraId="0E87D2D4" w14:textId="77777777" w:rsidR="00604051" w:rsidRDefault="007D5913">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5F57" w14:textId="77777777" w:rsidR="00F76F12" w:rsidRDefault="00F76F12" w:rsidP="00FE0F5B">
      <w:pPr>
        <w:spacing w:after="0" w:line="240" w:lineRule="auto"/>
      </w:pPr>
      <w:r>
        <w:separator/>
      </w:r>
    </w:p>
  </w:endnote>
  <w:endnote w:type="continuationSeparator" w:id="0">
    <w:p w14:paraId="309CCFAC" w14:textId="77777777" w:rsidR="00F76F12" w:rsidRDefault="00F76F12"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3601" w14:textId="77777777" w:rsidR="00F76F12" w:rsidRDefault="00F76F12" w:rsidP="00FE0F5B">
      <w:pPr>
        <w:spacing w:after="0" w:line="240" w:lineRule="auto"/>
      </w:pPr>
      <w:r>
        <w:separator/>
      </w:r>
    </w:p>
  </w:footnote>
  <w:footnote w:type="continuationSeparator" w:id="0">
    <w:p w14:paraId="727391AD" w14:textId="77777777" w:rsidR="00F76F12" w:rsidRDefault="00F76F12"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9B0AB-271E-124F-B5CE-4781F6DE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NOVLAN, THOMAS D</cp:lastModifiedBy>
  <cp:revision>3</cp:revision>
  <dcterms:created xsi:type="dcterms:W3CDTF">2020-04-23T13:38:00Z</dcterms:created>
  <dcterms:modified xsi:type="dcterms:W3CDTF">2020-04-23T13:43:00Z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