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014][</w:t>
      </w:r>
      <w:proofErr w:type="gramEnd"/>
      <w:r w:rsidR="00D52C57" w:rsidRPr="00D52C57">
        <w:rPr>
          <w:rFonts w:ascii="Arial" w:hAnsi="Arial" w:cs="Arial"/>
          <w:b/>
          <w:sz w:val="22"/>
        </w:rPr>
        <w:t>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[AT109bis-e][</w:t>
      </w:r>
      <w:proofErr w:type="gramStart"/>
      <w:r>
        <w:t>014][</w:t>
      </w:r>
      <w:proofErr w:type="gramEnd"/>
      <w:r>
        <w:t xml:space="preserve">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rFonts w:hint="eastAsia"/>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w:t>
        </w:r>
        <w:r>
          <w:rPr>
            <w:rStyle w:val="Hyperlink"/>
          </w:rPr>
          <w:t>0</w:t>
        </w:r>
        <w:r>
          <w:rPr>
            <w:rStyle w:val="Hyperlink"/>
          </w:rPr>
          <w:t>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hint="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游明朝"/>
          <w:lang w:val="en-US" w:eastAsia="ja-JP"/>
        </w:rPr>
        <w:t xml:space="preserve">the </w:t>
      </w:r>
      <w:r>
        <w:rPr>
          <w:rFonts w:eastAsia="游明朝"/>
          <w:lang w:val="en-US" w:eastAsia="ja-JP"/>
        </w:rPr>
        <w:t xml:space="preserve">UE </w:t>
      </w:r>
      <w:r w:rsidRPr="0083049B">
        <w:rPr>
          <w:rFonts w:eastAsia="游明朝"/>
          <w:lang w:val="en-US" w:eastAsia="ja-JP"/>
        </w:rPr>
        <w:t>minimum requirement for the number of DRBs</w:t>
      </w:r>
      <w:r>
        <w:rPr>
          <w:rFonts w:eastAsia="游明朝"/>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77777777" w:rsidR="008A0C5A" w:rsidRDefault="008A0C5A" w:rsidP="009663B3">
            <w:pPr>
              <w:rPr>
                <w:rFonts w:eastAsiaTheme="minorEastAsia"/>
                <w:sz w:val="22"/>
                <w:szCs w:val="22"/>
                <w:lang w:eastAsia="ja-JP"/>
              </w:rPr>
            </w:pPr>
          </w:p>
        </w:tc>
        <w:tc>
          <w:tcPr>
            <w:tcW w:w="1559" w:type="dxa"/>
          </w:tcPr>
          <w:p w14:paraId="151AAACC" w14:textId="77777777" w:rsidR="008A0C5A" w:rsidRDefault="008A0C5A" w:rsidP="009663B3">
            <w:pPr>
              <w:rPr>
                <w:rFonts w:eastAsiaTheme="minorEastAsia"/>
                <w:sz w:val="22"/>
                <w:szCs w:val="22"/>
                <w:lang w:eastAsia="ja-JP"/>
              </w:rPr>
            </w:pPr>
          </w:p>
        </w:tc>
        <w:tc>
          <w:tcPr>
            <w:tcW w:w="5950" w:type="dxa"/>
          </w:tcPr>
          <w:p w14:paraId="3B171107" w14:textId="77777777" w:rsidR="008A0C5A" w:rsidRDefault="008A0C5A" w:rsidP="009663B3">
            <w:pPr>
              <w:rPr>
                <w:rFonts w:eastAsiaTheme="minorEastAsia"/>
                <w:sz w:val="22"/>
                <w:szCs w:val="22"/>
                <w:lang w:eastAsia="ja-JP"/>
              </w:rPr>
            </w:pPr>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Hyperlink"/>
          </w:rPr>
          <w:t>R2-2</w:t>
        </w:r>
        <w:r>
          <w:rPr>
            <w:rStyle w:val="Hyperlink"/>
          </w:rPr>
          <w:t>0</w:t>
        </w:r>
        <w:r>
          <w:rPr>
            <w:rStyle w:val="Hyperlink"/>
          </w:rPr>
          <w:t>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w:t>
            </w:r>
            <w:proofErr w:type="gramStart"/>
            <w:r>
              <w:rPr>
                <w:rFonts w:eastAsiaTheme="minorEastAsia"/>
                <w:sz w:val="22"/>
                <w:szCs w:val="22"/>
                <w:lang w:eastAsia="ja-JP"/>
              </w:rPr>
              <w:t>is allowed to</w:t>
            </w:r>
            <w:proofErr w:type="gramEnd"/>
            <w:r>
              <w:rPr>
                <w:rFonts w:eastAsiaTheme="minorEastAsia"/>
                <w:sz w:val="22"/>
                <w:szCs w:val="22"/>
                <w:lang w:eastAsia="ja-JP"/>
              </w:rPr>
              <w:t xml:space="preserve">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8A0C5A" w14:paraId="76445FEC" w14:textId="77777777" w:rsidTr="004146C9">
        <w:tc>
          <w:tcPr>
            <w:tcW w:w="2122" w:type="dxa"/>
          </w:tcPr>
          <w:p w14:paraId="65DF8E08" w14:textId="77777777" w:rsidR="008A0C5A" w:rsidRDefault="008A0C5A" w:rsidP="004146C9">
            <w:pPr>
              <w:rPr>
                <w:rFonts w:eastAsiaTheme="minorEastAsia"/>
                <w:sz w:val="22"/>
                <w:szCs w:val="22"/>
                <w:lang w:eastAsia="ja-JP"/>
              </w:rPr>
            </w:pPr>
          </w:p>
        </w:tc>
        <w:tc>
          <w:tcPr>
            <w:tcW w:w="1559" w:type="dxa"/>
          </w:tcPr>
          <w:p w14:paraId="4C58B481" w14:textId="77777777" w:rsidR="008A0C5A" w:rsidRDefault="008A0C5A" w:rsidP="004146C9">
            <w:pPr>
              <w:rPr>
                <w:rFonts w:eastAsiaTheme="minorEastAsia"/>
                <w:sz w:val="22"/>
                <w:szCs w:val="22"/>
                <w:lang w:eastAsia="ja-JP"/>
              </w:rPr>
            </w:pPr>
          </w:p>
        </w:tc>
        <w:tc>
          <w:tcPr>
            <w:tcW w:w="5950" w:type="dxa"/>
          </w:tcPr>
          <w:p w14:paraId="02118C6A" w14:textId="77777777" w:rsidR="008A0C5A" w:rsidRPr="00786FE2" w:rsidRDefault="008A0C5A" w:rsidP="004146C9">
            <w:pPr>
              <w:rPr>
                <w:rFonts w:eastAsiaTheme="minorEastAsia"/>
                <w:sz w:val="22"/>
                <w:szCs w:val="22"/>
                <w:lang w:eastAsia="ja-JP"/>
              </w:rPr>
            </w:pPr>
          </w:p>
        </w:tc>
      </w:tr>
      <w:tr w:rsidR="008A0C5A" w14:paraId="1697FDF1" w14:textId="77777777" w:rsidTr="004146C9">
        <w:tc>
          <w:tcPr>
            <w:tcW w:w="2122" w:type="dxa"/>
          </w:tcPr>
          <w:p w14:paraId="3820E164" w14:textId="77777777" w:rsidR="008A0C5A" w:rsidRDefault="008A0C5A" w:rsidP="004146C9">
            <w:pPr>
              <w:rPr>
                <w:rFonts w:eastAsiaTheme="minorEastAsia"/>
                <w:sz w:val="22"/>
                <w:szCs w:val="22"/>
                <w:lang w:eastAsia="ja-JP"/>
              </w:rPr>
            </w:pPr>
          </w:p>
        </w:tc>
        <w:tc>
          <w:tcPr>
            <w:tcW w:w="1559" w:type="dxa"/>
          </w:tcPr>
          <w:p w14:paraId="60737F16" w14:textId="77777777" w:rsidR="008A0C5A" w:rsidRDefault="008A0C5A" w:rsidP="004146C9">
            <w:pPr>
              <w:rPr>
                <w:rFonts w:eastAsiaTheme="minorEastAsia"/>
                <w:sz w:val="22"/>
                <w:szCs w:val="22"/>
                <w:lang w:eastAsia="ja-JP"/>
              </w:rPr>
            </w:pPr>
          </w:p>
        </w:tc>
        <w:tc>
          <w:tcPr>
            <w:tcW w:w="5950" w:type="dxa"/>
          </w:tcPr>
          <w:p w14:paraId="49DF4CF4" w14:textId="77777777" w:rsidR="008A0C5A" w:rsidRDefault="008A0C5A" w:rsidP="004146C9">
            <w:pPr>
              <w:rPr>
                <w:rFonts w:eastAsiaTheme="minorEastAsia"/>
                <w:sz w:val="22"/>
                <w:szCs w:val="22"/>
                <w:lang w:eastAsia="ja-JP"/>
              </w:rPr>
            </w:pPr>
          </w:p>
        </w:tc>
      </w:tr>
      <w:tr w:rsidR="008A0C5A" w14:paraId="5E4D2E33" w14:textId="77777777" w:rsidTr="004146C9">
        <w:tc>
          <w:tcPr>
            <w:tcW w:w="2122" w:type="dxa"/>
          </w:tcPr>
          <w:p w14:paraId="5FF5BD19" w14:textId="77777777" w:rsidR="008A0C5A" w:rsidRDefault="008A0C5A" w:rsidP="004146C9">
            <w:pPr>
              <w:rPr>
                <w:rFonts w:eastAsiaTheme="minorEastAsia"/>
                <w:sz w:val="22"/>
                <w:szCs w:val="22"/>
                <w:lang w:eastAsia="ja-JP"/>
              </w:rPr>
            </w:pPr>
          </w:p>
        </w:tc>
        <w:tc>
          <w:tcPr>
            <w:tcW w:w="1559" w:type="dxa"/>
          </w:tcPr>
          <w:p w14:paraId="71644AE9" w14:textId="77777777" w:rsidR="008A0C5A" w:rsidRDefault="008A0C5A" w:rsidP="004146C9">
            <w:pPr>
              <w:rPr>
                <w:rFonts w:eastAsiaTheme="minorEastAsia"/>
                <w:sz w:val="22"/>
                <w:szCs w:val="22"/>
                <w:lang w:eastAsia="ja-JP"/>
              </w:rPr>
            </w:pPr>
          </w:p>
        </w:tc>
        <w:tc>
          <w:tcPr>
            <w:tcW w:w="5950" w:type="dxa"/>
          </w:tcPr>
          <w:p w14:paraId="2F9ABCE3" w14:textId="77777777" w:rsidR="008A0C5A" w:rsidRDefault="008A0C5A" w:rsidP="004146C9">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Hyperlink"/>
          </w:rPr>
          <w:t>R2-2</w:t>
        </w:r>
        <w:r>
          <w:rPr>
            <w:rStyle w:val="Hyperlink"/>
          </w:rPr>
          <w:t>0</w:t>
        </w:r>
        <w:r>
          <w:rPr>
            <w:rStyle w:val="Hyperlink"/>
          </w:rPr>
          <w:t>02578</w:t>
        </w:r>
      </w:hyperlink>
      <w:r>
        <w:rPr>
          <w:lang w:eastAsia="zh-CN"/>
        </w:rPr>
        <w:t>)</w:t>
      </w:r>
    </w:p>
    <w:p w14:paraId="42B7EA39" w14:textId="51C0C604" w:rsidR="007A4DBF" w:rsidRPr="00786FE2" w:rsidRDefault="00786FE2" w:rsidP="009663B3">
      <w:pPr>
        <w:rPr>
          <w:rFonts w:eastAsiaTheme="minorEastAsia" w:hint="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77777777" w:rsidR="00786FE2" w:rsidRDefault="00786FE2" w:rsidP="004146C9">
            <w:pPr>
              <w:rPr>
                <w:rFonts w:eastAsiaTheme="minorEastAsia"/>
                <w:sz w:val="22"/>
                <w:szCs w:val="22"/>
                <w:lang w:eastAsia="ja-JP"/>
              </w:rPr>
            </w:pPr>
          </w:p>
        </w:tc>
        <w:tc>
          <w:tcPr>
            <w:tcW w:w="1559" w:type="dxa"/>
          </w:tcPr>
          <w:p w14:paraId="63ED6A27" w14:textId="77777777" w:rsidR="00786FE2" w:rsidRDefault="00786FE2" w:rsidP="004146C9">
            <w:pPr>
              <w:rPr>
                <w:rFonts w:eastAsiaTheme="minorEastAsia"/>
                <w:sz w:val="22"/>
                <w:szCs w:val="22"/>
                <w:lang w:eastAsia="ja-JP"/>
              </w:rPr>
            </w:pP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77777777" w:rsidR="00786FE2" w:rsidRDefault="00786FE2" w:rsidP="004146C9">
            <w:pPr>
              <w:rPr>
                <w:rFonts w:eastAsiaTheme="minorEastAsia"/>
                <w:sz w:val="22"/>
                <w:szCs w:val="22"/>
                <w:lang w:eastAsia="ja-JP"/>
              </w:rPr>
            </w:pP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77777777" w:rsidR="00786FE2" w:rsidRDefault="00786FE2" w:rsidP="004146C9">
            <w:pPr>
              <w:rPr>
                <w:rFonts w:eastAsiaTheme="minorEastAsia"/>
                <w:sz w:val="22"/>
                <w:szCs w:val="22"/>
                <w:lang w:eastAsia="ja-JP"/>
              </w:rPr>
            </w:pP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77777777" w:rsidR="009D14A3" w:rsidRDefault="009D14A3" w:rsidP="004146C9">
            <w:pPr>
              <w:rPr>
                <w:rFonts w:eastAsiaTheme="minorEastAsia"/>
                <w:sz w:val="22"/>
                <w:szCs w:val="22"/>
                <w:lang w:eastAsia="ja-JP"/>
              </w:rPr>
            </w:pPr>
          </w:p>
        </w:tc>
        <w:tc>
          <w:tcPr>
            <w:tcW w:w="1559" w:type="dxa"/>
          </w:tcPr>
          <w:p w14:paraId="72241866" w14:textId="77777777" w:rsidR="009D14A3" w:rsidRDefault="009D14A3" w:rsidP="004146C9">
            <w:pPr>
              <w:rPr>
                <w:rFonts w:eastAsiaTheme="minorEastAsia"/>
                <w:sz w:val="22"/>
                <w:szCs w:val="22"/>
                <w:lang w:eastAsia="ja-JP"/>
              </w:rPr>
            </w:pP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77777777" w:rsidR="009D14A3" w:rsidRDefault="009D14A3" w:rsidP="004146C9">
            <w:pPr>
              <w:rPr>
                <w:rFonts w:eastAsiaTheme="minorEastAsia"/>
                <w:sz w:val="22"/>
                <w:szCs w:val="22"/>
                <w:lang w:eastAsia="ja-JP"/>
              </w:rPr>
            </w:pPr>
          </w:p>
        </w:tc>
        <w:tc>
          <w:tcPr>
            <w:tcW w:w="1559" w:type="dxa"/>
          </w:tcPr>
          <w:p w14:paraId="07FF8353" w14:textId="77777777" w:rsidR="009D14A3" w:rsidRDefault="009D14A3" w:rsidP="004146C9">
            <w:pPr>
              <w:rPr>
                <w:rFonts w:eastAsiaTheme="minorEastAsia"/>
                <w:sz w:val="22"/>
                <w:szCs w:val="22"/>
                <w:lang w:eastAsia="ja-JP"/>
              </w:rPr>
            </w:pP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Heading2"/>
        <w:numPr>
          <w:ilvl w:val="1"/>
          <w:numId w:val="10"/>
        </w:numPr>
        <w:rPr>
          <w:lang w:eastAsia="zh-CN"/>
        </w:rPr>
      </w:pPr>
      <w:r w:rsidRPr="009D14A3">
        <w:rPr>
          <w:lang w:eastAsia="zh-CN"/>
        </w:rPr>
        <w:lastRenderedPageBreak/>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w:t>
        </w:r>
        <w:r>
          <w:rPr>
            <w:rStyle w:val="Hyperlink"/>
          </w:rPr>
          <w:t>7</w:t>
        </w:r>
        <w:r>
          <w:rPr>
            <w:rStyle w:val="Hyperlink"/>
          </w:rPr>
          <w:t>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77777777" w:rsidR="009D14A3" w:rsidRDefault="009D14A3" w:rsidP="004146C9">
            <w:pPr>
              <w:rPr>
                <w:rFonts w:eastAsiaTheme="minorEastAsia"/>
                <w:sz w:val="22"/>
                <w:szCs w:val="22"/>
                <w:lang w:eastAsia="ja-JP"/>
              </w:rPr>
            </w:pPr>
          </w:p>
        </w:tc>
        <w:tc>
          <w:tcPr>
            <w:tcW w:w="1559" w:type="dxa"/>
          </w:tcPr>
          <w:p w14:paraId="3C08732F" w14:textId="77777777" w:rsidR="009D14A3" w:rsidRDefault="009D14A3" w:rsidP="004146C9">
            <w:pPr>
              <w:rPr>
                <w:rFonts w:eastAsiaTheme="minorEastAsia"/>
                <w:sz w:val="22"/>
                <w:szCs w:val="22"/>
                <w:lang w:eastAsia="ja-JP"/>
              </w:rPr>
            </w:pPr>
          </w:p>
        </w:tc>
        <w:tc>
          <w:tcPr>
            <w:tcW w:w="5950" w:type="dxa"/>
          </w:tcPr>
          <w:p w14:paraId="2B37A28C" w14:textId="77777777" w:rsidR="009D14A3" w:rsidRDefault="009D14A3" w:rsidP="004146C9">
            <w:pPr>
              <w:rPr>
                <w:rFonts w:eastAsiaTheme="minorEastAsia"/>
                <w:sz w:val="22"/>
                <w:szCs w:val="22"/>
                <w:lang w:eastAsia="ja-JP"/>
              </w:rPr>
            </w:pPr>
          </w:p>
        </w:tc>
      </w:tr>
      <w:tr w:rsidR="009D14A3" w14:paraId="2B434955" w14:textId="77777777" w:rsidTr="004146C9">
        <w:tc>
          <w:tcPr>
            <w:tcW w:w="2122" w:type="dxa"/>
          </w:tcPr>
          <w:p w14:paraId="5BAA9544" w14:textId="77777777" w:rsidR="009D14A3" w:rsidRDefault="009D14A3" w:rsidP="004146C9">
            <w:pPr>
              <w:rPr>
                <w:rFonts w:eastAsiaTheme="minorEastAsia"/>
                <w:sz w:val="22"/>
                <w:szCs w:val="22"/>
                <w:lang w:eastAsia="ja-JP"/>
              </w:rPr>
            </w:pPr>
          </w:p>
        </w:tc>
        <w:tc>
          <w:tcPr>
            <w:tcW w:w="1559" w:type="dxa"/>
          </w:tcPr>
          <w:p w14:paraId="3A2D3DD3" w14:textId="77777777" w:rsidR="009D14A3" w:rsidRDefault="009D14A3" w:rsidP="004146C9">
            <w:pPr>
              <w:rPr>
                <w:rFonts w:eastAsiaTheme="minorEastAsia"/>
                <w:sz w:val="22"/>
                <w:szCs w:val="22"/>
                <w:lang w:eastAsia="ja-JP"/>
              </w:rPr>
            </w:pPr>
          </w:p>
        </w:tc>
        <w:tc>
          <w:tcPr>
            <w:tcW w:w="5950" w:type="dxa"/>
          </w:tcPr>
          <w:p w14:paraId="74A9A59C" w14:textId="77777777" w:rsidR="009D14A3" w:rsidRDefault="009D14A3" w:rsidP="004146C9">
            <w:pPr>
              <w:rPr>
                <w:rFonts w:eastAsiaTheme="minorEastAsia"/>
                <w:sz w:val="22"/>
                <w:szCs w:val="22"/>
                <w:lang w:eastAsia="ja-JP"/>
              </w:rPr>
            </w:pPr>
          </w:p>
        </w:tc>
      </w:tr>
      <w:tr w:rsidR="009D14A3" w14:paraId="43E7AEB6" w14:textId="77777777" w:rsidTr="004146C9">
        <w:tc>
          <w:tcPr>
            <w:tcW w:w="2122" w:type="dxa"/>
          </w:tcPr>
          <w:p w14:paraId="4F611EDD" w14:textId="77777777" w:rsidR="009D14A3" w:rsidRDefault="009D14A3" w:rsidP="004146C9">
            <w:pPr>
              <w:rPr>
                <w:rFonts w:eastAsiaTheme="minorEastAsia"/>
                <w:sz w:val="22"/>
                <w:szCs w:val="22"/>
                <w:lang w:eastAsia="ja-JP"/>
              </w:rPr>
            </w:pPr>
          </w:p>
        </w:tc>
        <w:tc>
          <w:tcPr>
            <w:tcW w:w="1559" w:type="dxa"/>
          </w:tcPr>
          <w:p w14:paraId="5BE9EE15" w14:textId="77777777" w:rsidR="009D14A3" w:rsidRDefault="009D14A3" w:rsidP="004146C9">
            <w:pPr>
              <w:rPr>
                <w:rFonts w:eastAsiaTheme="minorEastAsia"/>
                <w:sz w:val="22"/>
                <w:szCs w:val="22"/>
                <w:lang w:eastAsia="ja-JP"/>
              </w:rPr>
            </w:pPr>
          </w:p>
        </w:tc>
        <w:tc>
          <w:tcPr>
            <w:tcW w:w="5950" w:type="dxa"/>
          </w:tcPr>
          <w:p w14:paraId="385F87C0" w14:textId="77777777" w:rsidR="009D14A3" w:rsidRDefault="009D14A3" w:rsidP="004146C9">
            <w:pPr>
              <w:rPr>
                <w:rFonts w:eastAsiaTheme="minorEastAsia"/>
                <w:sz w:val="22"/>
                <w:szCs w:val="22"/>
                <w:lang w:eastAsia="ja-JP"/>
              </w:rPr>
            </w:pPr>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Heading2"/>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hint="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w:t>
      </w:r>
      <w:r>
        <w:rPr>
          <w:rFonts w:eastAsiaTheme="minorEastAsia"/>
          <w:sz w:val="22"/>
          <w:szCs w:val="22"/>
          <w:lang w:eastAsia="ja-JP"/>
        </w:rPr>
        <w:t xml:space="preserve">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w:t>
      </w:r>
      <w:r w:rsidRPr="00444ABA">
        <w:rPr>
          <w:rFonts w:eastAsiaTheme="minorEastAsia"/>
          <w:i/>
          <w:iCs/>
          <w:sz w:val="22"/>
          <w:szCs w:val="22"/>
          <w:lang w:eastAsia="ja-JP"/>
        </w:rPr>
        <w:t>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77777777" w:rsidR="00444ABA" w:rsidRDefault="00444ABA" w:rsidP="004146C9">
            <w:pPr>
              <w:rPr>
                <w:rFonts w:eastAsiaTheme="minorEastAsia"/>
                <w:sz w:val="22"/>
                <w:szCs w:val="22"/>
                <w:lang w:eastAsia="ja-JP"/>
              </w:rPr>
            </w:pPr>
          </w:p>
        </w:tc>
        <w:tc>
          <w:tcPr>
            <w:tcW w:w="1559" w:type="dxa"/>
          </w:tcPr>
          <w:p w14:paraId="56E63FCD" w14:textId="77777777" w:rsidR="00444ABA" w:rsidRDefault="00444ABA" w:rsidP="004146C9">
            <w:pPr>
              <w:rPr>
                <w:rFonts w:eastAsiaTheme="minorEastAsia"/>
                <w:sz w:val="22"/>
                <w:szCs w:val="22"/>
                <w:lang w:eastAsia="ja-JP"/>
              </w:rPr>
            </w:pP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77777777" w:rsidR="00444ABA" w:rsidRDefault="00444ABA" w:rsidP="004146C9">
            <w:pPr>
              <w:rPr>
                <w:rFonts w:eastAsiaTheme="minorEastAsia"/>
                <w:sz w:val="22"/>
                <w:szCs w:val="22"/>
                <w:lang w:eastAsia="ja-JP"/>
              </w:rPr>
            </w:pPr>
          </w:p>
        </w:tc>
        <w:tc>
          <w:tcPr>
            <w:tcW w:w="1559" w:type="dxa"/>
          </w:tcPr>
          <w:p w14:paraId="02B3AAA5" w14:textId="77777777" w:rsidR="00444ABA" w:rsidRDefault="00444ABA" w:rsidP="004146C9">
            <w:pPr>
              <w:rPr>
                <w:rFonts w:eastAsiaTheme="minorEastAsia"/>
                <w:sz w:val="22"/>
                <w:szCs w:val="22"/>
                <w:lang w:eastAsia="ja-JP"/>
              </w:rPr>
            </w:pP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77777777" w:rsidR="00444ABA" w:rsidRDefault="00444ABA" w:rsidP="004146C9">
            <w:pPr>
              <w:rPr>
                <w:rFonts w:eastAsiaTheme="minorEastAsia"/>
                <w:sz w:val="22"/>
                <w:szCs w:val="22"/>
                <w:lang w:eastAsia="ja-JP"/>
              </w:rPr>
            </w:pPr>
          </w:p>
        </w:tc>
        <w:tc>
          <w:tcPr>
            <w:tcW w:w="1559" w:type="dxa"/>
          </w:tcPr>
          <w:p w14:paraId="72412E7F" w14:textId="77777777" w:rsidR="00444ABA" w:rsidRDefault="00444ABA" w:rsidP="004146C9">
            <w:pPr>
              <w:rPr>
                <w:rFonts w:eastAsiaTheme="minorEastAsia"/>
                <w:sz w:val="22"/>
                <w:szCs w:val="22"/>
                <w:lang w:eastAsia="ja-JP"/>
              </w:rPr>
            </w:pPr>
          </w:p>
        </w:tc>
        <w:tc>
          <w:tcPr>
            <w:tcW w:w="5950" w:type="dxa"/>
          </w:tcPr>
          <w:p w14:paraId="49A1B1C0" w14:textId="77777777" w:rsidR="00444ABA" w:rsidRDefault="00444ABA" w:rsidP="004146C9">
            <w:pPr>
              <w:rPr>
                <w:rFonts w:eastAsiaTheme="minorEastAsia"/>
                <w:sz w:val="22"/>
                <w:szCs w:val="22"/>
                <w:lang w:eastAsia="ja-JP"/>
              </w:rPr>
            </w:pPr>
          </w:p>
        </w:tc>
      </w:tr>
    </w:tbl>
    <w:p w14:paraId="564B1377" w14:textId="77777777" w:rsidR="009D14A3" w:rsidRPr="005C0E1F" w:rsidRDefault="009D14A3" w:rsidP="00C37076">
      <w:pPr>
        <w:rPr>
          <w:rFonts w:eastAsiaTheme="minorEastAsia" w:hint="eastAsia"/>
          <w:sz w:val="22"/>
          <w:szCs w:val="22"/>
          <w:lang w:val="en-US" w:eastAsia="ja-JP"/>
        </w:rPr>
      </w:pPr>
      <w:bookmarkStart w:id="2" w:name="_GoBack"/>
      <w:bookmarkEnd w:id="2"/>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rFonts w:hint="eastAsia"/>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E811" w14:textId="77777777" w:rsidR="00E41187" w:rsidRDefault="00E41187">
      <w:r>
        <w:separator/>
      </w:r>
    </w:p>
  </w:endnote>
  <w:endnote w:type="continuationSeparator" w:id="0">
    <w:p w14:paraId="559AFD51" w14:textId="77777777" w:rsidR="00E41187" w:rsidRDefault="00E4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23D0" w14:textId="77777777" w:rsidR="00E41187" w:rsidRDefault="00E41187">
      <w:r>
        <w:separator/>
      </w:r>
    </w:p>
  </w:footnote>
  <w:footnote w:type="continuationSeparator" w:id="0">
    <w:p w14:paraId="003E5D64" w14:textId="77777777" w:rsidR="00E41187" w:rsidRDefault="00E4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D85F-9A84-42D2-902A-F1A69214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Qualcomm (Masato)</cp:lastModifiedBy>
  <cp:revision>4</cp:revision>
  <cp:lastPrinted>2009-04-22T00:01:00Z</cp:lastPrinted>
  <dcterms:created xsi:type="dcterms:W3CDTF">2020-04-06T01:28:00Z</dcterms:created>
  <dcterms:modified xsi:type="dcterms:W3CDTF">2020-04-21T08:15:00Z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