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090" w:rsidRPr="00B62621" w:rsidRDefault="00B17090" w:rsidP="00B1709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7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863</w:t>
      </w:r>
      <w:r>
        <w:rPr>
          <w:b/>
          <w:noProof/>
          <w:sz w:val="24"/>
          <w:szCs w:val="24"/>
        </w:rPr>
        <w:t>3</w:t>
      </w:r>
    </w:p>
    <w:p w:rsidR="00B17090" w:rsidRPr="00B62621" w:rsidRDefault="00B17090" w:rsidP="00B170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 – 30 August,</w:t>
      </w:r>
      <w:r w:rsidRPr="00B62621">
        <w:rPr>
          <w:b/>
          <w:noProof/>
          <w:sz w:val="24"/>
          <w:szCs w:val="24"/>
        </w:rPr>
        <w:t xml:space="preserve"> 2019</w:t>
      </w:r>
    </w:p>
    <w:p w:rsidR="00B17090" w:rsidRPr="00B62621" w:rsidRDefault="00B17090" w:rsidP="00B170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B17090" w:rsidRPr="005213F2" w:rsidRDefault="00B17090" w:rsidP="00B170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3C7580" w:rsidRPr="00D46AC8" w:rsidRDefault="003C7580" w:rsidP="003C7580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E07C14" w:rsidRPr="00E07C14">
        <w:rPr>
          <w:b/>
          <w:noProof/>
          <w:sz w:val="24"/>
        </w:rPr>
        <w:t>R4-</w:t>
      </w:r>
      <w:r w:rsidR="00934422" w:rsidRPr="00E07C14">
        <w:rPr>
          <w:b/>
          <w:noProof/>
          <w:sz w:val="24"/>
        </w:rPr>
        <w:t>190</w:t>
      </w:r>
      <w:r w:rsidR="00934422">
        <w:rPr>
          <w:b/>
          <w:noProof/>
          <w:sz w:val="24"/>
        </w:rPr>
        <w:t>7195</w:t>
      </w:r>
    </w:p>
    <w:p w:rsidR="003C7580" w:rsidRDefault="003C7580" w:rsidP="003C7580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3C7580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Reply LS on capability of measurement gap patterns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R2-1902732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5E6C95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>RAN4 would like to thank RAN2 for the LS on capability of measurement gap patterns (</w:t>
      </w:r>
      <w:r w:rsidRPr="005E6C95">
        <w:rPr>
          <w:rFonts w:ascii="Arial" w:hAnsi="Arial" w:cs="Arial"/>
          <w:bCs/>
          <w:lang w:val="en-US"/>
        </w:rPr>
        <w:t>R2-1902732</w:t>
      </w:r>
      <w:r w:rsidRPr="005E6C95">
        <w:rPr>
          <w:rFonts w:ascii="Arial" w:hAnsi="Arial" w:cs="Arial"/>
        </w:rPr>
        <w:t>). After discussion in RAN4, the feedback to RAN2 for their future work is as below,</w:t>
      </w:r>
    </w:p>
    <w:p w:rsidR="008B41C0" w:rsidRDefault="008B41C0" w:rsidP="00CA21D2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180"/>
        <w:jc w:val="both"/>
        <w:rPr>
          <w:rFonts w:ascii="Arial" w:hAnsi="Arial" w:cs="Arial"/>
        </w:rPr>
      </w:pPr>
      <w:r w:rsidRPr="00CA21D2">
        <w:rPr>
          <w:rFonts w:ascii="Arial" w:hAnsi="Arial" w:cs="Arial"/>
          <w:sz w:val="20"/>
          <w:szCs w:val="20"/>
        </w:rPr>
        <w:t>For NR SA, NR CA and NR-DC cases</w:t>
      </w:r>
      <w:r>
        <w:rPr>
          <w:rFonts w:ascii="Arial" w:hAnsi="Arial" w:cs="Arial"/>
          <w:sz w:val="20"/>
          <w:szCs w:val="20"/>
        </w:rPr>
        <w:t xml:space="preserve"> in Rel-15</w:t>
      </w:r>
      <w:r w:rsidRPr="00CA21D2">
        <w:rPr>
          <w:rFonts w:ascii="Arial" w:hAnsi="Arial" w:cs="Arial"/>
          <w:sz w:val="20"/>
          <w:szCs w:val="20"/>
        </w:rPr>
        <w:t xml:space="preserve">, when </w:t>
      </w:r>
      <w:r>
        <w:rPr>
          <w:rFonts w:ascii="Arial" w:hAnsi="Arial" w:cs="Arial"/>
          <w:sz w:val="20"/>
          <w:szCs w:val="20"/>
        </w:rPr>
        <w:t>“</w:t>
      </w:r>
      <w:r w:rsidRPr="00CA21D2">
        <w:rPr>
          <w:rFonts w:ascii="Arial" w:hAnsi="Arial" w:cs="Arial"/>
          <w:sz w:val="20"/>
          <w:szCs w:val="20"/>
        </w:rPr>
        <w:t>per-UE MG capable UE has FR2 serving cell only and is configured with FR2 MO only</w:t>
      </w:r>
      <w:r>
        <w:rPr>
          <w:rFonts w:ascii="Arial" w:hAnsi="Arial" w:cs="Arial"/>
          <w:sz w:val="20"/>
          <w:szCs w:val="20"/>
        </w:rPr>
        <w:t>”</w:t>
      </w:r>
      <w:r w:rsidRPr="00CA21D2">
        <w:rPr>
          <w:rFonts w:ascii="Arial" w:hAnsi="Arial" w:cs="Arial"/>
          <w:sz w:val="20"/>
          <w:szCs w:val="20"/>
        </w:rPr>
        <w:t xml:space="preserve"> or </w:t>
      </w:r>
      <w:r>
        <w:rPr>
          <w:rFonts w:ascii="Arial" w:hAnsi="Arial" w:cs="Arial"/>
          <w:sz w:val="20"/>
          <w:szCs w:val="20"/>
        </w:rPr>
        <w:t>“</w:t>
      </w:r>
      <w:r w:rsidRPr="00CA21D2">
        <w:rPr>
          <w:rFonts w:ascii="Arial" w:hAnsi="Arial" w:cs="Arial"/>
          <w:sz w:val="20"/>
          <w:szCs w:val="20"/>
        </w:rPr>
        <w:t>per-FR MG capable UE has a FR2 serving cell and is configured with a FR2 MO</w:t>
      </w:r>
      <w:r>
        <w:rPr>
          <w:rFonts w:ascii="Arial" w:hAnsi="Arial" w:cs="Arial"/>
          <w:sz w:val="20"/>
          <w:szCs w:val="20"/>
        </w:rPr>
        <w:t>”</w:t>
      </w:r>
      <w:r w:rsidRPr="00CA21D2">
        <w:rPr>
          <w:rFonts w:ascii="Arial" w:hAnsi="Arial" w:cs="Arial"/>
          <w:sz w:val="20"/>
          <w:szCs w:val="20"/>
        </w:rPr>
        <w:t>,</w:t>
      </w:r>
    </w:p>
    <w:p w:rsidR="008B41C0" w:rsidRDefault="008B41C0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after="180"/>
        <w:jc w:val="both"/>
        <w:rPr>
          <w:rFonts w:ascii="Arial" w:hAnsi="Arial" w:cs="Arial"/>
        </w:rPr>
      </w:pPr>
      <w:r w:rsidRPr="00CA21D2">
        <w:rPr>
          <w:rFonts w:ascii="Arial" w:hAnsi="Arial" w:cs="Arial"/>
          <w:sz w:val="20"/>
          <w:szCs w:val="20"/>
        </w:rPr>
        <w:t xml:space="preserve">MG pattern </w:t>
      </w:r>
      <w:r w:rsidR="00B74F10">
        <w:rPr>
          <w:rFonts w:ascii="Arial" w:hAnsi="Arial" w:cs="Arial"/>
          <w:sz w:val="20"/>
          <w:szCs w:val="20"/>
        </w:rPr>
        <w:t>#</w:t>
      </w:r>
      <w:r w:rsidRPr="00CA21D2">
        <w:rPr>
          <w:rFonts w:ascii="Arial" w:hAnsi="Arial" w:cs="Arial"/>
          <w:sz w:val="20"/>
          <w:szCs w:val="20"/>
        </w:rPr>
        <w:t xml:space="preserve">0 and </w:t>
      </w:r>
      <w:r w:rsidR="00B74F10">
        <w:rPr>
          <w:rFonts w:ascii="Arial" w:hAnsi="Arial" w:cs="Arial"/>
          <w:sz w:val="20"/>
          <w:szCs w:val="20"/>
        </w:rPr>
        <w:t>#</w:t>
      </w:r>
      <w:r w:rsidRPr="00CA21D2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>are not applicable for FR2 MO(s).</w:t>
      </w:r>
    </w:p>
    <w:p w:rsidR="008B41C0" w:rsidRDefault="00213571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Therefore RAN4 recommends that </w:t>
      </w:r>
      <w:r w:rsidR="008B41C0" w:rsidRPr="003C7580">
        <w:rPr>
          <w:rFonts w:ascii="Arial" w:hAnsi="Arial" w:cs="Arial"/>
          <w:sz w:val="20"/>
          <w:szCs w:val="20"/>
        </w:rPr>
        <w:t xml:space="preserve">MG pattern </w:t>
      </w:r>
      <w:r w:rsidR="00B74F10">
        <w:rPr>
          <w:rFonts w:ascii="Arial" w:hAnsi="Arial" w:cs="Arial"/>
          <w:sz w:val="20"/>
          <w:szCs w:val="20"/>
        </w:rPr>
        <w:t>#</w:t>
      </w:r>
      <w:r w:rsidR="008B41C0">
        <w:rPr>
          <w:rFonts w:ascii="Arial" w:hAnsi="Arial" w:cs="Arial"/>
          <w:sz w:val="20"/>
          <w:szCs w:val="20"/>
        </w:rPr>
        <w:t>13</w:t>
      </w:r>
      <w:r w:rsidR="008B41C0" w:rsidRPr="003C7580">
        <w:rPr>
          <w:rFonts w:ascii="Arial" w:hAnsi="Arial" w:cs="Arial"/>
          <w:sz w:val="20"/>
          <w:szCs w:val="20"/>
        </w:rPr>
        <w:t xml:space="preserve"> and </w:t>
      </w:r>
      <w:r w:rsidR="00B74F10">
        <w:rPr>
          <w:rFonts w:ascii="Arial" w:hAnsi="Arial" w:cs="Arial"/>
          <w:sz w:val="20"/>
          <w:szCs w:val="20"/>
        </w:rPr>
        <w:t>#</w:t>
      </w:r>
      <w:r w:rsidR="008B41C0" w:rsidRPr="003C7580">
        <w:rPr>
          <w:rFonts w:ascii="Arial" w:hAnsi="Arial" w:cs="Arial"/>
          <w:sz w:val="20"/>
          <w:szCs w:val="20"/>
        </w:rPr>
        <w:t>1</w:t>
      </w:r>
      <w:r w:rsidR="008B41C0">
        <w:rPr>
          <w:rFonts w:ascii="Arial" w:hAnsi="Arial" w:cs="Arial"/>
          <w:sz w:val="20"/>
          <w:szCs w:val="20"/>
        </w:rPr>
        <w:t>4</w:t>
      </w:r>
      <w:r w:rsidR="008B41C0" w:rsidRPr="003C7580">
        <w:rPr>
          <w:rFonts w:ascii="Arial" w:hAnsi="Arial" w:cs="Arial"/>
          <w:sz w:val="20"/>
          <w:szCs w:val="20"/>
        </w:rPr>
        <w:t xml:space="preserve"> </w:t>
      </w:r>
      <w:r w:rsidR="008B41C0">
        <w:rPr>
          <w:rFonts w:ascii="Arial" w:hAnsi="Arial" w:cs="Arial"/>
          <w:sz w:val="20"/>
          <w:szCs w:val="20"/>
        </w:rPr>
        <w:t>are mandatory for FR2 MO(s).</w:t>
      </w:r>
    </w:p>
    <w:p w:rsidR="008B41C0" w:rsidRDefault="008B41C0" w:rsidP="00CA21D2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180"/>
        <w:jc w:val="both"/>
        <w:rPr>
          <w:rFonts w:ascii="Arial" w:hAnsi="Arial" w:cs="Arial"/>
        </w:rPr>
      </w:pPr>
      <w:r w:rsidRPr="00CA21D2">
        <w:rPr>
          <w:rFonts w:ascii="Arial" w:hAnsi="Arial" w:cs="Arial"/>
          <w:sz w:val="20"/>
          <w:szCs w:val="20"/>
        </w:rPr>
        <w:t>For EN-DC and NE-DC cases</w:t>
      </w:r>
      <w:r w:rsidRPr="008B41C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 Rel-15</w:t>
      </w:r>
      <w:r w:rsidRPr="00CA21D2">
        <w:rPr>
          <w:rFonts w:ascii="Arial" w:hAnsi="Arial" w:cs="Arial"/>
          <w:sz w:val="20"/>
          <w:szCs w:val="20"/>
        </w:rPr>
        <w:t xml:space="preserve">, when </w:t>
      </w:r>
      <w:r>
        <w:rPr>
          <w:rFonts w:ascii="Arial" w:hAnsi="Arial" w:cs="Arial"/>
          <w:sz w:val="20"/>
          <w:szCs w:val="20"/>
        </w:rPr>
        <w:t>“</w:t>
      </w:r>
      <w:r w:rsidRPr="00CA21D2">
        <w:rPr>
          <w:rFonts w:ascii="Arial" w:hAnsi="Arial" w:cs="Arial"/>
          <w:sz w:val="20"/>
          <w:szCs w:val="20"/>
        </w:rPr>
        <w:t>per-FR MG capable UE has a FR2 serving cell and is configured with a FR2 MO</w:t>
      </w:r>
      <w:r>
        <w:rPr>
          <w:rFonts w:ascii="Arial" w:hAnsi="Arial" w:cs="Arial"/>
          <w:sz w:val="20"/>
          <w:szCs w:val="20"/>
        </w:rPr>
        <w:t>”</w:t>
      </w:r>
      <w:r w:rsidRPr="00CA21D2">
        <w:rPr>
          <w:rFonts w:ascii="Arial" w:hAnsi="Arial" w:cs="Arial"/>
          <w:sz w:val="20"/>
          <w:szCs w:val="20"/>
        </w:rPr>
        <w:t xml:space="preserve">, </w:t>
      </w:r>
    </w:p>
    <w:p w:rsidR="008B41C0" w:rsidRDefault="008B41C0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after="180"/>
        <w:jc w:val="both"/>
        <w:rPr>
          <w:rFonts w:ascii="Arial" w:hAnsi="Arial" w:cs="Arial"/>
          <w:sz w:val="20"/>
          <w:szCs w:val="20"/>
        </w:rPr>
      </w:pPr>
      <w:r w:rsidRPr="009E329F">
        <w:rPr>
          <w:rFonts w:ascii="Arial" w:hAnsi="Arial" w:cs="Arial"/>
          <w:sz w:val="20"/>
          <w:szCs w:val="20"/>
        </w:rPr>
        <w:t xml:space="preserve">MG pattern </w:t>
      </w:r>
      <w:r w:rsidR="00940E39">
        <w:rPr>
          <w:rFonts w:ascii="Arial" w:hAnsi="Arial" w:cs="Arial"/>
          <w:sz w:val="20"/>
          <w:szCs w:val="20"/>
        </w:rPr>
        <w:t>#</w:t>
      </w:r>
      <w:r w:rsidRPr="009E329F">
        <w:rPr>
          <w:rFonts w:ascii="Arial" w:hAnsi="Arial" w:cs="Arial"/>
          <w:sz w:val="20"/>
          <w:szCs w:val="20"/>
        </w:rPr>
        <w:t xml:space="preserve">0 and </w:t>
      </w:r>
      <w:r w:rsidR="00940E39">
        <w:rPr>
          <w:rFonts w:ascii="Arial" w:hAnsi="Arial" w:cs="Arial"/>
          <w:sz w:val="20"/>
          <w:szCs w:val="20"/>
        </w:rPr>
        <w:t>#</w:t>
      </w:r>
      <w:r w:rsidRPr="009E329F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>are not applicable for FR2 MO(s)</w:t>
      </w:r>
      <w:r w:rsidRPr="009E329F">
        <w:rPr>
          <w:rFonts w:ascii="Arial" w:hAnsi="Arial" w:cs="Arial"/>
          <w:sz w:val="20"/>
          <w:szCs w:val="20"/>
        </w:rPr>
        <w:t>.</w:t>
      </w:r>
    </w:p>
    <w:p w:rsidR="008B41C0" w:rsidRPr="00CA21D2" w:rsidRDefault="00213571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 RAN4 recommends that </w:t>
      </w:r>
      <w:r w:rsidR="008B41C0" w:rsidRPr="00CA21D2">
        <w:rPr>
          <w:rFonts w:ascii="Arial" w:hAnsi="Arial" w:cs="Arial"/>
          <w:sz w:val="20"/>
          <w:szCs w:val="20"/>
        </w:rPr>
        <w:t xml:space="preserve">MG pattern </w:t>
      </w:r>
      <w:r w:rsidR="00940E39">
        <w:rPr>
          <w:rFonts w:ascii="Arial" w:hAnsi="Arial" w:cs="Arial"/>
          <w:sz w:val="20"/>
          <w:szCs w:val="20"/>
        </w:rPr>
        <w:t>#</w:t>
      </w:r>
      <w:r w:rsidR="008B41C0" w:rsidRPr="00CA21D2">
        <w:rPr>
          <w:rFonts w:ascii="Arial" w:hAnsi="Arial" w:cs="Arial"/>
          <w:sz w:val="20"/>
          <w:szCs w:val="20"/>
        </w:rPr>
        <w:t xml:space="preserve">13 and </w:t>
      </w:r>
      <w:r w:rsidR="00940E39">
        <w:rPr>
          <w:rFonts w:ascii="Arial" w:hAnsi="Arial" w:cs="Arial"/>
          <w:sz w:val="20"/>
          <w:szCs w:val="20"/>
        </w:rPr>
        <w:t>#</w:t>
      </w:r>
      <w:r w:rsidR="008B41C0" w:rsidRPr="00CA21D2">
        <w:rPr>
          <w:rFonts w:ascii="Arial" w:hAnsi="Arial" w:cs="Arial"/>
          <w:sz w:val="20"/>
          <w:szCs w:val="20"/>
        </w:rPr>
        <w:t>14 are mandatory for FR2 MO</w:t>
      </w:r>
      <w:r w:rsidR="008B41C0">
        <w:rPr>
          <w:rFonts w:ascii="Arial" w:hAnsi="Arial" w:cs="Arial"/>
          <w:sz w:val="20"/>
          <w:szCs w:val="20"/>
        </w:rPr>
        <w:t>(s)</w:t>
      </w:r>
      <w:r w:rsidR="008B41C0" w:rsidRPr="00CA21D2">
        <w:rPr>
          <w:rFonts w:ascii="Arial" w:hAnsi="Arial" w:cs="Arial"/>
          <w:sz w:val="20"/>
          <w:szCs w:val="20"/>
        </w:rPr>
        <w:t>.</w:t>
      </w:r>
    </w:p>
    <w:p w:rsidR="006F3B06" w:rsidRPr="00BF2F77" w:rsidRDefault="00213571" w:rsidP="005E6C95">
      <w:pPr>
        <w:rPr>
          <w:rFonts w:ascii="Intel Clear" w:hAnsi="Intel Clear" w:cs="Intel Clear"/>
        </w:rPr>
      </w:pPr>
      <w:r>
        <w:rPr>
          <w:rFonts w:ascii="Arial" w:hAnsi="Arial" w:cs="Arial"/>
        </w:rPr>
        <w:t xml:space="preserve">RAN4 may </w:t>
      </w:r>
      <w:r w:rsidR="00D75977">
        <w:rPr>
          <w:rFonts w:ascii="Arial" w:hAnsi="Arial" w:cs="Arial"/>
        </w:rPr>
        <w:t xml:space="preserve">in future </w:t>
      </w:r>
      <w:r w:rsidR="001542A8">
        <w:rPr>
          <w:rFonts w:ascii="Arial" w:hAnsi="Arial" w:cs="Arial"/>
        </w:rPr>
        <w:t>consider to have</w:t>
      </w:r>
      <w:r>
        <w:rPr>
          <w:rFonts w:ascii="Arial" w:hAnsi="Arial" w:cs="Arial"/>
        </w:rPr>
        <w:t xml:space="preserve"> additional patterns which are mandatory to support by UEs from release 16 onwards.</w:t>
      </w: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>.</w:t>
      </w:r>
      <w:bookmarkStart w:id="0" w:name="_GoBack"/>
      <w:bookmarkEnd w:id="0"/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lastRenderedPageBreak/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BC3692" w:rsidRPr="00521626" w:rsidRDefault="00BC3692" w:rsidP="00BC3692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CD2B04" w:rsidRPr="006A0712" w:rsidRDefault="006F3B06" w:rsidP="00CA21D2">
      <w:pPr>
        <w:tabs>
          <w:tab w:val="left" w:pos="5103"/>
        </w:tabs>
        <w:ind w:left="2268" w:hanging="2268"/>
        <w:rPr>
          <w:rFonts w:ascii="Intel Clear" w:eastAsia="MS Mincho" w:hAnsi="Intel Clear" w:cs="Intel Clear"/>
          <w:lang w:bidi="hi-IN"/>
        </w:rPr>
      </w:pPr>
      <w:r w:rsidRPr="00521626">
        <w:rPr>
          <w:rFonts w:ascii="Intel Clear" w:hAnsi="Intel Clear" w:cs="Intel Clear"/>
        </w:rPr>
        <w:t>TSG-RAN4 #92</w:t>
      </w:r>
      <w:r w:rsidR="0079126E"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 w:rsidR="0079126E"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 w:rsidR="0079126E"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 w:rsidR="0079126E">
        <w:rPr>
          <w:rFonts w:ascii="Intel Clear" w:hAnsi="Intel Clear" w:cs="Intel Clear"/>
        </w:rPr>
        <w:t xml:space="preserve"> China</w:t>
      </w: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8D1" w:rsidRDefault="005518D1">
      <w:r>
        <w:separator/>
      </w:r>
    </w:p>
  </w:endnote>
  <w:endnote w:type="continuationSeparator" w:id="0">
    <w:p w:rsidR="005518D1" w:rsidRDefault="005518D1">
      <w:r>
        <w:continuationSeparator/>
      </w:r>
    </w:p>
  </w:endnote>
  <w:endnote w:type="continuationNotice" w:id="1">
    <w:p w:rsidR="005518D1" w:rsidRDefault="005518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7BC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7BC9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8D1" w:rsidRDefault="005518D1">
      <w:r>
        <w:separator/>
      </w:r>
    </w:p>
  </w:footnote>
  <w:footnote w:type="continuationSeparator" w:id="0">
    <w:p w:rsidR="005518D1" w:rsidRDefault="005518D1">
      <w:r>
        <w:continuationSeparator/>
      </w:r>
    </w:p>
  </w:footnote>
  <w:footnote w:type="continuationNotice" w:id="1">
    <w:p w:rsidR="005518D1" w:rsidRDefault="005518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7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6"/>
  </w:num>
  <w:num w:numId="26">
    <w:abstractNumId w:val="29"/>
  </w:num>
  <w:num w:numId="27">
    <w:abstractNumId w:val="27"/>
  </w:num>
  <w:num w:numId="28">
    <w:abstractNumId w:val="43"/>
  </w:num>
  <w:num w:numId="29">
    <w:abstractNumId w:val="20"/>
  </w:num>
  <w:num w:numId="30">
    <w:abstractNumId w:val="4"/>
  </w:num>
  <w:num w:numId="31">
    <w:abstractNumId w:val="42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4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44F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BC9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2A8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571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50E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8D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85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C0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422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E39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17CAF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090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4F1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1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2AD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7"/>
    <w:rsid w:val="00D75CD8"/>
    <w:rsid w:val="00D75E85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D91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93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0BE1A754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70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B170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170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70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70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70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090"/>
    <w:pPr>
      <w:outlineLvl w:val="5"/>
    </w:pPr>
  </w:style>
  <w:style w:type="paragraph" w:styleId="Heading7">
    <w:name w:val="heading 7"/>
    <w:basedOn w:val="H6"/>
    <w:next w:val="Normal"/>
    <w:qFormat/>
    <w:rsid w:val="00B17090"/>
    <w:pPr>
      <w:outlineLvl w:val="6"/>
    </w:pPr>
  </w:style>
  <w:style w:type="paragraph" w:styleId="Heading8">
    <w:name w:val="heading 8"/>
    <w:basedOn w:val="Heading1"/>
    <w:next w:val="Normal"/>
    <w:qFormat/>
    <w:rsid w:val="00B170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090"/>
    <w:pPr>
      <w:outlineLvl w:val="8"/>
    </w:pPr>
  </w:style>
  <w:style w:type="character" w:default="1" w:styleId="DefaultParagraphFont">
    <w:name w:val="Default Paragraph Font"/>
    <w:semiHidden/>
    <w:rsid w:val="00B170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7090"/>
  </w:style>
  <w:style w:type="paragraph" w:styleId="TOC8">
    <w:name w:val="toc 8"/>
    <w:basedOn w:val="TOC1"/>
    <w:semiHidden/>
    <w:rsid w:val="00B17090"/>
    <w:pPr>
      <w:spacing w:before="180"/>
      <w:ind w:left="2693" w:hanging="2693"/>
    </w:pPr>
    <w:rPr>
      <w:b/>
    </w:rPr>
  </w:style>
  <w:style w:type="paragraph" w:styleId="TOC1">
    <w:name w:val="toc 1"/>
    <w:semiHidden/>
    <w:rsid w:val="00B170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B170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7090"/>
    <w:pPr>
      <w:ind w:left="1701" w:hanging="1701"/>
    </w:pPr>
  </w:style>
  <w:style w:type="paragraph" w:styleId="TOC4">
    <w:name w:val="toc 4"/>
    <w:basedOn w:val="TOC3"/>
    <w:semiHidden/>
    <w:rsid w:val="00B17090"/>
    <w:pPr>
      <w:ind w:left="1418" w:hanging="1418"/>
    </w:pPr>
  </w:style>
  <w:style w:type="paragraph" w:styleId="TOC3">
    <w:name w:val="toc 3"/>
    <w:basedOn w:val="TOC2"/>
    <w:semiHidden/>
    <w:rsid w:val="00B17090"/>
    <w:pPr>
      <w:ind w:left="1134" w:hanging="1134"/>
    </w:pPr>
  </w:style>
  <w:style w:type="paragraph" w:styleId="TOC2">
    <w:name w:val="toc 2"/>
    <w:basedOn w:val="TOC1"/>
    <w:semiHidden/>
    <w:rsid w:val="00B170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7090"/>
    <w:pPr>
      <w:ind w:left="284"/>
    </w:pPr>
  </w:style>
  <w:style w:type="paragraph" w:styleId="Index1">
    <w:name w:val="index 1"/>
    <w:basedOn w:val="Normal"/>
    <w:semiHidden/>
    <w:rsid w:val="00B17090"/>
    <w:pPr>
      <w:keepLines/>
      <w:spacing w:after="0"/>
    </w:pPr>
  </w:style>
  <w:style w:type="paragraph" w:customStyle="1" w:styleId="ZH">
    <w:name w:val="ZH"/>
    <w:rsid w:val="00B170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7090"/>
    <w:pPr>
      <w:outlineLvl w:val="9"/>
    </w:pPr>
  </w:style>
  <w:style w:type="paragraph" w:styleId="ListNumber2">
    <w:name w:val="List Number 2"/>
    <w:basedOn w:val="ListNumber"/>
    <w:rsid w:val="00B1709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170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B17090"/>
    <w:rPr>
      <w:b/>
      <w:position w:val="6"/>
      <w:sz w:val="16"/>
    </w:rPr>
  </w:style>
  <w:style w:type="paragraph" w:styleId="FootnoteText">
    <w:name w:val="footnote text"/>
    <w:basedOn w:val="Normal"/>
    <w:semiHidden/>
    <w:rsid w:val="00B170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17090"/>
    <w:rPr>
      <w:b/>
    </w:rPr>
  </w:style>
  <w:style w:type="paragraph" w:customStyle="1" w:styleId="TAC">
    <w:name w:val="TAC"/>
    <w:basedOn w:val="TAL"/>
    <w:link w:val="TACChar"/>
    <w:rsid w:val="00B17090"/>
    <w:pPr>
      <w:jc w:val="center"/>
    </w:pPr>
  </w:style>
  <w:style w:type="paragraph" w:customStyle="1" w:styleId="TF">
    <w:name w:val="TF"/>
    <w:basedOn w:val="TH"/>
    <w:rsid w:val="00B17090"/>
    <w:pPr>
      <w:keepNext w:val="0"/>
      <w:spacing w:before="0" w:after="240"/>
    </w:pPr>
  </w:style>
  <w:style w:type="paragraph" w:customStyle="1" w:styleId="NO">
    <w:name w:val="NO"/>
    <w:basedOn w:val="Normal"/>
    <w:rsid w:val="00B17090"/>
    <w:pPr>
      <w:keepLines/>
      <w:ind w:left="1135" w:hanging="851"/>
    </w:pPr>
  </w:style>
  <w:style w:type="paragraph" w:styleId="TOC9">
    <w:name w:val="toc 9"/>
    <w:basedOn w:val="TOC8"/>
    <w:semiHidden/>
    <w:rsid w:val="00B17090"/>
    <w:pPr>
      <w:ind w:left="1418" w:hanging="1418"/>
    </w:pPr>
  </w:style>
  <w:style w:type="paragraph" w:customStyle="1" w:styleId="EX">
    <w:name w:val="EX"/>
    <w:basedOn w:val="Normal"/>
    <w:rsid w:val="00B17090"/>
    <w:pPr>
      <w:keepLines/>
      <w:ind w:left="1702" w:hanging="1418"/>
    </w:pPr>
  </w:style>
  <w:style w:type="paragraph" w:customStyle="1" w:styleId="FP">
    <w:name w:val="FP"/>
    <w:basedOn w:val="Normal"/>
    <w:rsid w:val="00B17090"/>
    <w:pPr>
      <w:spacing w:after="0"/>
    </w:pPr>
  </w:style>
  <w:style w:type="paragraph" w:customStyle="1" w:styleId="LD">
    <w:name w:val="LD"/>
    <w:rsid w:val="00B170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7090"/>
    <w:pPr>
      <w:spacing w:after="0"/>
    </w:pPr>
  </w:style>
  <w:style w:type="paragraph" w:customStyle="1" w:styleId="EW">
    <w:name w:val="EW"/>
    <w:basedOn w:val="EX"/>
    <w:rsid w:val="00B17090"/>
    <w:pPr>
      <w:spacing w:after="0"/>
    </w:pPr>
  </w:style>
  <w:style w:type="paragraph" w:styleId="TOC6">
    <w:name w:val="toc 6"/>
    <w:basedOn w:val="TOC5"/>
    <w:next w:val="Normal"/>
    <w:semiHidden/>
    <w:rsid w:val="00B17090"/>
    <w:pPr>
      <w:ind w:left="1985" w:hanging="1985"/>
    </w:pPr>
  </w:style>
  <w:style w:type="paragraph" w:styleId="TOC7">
    <w:name w:val="toc 7"/>
    <w:basedOn w:val="TOC6"/>
    <w:next w:val="Normal"/>
    <w:semiHidden/>
    <w:rsid w:val="00B17090"/>
    <w:pPr>
      <w:ind w:left="2268" w:hanging="2268"/>
    </w:pPr>
  </w:style>
  <w:style w:type="paragraph" w:styleId="ListBullet2">
    <w:name w:val="List Bullet 2"/>
    <w:basedOn w:val="ListBullet"/>
    <w:rsid w:val="00B17090"/>
    <w:pPr>
      <w:ind w:left="851"/>
    </w:pPr>
  </w:style>
  <w:style w:type="paragraph" w:styleId="ListBullet3">
    <w:name w:val="List Bullet 3"/>
    <w:basedOn w:val="ListBullet2"/>
    <w:rsid w:val="00B17090"/>
    <w:pPr>
      <w:ind w:left="1135"/>
    </w:pPr>
  </w:style>
  <w:style w:type="paragraph" w:styleId="ListNumber">
    <w:name w:val="List Number"/>
    <w:basedOn w:val="List"/>
    <w:rsid w:val="00B17090"/>
  </w:style>
  <w:style w:type="paragraph" w:customStyle="1" w:styleId="EQ">
    <w:name w:val="EQ"/>
    <w:basedOn w:val="Normal"/>
    <w:next w:val="Normal"/>
    <w:rsid w:val="00B170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70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70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70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7090"/>
    <w:pPr>
      <w:jc w:val="right"/>
    </w:pPr>
  </w:style>
  <w:style w:type="paragraph" w:customStyle="1" w:styleId="H6">
    <w:name w:val="H6"/>
    <w:basedOn w:val="Heading5"/>
    <w:next w:val="Normal"/>
    <w:rsid w:val="00B170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17090"/>
    <w:pPr>
      <w:ind w:left="851" w:hanging="851"/>
    </w:pPr>
  </w:style>
  <w:style w:type="paragraph" w:customStyle="1" w:styleId="TAL">
    <w:name w:val="TAL"/>
    <w:basedOn w:val="Normal"/>
    <w:link w:val="TALCar"/>
    <w:rsid w:val="00B170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70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70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70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70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7090"/>
    <w:pPr>
      <w:framePr w:wrap="notBeside" w:y="16161"/>
    </w:pPr>
  </w:style>
  <w:style w:type="character" w:customStyle="1" w:styleId="ZGSM">
    <w:name w:val="ZGSM"/>
    <w:rsid w:val="00B17090"/>
  </w:style>
  <w:style w:type="paragraph" w:styleId="List2">
    <w:name w:val="List 2"/>
    <w:basedOn w:val="List"/>
    <w:rsid w:val="00B17090"/>
    <w:pPr>
      <w:ind w:left="851"/>
    </w:pPr>
  </w:style>
  <w:style w:type="paragraph" w:customStyle="1" w:styleId="ZG">
    <w:name w:val="ZG"/>
    <w:rsid w:val="00B170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17090"/>
    <w:pPr>
      <w:ind w:left="1135"/>
    </w:pPr>
  </w:style>
  <w:style w:type="paragraph" w:styleId="List4">
    <w:name w:val="List 4"/>
    <w:basedOn w:val="List3"/>
    <w:rsid w:val="00B17090"/>
    <w:pPr>
      <w:ind w:left="1418"/>
    </w:pPr>
  </w:style>
  <w:style w:type="paragraph" w:styleId="List5">
    <w:name w:val="List 5"/>
    <w:basedOn w:val="List4"/>
    <w:rsid w:val="00B17090"/>
    <w:pPr>
      <w:ind w:left="1702"/>
    </w:pPr>
  </w:style>
  <w:style w:type="paragraph" w:customStyle="1" w:styleId="EditorsNote">
    <w:name w:val="Editor's Note"/>
    <w:basedOn w:val="NO"/>
    <w:rsid w:val="00B17090"/>
    <w:rPr>
      <w:color w:val="FF0000"/>
    </w:rPr>
  </w:style>
  <w:style w:type="paragraph" w:styleId="List">
    <w:name w:val="List"/>
    <w:basedOn w:val="Normal"/>
    <w:rsid w:val="00B17090"/>
    <w:pPr>
      <w:ind w:left="568" w:hanging="284"/>
    </w:pPr>
  </w:style>
  <w:style w:type="paragraph" w:styleId="ListBullet">
    <w:name w:val="List Bullet"/>
    <w:basedOn w:val="List"/>
    <w:rsid w:val="00B17090"/>
  </w:style>
  <w:style w:type="paragraph" w:styleId="ListBullet4">
    <w:name w:val="List Bullet 4"/>
    <w:basedOn w:val="ListBullet3"/>
    <w:rsid w:val="00B17090"/>
    <w:pPr>
      <w:ind w:left="1418"/>
    </w:pPr>
  </w:style>
  <w:style w:type="paragraph" w:styleId="ListBullet5">
    <w:name w:val="List Bullet 5"/>
    <w:basedOn w:val="ListBullet4"/>
    <w:rsid w:val="00B17090"/>
    <w:pPr>
      <w:ind w:left="1702"/>
    </w:pPr>
  </w:style>
  <w:style w:type="paragraph" w:customStyle="1" w:styleId="B1">
    <w:name w:val="B1"/>
    <w:basedOn w:val="List"/>
    <w:rsid w:val="00B17090"/>
  </w:style>
  <w:style w:type="paragraph" w:customStyle="1" w:styleId="B2">
    <w:name w:val="B2"/>
    <w:basedOn w:val="List2"/>
    <w:rsid w:val="00B17090"/>
  </w:style>
  <w:style w:type="paragraph" w:customStyle="1" w:styleId="B3">
    <w:name w:val="B3"/>
    <w:basedOn w:val="List3"/>
    <w:rsid w:val="00B17090"/>
  </w:style>
  <w:style w:type="paragraph" w:customStyle="1" w:styleId="B4">
    <w:name w:val="B4"/>
    <w:basedOn w:val="List4"/>
    <w:rsid w:val="00B17090"/>
  </w:style>
  <w:style w:type="paragraph" w:customStyle="1" w:styleId="B5">
    <w:name w:val="B5"/>
    <w:basedOn w:val="List5"/>
    <w:rsid w:val="00B17090"/>
  </w:style>
  <w:style w:type="paragraph" w:styleId="Footer">
    <w:name w:val="footer"/>
    <w:basedOn w:val="Header"/>
    <w:link w:val="FooterChar"/>
    <w:rsid w:val="00B17090"/>
    <w:pPr>
      <w:jc w:val="center"/>
    </w:pPr>
    <w:rPr>
      <w:i/>
    </w:rPr>
  </w:style>
  <w:style w:type="paragraph" w:customStyle="1" w:styleId="ZTD">
    <w:name w:val="ZTD"/>
    <w:basedOn w:val="ZB"/>
    <w:rsid w:val="00B17090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ocked/>
    <w:rsid w:val="00B170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126C0C5-118C-4949-BCCA-F1E417487E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51F93C-9E84-441F-A71F-DD5A9D3B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Draft version 4</cp:lastModifiedBy>
  <cp:revision>3</cp:revision>
  <cp:lastPrinted>2016-11-03T02:40:00Z</cp:lastPrinted>
  <dcterms:created xsi:type="dcterms:W3CDTF">2019-07-12T21:42:00Z</dcterms:created>
  <dcterms:modified xsi:type="dcterms:W3CDTF">2019-07-12T21:44:00Z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2019-05-17 19:22:23Z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