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6871" w:rsidRPr="00B62621" w:rsidRDefault="000E6871" w:rsidP="000E6871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2178737"/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7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862</w:t>
      </w:r>
      <w:r>
        <w:rPr>
          <w:rFonts w:cs="Arial"/>
          <w:b/>
          <w:noProof/>
          <w:sz w:val="24"/>
          <w:szCs w:val="24"/>
        </w:rPr>
        <w:t>5</w:t>
      </w:r>
    </w:p>
    <w:p w:rsidR="000E6871" w:rsidRPr="00B62621" w:rsidRDefault="000E6871" w:rsidP="000E687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Prague, Czech Republic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26 – 30 August,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:rsidR="000E6871" w:rsidRPr="00B62621" w:rsidRDefault="000E6871" w:rsidP="000E687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0E6871" w:rsidRPr="005213F2" w:rsidRDefault="000E6871" w:rsidP="000E687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F27991" w:rsidRPr="009A4263" w:rsidRDefault="00F27991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A4263">
        <w:rPr>
          <w:rFonts w:ascii="Arial" w:eastAsia="MS Mincho" w:hAnsi="Arial"/>
          <w:b/>
          <w:noProof/>
          <w:lang w:val="en-US"/>
        </w:rPr>
        <w:t>3GPP TSG RAN WG1 Meeting #9</w:t>
      </w:r>
      <w:r w:rsidR="005F0680">
        <w:rPr>
          <w:rFonts w:ascii="Arial" w:eastAsia="MS Mincho" w:hAnsi="Arial"/>
          <w:b/>
          <w:noProof/>
          <w:lang w:val="en-US"/>
        </w:rPr>
        <w:t>7</w:t>
      </w:r>
      <w:r w:rsidRPr="009A4263">
        <w:rPr>
          <w:rFonts w:ascii="Arial" w:eastAsia="MS Mincho" w:hAnsi="Arial"/>
          <w:b/>
          <w:noProof/>
          <w:lang w:val="en-US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ab/>
        <w:t>R1-1</w:t>
      </w:r>
      <w:r w:rsidR="00DB2A72">
        <w:rPr>
          <w:rFonts w:ascii="Arial" w:eastAsia="MS Mincho" w:hAnsi="Arial"/>
          <w:b/>
          <w:noProof/>
          <w:lang w:val="en-US" w:eastAsia="x-none"/>
        </w:rPr>
        <w:t>9</w:t>
      </w:r>
      <w:r w:rsidR="00E33382">
        <w:rPr>
          <w:rFonts w:ascii="Arial" w:eastAsia="MS Mincho" w:hAnsi="Arial"/>
          <w:b/>
          <w:noProof/>
          <w:lang w:val="en-US" w:eastAsia="x-none"/>
        </w:rPr>
        <w:t>0</w:t>
      </w:r>
      <w:r w:rsidR="00375957">
        <w:rPr>
          <w:rFonts w:ascii="Arial" w:eastAsia="MS Mincho" w:hAnsi="Arial"/>
          <w:b/>
          <w:noProof/>
          <w:lang w:val="en-US" w:eastAsia="x-none"/>
        </w:rPr>
        <w:t>7956</w:t>
      </w:r>
    </w:p>
    <w:p w:rsidR="00F27991" w:rsidRPr="00A966A5" w:rsidRDefault="00E705F3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bCs/>
          <w:noProof/>
        </w:rPr>
      </w:pPr>
      <w:r>
        <w:rPr>
          <w:rFonts w:ascii="Arial" w:eastAsia="MS Mincho" w:hAnsi="Arial"/>
          <w:b/>
          <w:bCs/>
          <w:noProof/>
        </w:rPr>
        <w:t>Reno</w:t>
      </w:r>
      <w:r w:rsidR="007E37A5">
        <w:rPr>
          <w:rFonts w:ascii="Arial" w:eastAsia="MS Mincho" w:hAnsi="Arial"/>
          <w:b/>
          <w:bCs/>
          <w:noProof/>
        </w:rPr>
        <w:t xml:space="preserve">, </w:t>
      </w:r>
      <w:r>
        <w:rPr>
          <w:rFonts w:ascii="Arial" w:eastAsia="MS Mincho" w:hAnsi="Arial"/>
          <w:b/>
          <w:bCs/>
          <w:noProof/>
        </w:rPr>
        <w:t>USA</w:t>
      </w:r>
      <w:r w:rsidR="007E37A5">
        <w:rPr>
          <w:rFonts w:ascii="Arial" w:eastAsia="MS Mincho" w:hAnsi="Arial"/>
          <w:b/>
          <w:bCs/>
          <w:noProof/>
        </w:rPr>
        <w:t xml:space="preserve">, </w:t>
      </w:r>
      <w:r w:rsidR="00B5675A">
        <w:rPr>
          <w:rFonts w:ascii="Arial" w:eastAsia="MS Mincho" w:hAnsi="Arial"/>
          <w:b/>
          <w:bCs/>
          <w:noProof/>
        </w:rPr>
        <w:t>May</w:t>
      </w:r>
      <w:r w:rsidR="007E37A5">
        <w:rPr>
          <w:rFonts w:ascii="Arial" w:eastAsia="MS Mincho" w:hAnsi="Arial"/>
          <w:b/>
          <w:bCs/>
          <w:noProof/>
        </w:rPr>
        <w:t xml:space="preserve"> </w:t>
      </w:r>
      <w:r w:rsidR="00B5675A">
        <w:rPr>
          <w:rFonts w:ascii="Arial" w:eastAsia="MS Mincho" w:hAnsi="Arial"/>
          <w:b/>
          <w:bCs/>
          <w:noProof/>
        </w:rPr>
        <w:t>13</w:t>
      </w:r>
      <w:r w:rsidR="007E37A5" w:rsidRPr="007E37A5">
        <w:rPr>
          <w:rFonts w:ascii="Arial" w:eastAsia="MS Mincho" w:hAnsi="Arial"/>
          <w:b/>
          <w:bCs/>
          <w:noProof/>
          <w:vertAlign w:val="superscript"/>
        </w:rPr>
        <w:t>th</w:t>
      </w:r>
      <w:r w:rsidR="007E37A5">
        <w:rPr>
          <w:rFonts w:ascii="Arial" w:eastAsia="MS Mincho" w:hAnsi="Arial"/>
          <w:b/>
          <w:bCs/>
          <w:noProof/>
        </w:rPr>
        <w:t xml:space="preserve"> – 1</w:t>
      </w:r>
      <w:r w:rsidR="00B5675A">
        <w:rPr>
          <w:rFonts w:ascii="Arial" w:eastAsia="MS Mincho" w:hAnsi="Arial"/>
          <w:b/>
          <w:bCs/>
          <w:noProof/>
        </w:rPr>
        <w:t>7</w:t>
      </w:r>
      <w:r w:rsidR="007E37A5" w:rsidRPr="007E37A5">
        <w:rPr>
          <w:rFonts w:ascii="Arial" w:eastAsia="MS Mincho" w:hAnsi="Arial"/>
          <w:b/>
          <w:bCs/>
          <w:noProof/>
          <w:vertAlign w:val="superscript"/>
        </w:rPr>
        <w:t>th</w:t>
      </w:r>
      <w:r w:rsidR="007E37A5">
        <w:rPr>
          <w:rFonts w:ascii="Arial" w:eastAsia="MS Mincho" w:hAnsi="Arial"/>
          <w:b/>
          <w:bCs/>
          <w:noProof/>
        </w:rPr>
        <w:t>, 2019</w:t>
      </w:r>
    </w:p>
    <w:bookmarkEnd w:id="0"/>
    <w:p w:rsidR="00C37CB4" w:rsidRPr="007E37A5" w:rsidRDefault="00C37CB4" w:rsidP="006D24B0">
      <w:pPr>
        <w:rPr>
          <w:lang w:eastAsia="ja-JP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27991" w:rsidRPr="00F27991">
        <w:rPr>
          <w:rFonts w:ascii="Arial" w:eastAsia="MS Mincho" w:hAnsi="Arial" w:cs="Arial"/>
          <w:bCs/>
          <w:lang w:eastAsia="ja-JP"/>
        </w:rPr>
        <w:t>LS</w:t>
      </w:r>
      <w:r w:rsidR="0077513B">
        <w:rPr>
          <w:rFonts w:ascii="Arial" w:eastAsia="MS Mincho" w:hAnsi="Arial" w:cs="Arial"/>
          <w:bCs/>
          <w:lang w:eastAsia="ja-JP"/>
        </w:rPr>
        <w:t xml:space="preserve"> on</w:t>
      </w:r>
      <w:r w:rsidR="00F27991" w:rsidRPr="00F27991">
        <w:rPr>
          <w:rFonts w:ascii="Arial" w:eastAsia="MS Mincho" w:hAnsi="Arial" w:cs="Arial"/>
          <w:bCs/>
          <w:lang w:eastAsia="ja-JP"/>
        </w:rPr>
        <w:t xml:space="preserve"> </w:t>
      </w:r>
      <w:r w:rsidR="007E37A5">
        <w:rPr>
          <w:rFonts w:ascii="Arial" w:eastAsia="MS Mincho" w:hAnsi="Arial" w:cs="Arial"/>
          <w:bCs/>
          <w:lang w:eastAsia="ja-JP"/>
        </w:rPr>
        <w:t>PDCCH monitoring for NR-DC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E17D5">
        <w:rPr>
          <w:rFonts w:ascii="Arial" w:eastAsia="MS Mincho" w:hAnsi="Arial" w:cs="Arial" w:hint="eastAsia"/>
          <w:bCs/>
          <w:lang w:eastAsia="ja-JP"/>
        </w:rPr>
        <w:t>5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Item:</w:t>
      </w:r>
      <w:r w:rsidRPr="003E2BA2">
        <w:rPr>
          <w:rFonts w:ascii="Arial" w:hAnsi="Arial" w:cs="Arial"/>
          <w:bCs/>
        </w:rPr>
        <w:tab/>
      </w:r>
      <w:r w:rsidR="001D53B2" w:rsidRPr="00ED2837">
        <w:rPr>
          <w:rFonts w:ascii="Arial" w:hAnsi="Arial" w:cs="Arial"/>
          <w:bCs/>
        </w:rPr>
        <w:t>NR_newRAT-Core</w:t>
      </w:r>
      <w:bookmarkStart w:id="1" w:name="_GoBack"/>
      <w:bookmarkEnd w:id="1"/>
    </w:p>
    <w:p w:rsidR="005A6C01" w:rsidRPr="003E2BA2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7E37A5" w:rsidRPr="007E37A5">
        <w:rPr>
          <w:rFonts w:ascii="Arial" w:eastAsia="MS Mincho" w:hAnsi="Arial" w:cs="Arial"/>
          <w:lang w:eastAsia="ja-JP"/>
        </w:rPr>
        <w:t>RAN WG3</w:t>
      </w:r>
    </w:p>
    <w:p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817028">
        <w:rPr>
          <w:rFonts w:eastAsia="MS Mincho" w:cs="Arial"/>
          <w:b w:val="0"/>
          <w:bCs/>
          <w:lang w:val="it-IT" w:eastAsia="ja-JP"/>
        </w:rPr>
        <w:t>Huilin</w:t>
      </w:r>
      <w:r w:rsidR="00817028" w:rsidRPr="00073C75">
        <w:rPr>
          <w:rFonts w:eastAsia="MS Mincho" w:cs="Arial" w:hint="eastAsia"/>
          <w:b w:val="0"/>
          <w:bCs/>
          <w:lang w:val="it-IT" w:eastAsia="ja-JP"/>
        </w:rPr>
        <w:t xml:space="preserve"> </w:t>
      </w:r>
      <w:r w:rsidR="00817028">
        <w:rPr>
          <w:rFonts w:eastAsia="MS Mincho" w:cs="Arial"/>
          <w:b w:val="0"/>
          <w:bCs/>
          <w:lang w:val="it-IT" w:eastAsia="ja-JP"/>
        </w:rPr>
        <w:t>Xu</w:t>
      </w:r>
    </w:p>
    <w:p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9F66A4">
        <w:rPr>
          <w:rFonts w:eastAsia="MS Mincho" w:cs="Arial"/>
          <w:b w:val="0"/>
          <w:bCs/>
          <w:color w:val="auto"/>
          <w:lang w:val="pt-BR" w:eastAsia="ja-JP"/>
        </w:rPr>
        <w:t>huilinxu</w:t>
      </w:r>
      <w:r w:rsidR="00A523D8" w:rsidRPr="00A523D8">
        <w:rPr>
          <w:rFonts w:eastAsia="MS Mincho" w:cs="Arial"/>
          <w:b w:val="0"/>
          <w:bCs/>
          <w:color w:val="auto"/>
          <w:lang w:val="pt-BR" w:eastAsia="ja-JP"/>
        </w:rPr>
        <w:t>@qti.qualcomm.com</w:t>
      </w:r>
    </w:p>
    <w:p w:rsidR="005A6C01" w:rsidRPr="00F2799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3E2BA2" w:rsidRDefault="005A6C01">
      <w:pPr>
        <w:rPr>
          <w:rFonts w:ascii="Arial" w:hAnsi="Arial" w:cs="Arial"/>
          <w:lang w:val="en-US"/>
        </w:rPr>
      </w:pPr>
    </w:p>
    <w:p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7E37A5" w:rsidRDefault="0087068C" w:rsidP="00C51E5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In </w:t>
      </w:r>
      <w:r w:rsidR="00150C79">
        <w:rPr>
          <w:rFonts w:ascii="Arial" w:eastAsia="Yu Mincho" w:hAnsi="Arial" w:cs="Arial"/>
          <w:iCs/>
          <w:lang w:eastAsia="ja-JP"/>
        </w:rPr>
        <w:t>[1]</w:t>
      </w:r>
      <w:r>
        <w:rPr>
          <w:rFonts w:ascii="Arial" w:eastAsia="Yu Mincho" w:hAnsi="Arial" w:cs="Arial"/>
          <w:iCs/>
          <w:lang w:eastAsia="ja-JP"/>
        </w:rPr>
        <w:t>, RAN1</w:t>
      </w:r>
      <w:r w:rsidR="00150C79">
        <w:rPr>
          <w:rFonts w:ascii="Arial" w:eastAsia="Yu Mincho" w:hAnsi="Arial" w:cs="Arial"/>
          <w:iCs/>
          <w:lang w:eastAsia="ja-JP"/>
        </w:rPr>
        <w:t xml:space="preserve"> </w:t>
      </w:r>
      <w:r w:rsidR="007E37A5">
        <w:rPr>
          <w:rFonts w:ascii="Arial" w:eastAsia="Yu Mincho" w:hAnsi="Arial" w:cs="Arial"/>
          <w:iCs/>
          <w:lang w:eastAsia="ja-JP"/>
        </w:rPr>
        <w:t>inform</w:t>
      </w:r>
      <w:r w:rsidR="00150C79">
        <w:rPr>
          <w:rFonts w:ascii="Arial" w:eastAsia="Yu Mincho" w:hAnsi="Arial" w:cs="Arial"/>
          <w:iCs/>
          <w:lang w:eastAsia="ja-JP"/>
        </w:rPr>
        <w:t>ed</w:t>
      </w:r>
      <w:r w:rsidR="007E37A5">
        <w:rPr>
          <w:rFonts w:ascii="Arial" w:eastAsia="Yu Mincho" w:hAnsi="Arial" w:cs="Arial"/>
          <w:iCs/>
          <w:lang w:eastAsia="ja-JP"/>
        </w:rPr>
        <w:t xml:space="preserve"> RAN</w:t>
      </w:r>
      <w:r w:rsidR="005260EA">
        <w:rPr>
          <w:rFonts w:ascii="Arial" w:eastAsia="Yu Mincho" w:hAnsi="Arial" w:cs="Arial"/>
          <w:iCs/>
          <w:lang w:eastAsia="ja-JP"/>
        </w:rPr>
        <w:t>2</w:t>
      </w:r>
      <w:r w:rsidR="007E37A5">
        <w:rPr>
          <w:rFonts w:ascii="Arial" w:eastAsia="Yu Mincho" w:hAnsi="Arial" w:cs="Arial"/>
          <w:iCs/>
          <w:lang w:eastAsia="ja-JP"/>
        </w:rPr>
        <w:t xml:space="preserve"> </w:t>
      </w:r>
      <w:r w:rsidR="005260EA">
        <w:rPr>
          <w:rFonts w:ascii="Arial" w:eastAsia="Yu Mincho" w:hAnsi="Arial" w:cs="Arial"/>
          <w:iCs/>
          <w:lang w:eastAsia="ja-JP"/>
        </w:rPr>
        <w:t xml:space="preserve">the </w:t>
      </w:r>
      <w:r w:rsidR="007E37A5">
        <w:rPr>
          <w:rFonts w:ascii="Arial" w:eastAsia="Yu Mincho" w:hAnsi="Arial" w:cs="Arial"/>
          <w:iCs/>
          <w:lang w:eastAsia="ja-JP"/>
        </w:rPr>
        <w:t>following agreement</w:t>
      </w:r>
      <w:r w:rsidR="004F228B">
        <w:rPr>
          <w:rFonts w:ascii="Arial" w:eastAsia="Yu Mincho" w:hAnsi="Arial" w:cs="Arial"/>
          <w:iCs/>
          <w:lang w:eastAsia="ja-JP"/>
        </w:rPr>
        <w:t>s from RAN1</w:t>
      </w:r>
      <w:r w:rsidR="0056570D">
        <w:rPr>
          <w:rFonts w:ascii="Arial" w:eastAsia="Yu Mincho" w:hAnsi="Arial" w:cs="Arial"/>
          <w:iCs/>
          <w:lang w:eastAsia="ja-JP"/>
        </w:rPr>
        <w:t xml:space="preserve"> </w:t>
      </w:r>
      <w:r w:rsidR="004F228B">
        <w:rPr>
          <w:rFonts w:ascii="Arial" w:eastAsia="Yu Mincho" w:hAnsi="Arial" w:cs="Arial"/>
          <w:iCs/>
          <w:lang w:eastAsia="ja-JP"/>
        </w:rPr>
        <w:t>#</w:t>
      </w:r>
      <w:r w:rsidR="0071509B">
        <w:rPr>
          <w:rFonts w:ascii="Arial" w:eastAsia="Yu Mincho" w:hAnsi="Arial" w:cs="Arial"/>
          <w:iCs/>
          <w:lang w:eastAsia="ja-JP"/>
        </w:rPr>
        <w:t>96</w:t>
      </w:r>
      <w:r w:rsidR="004F228B">
        <w:rPr>
          <w:rFonts w:ascii="Arial" w:eastAsia="Yu Mincho" w:hAnsi="Arial" w:cs="Arial"/>
          <w:iCs/>
          <w:lang w:eastAsia="ja-JP"/>
        </w:rPr>
        <w:t>bis</w:t>
      </w:r>
      <w:r w:rsidR="005260EA">
        <w:rPr>
          <w:rFonts w:ascii="Arial" w:eastAsia="Yu Mincho" w:hAnsi="Arial" w:cs="Arial"/>
          <w:iCs/>
          <w:lang w:eastAsia="ja-JP"/>
        </w:rPr>
        <w:t xml:space="preserve"> </w:t>
      </w:r>
      <w:r w:rsidR="00700561">
        <w:rPr>
          <w:rFonts w:ascii="Arial" w:eastAsia="Yu Mincho" w:hAnsi="Arial" w:cs="Arial"/>
          <w:iCs/>
          <w:lang w:eastAsia="ja-JP"/>
        </w:rPr>
        <w:t>for PDCCH monitoring for NR-DC</w:t>
      </w:r>
      <w:r w:rsidR="007E37A5">
        <w:rPr>
          <w:rFonts w:ascii="Arial" w:eastAsia="Yu Mincho" w:hAnsi="Arial" w:cs="Arial"/>
          <w:iCs/>
          <w:lang w:eastAsia="ja-JP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F151B" w:rsidRPr="00722212" w:rsidTr="00722212">
        <w:tc>
          <w:tcPr>
            <w:tcW w:w="10063" w:type="dxa"/>
            <w:shd w:val="clear" w:color="auto" w:fill="auto"/>
          </w:tcPr>
          <w:p w:rsidR="0040454D" w:rsidRPr="0040454D" w:rsidRDefault="0040454D" w:rsidP="0040454D">
            <w:p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highlight w:val="green"/>
                <w:lang w:val="en-US" w:eastAsia="ja-JP"/>
              </w:rPr>
              <w:t>Agreements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:</w:t>
            </w:r>
          </w:p>
          <w:p w:rsidR="0040454D" w:rsidRPr="0040454D" w:rsidRDefault="0040454D" w:rsidP="0040454D">
            <w:pPr>
              <w:numPr>
                <w:ilvl w:val="0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For NR-DC (including late drop UEs), ask RAN2 if it is possible to introduce RRC parameters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which </w:t>
            </w:r>
            <w:r>
              <w:rPr>
                <w:rFonts w:ascii="Arial" w:eastAsia="Yu Mincho" w:hAnsi="Arial" w:cs="Arial"/>
                <w:iCs/>
                <w:lang w:val="en-US" w:eastAsia="ja-JP"/>
              </w:rPr>
              <w:t>configures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the reference number of cells for blind detection for MCG and SCG, respectively, and RRC parameters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 xml:space="preserve">pdcch-BlindDetectionSCG-UE 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for optional new UE capability signalling that informs the maximum values for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, respectively. If yes,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The value range of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is 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[1, …,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pdcch-BlindDetectionCA-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1]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+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 xml:space="preserve">pdcch-BlindDetectionSCG-UE &gt;= pdcch-BlindDetectionCA 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if the UE reports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, and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highlight w:val="yellow"/>
                <w:lang w:val="en-US" w:eastAsia="ja-JP"/>
              </w:rPr>
              <w:t>FFS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: [1, 2, 3]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+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 xml:space="preserve">pdcch-BlindDetectionSCG-UE &gt;= 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the maximum number of DL serving cells over CGs that UE can support if the UE does not report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If the UE does not report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for NR-CA is re-used as the UE capability signalling for NR-DC to determine BD/CCE limit across serving cells over CGs if the UE reports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and 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the number of configured DL serving cells over CGs is used to determine BD/CCE limit across serving cells over CGs if the UE does not report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If the UE reports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or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, both of them are reported (i.e., not either of them).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are per UE capability signalling.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66E41">
              <w:rPr>
                <w:rFonts w:ascii="Arial" w:eastAsia="Yu Mincho" w:hAnsi="Arial" w:cs="Arial"/>
                <w:iCs/>
                <w:highlight w:val="yellow"/>
                <w:lang w:val="en-US" w:eastAsia="ja-JP"/>
              </w:rPr>
              <w:t>FFS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: If the UE does not report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, the UE must support at least one NR-DC band combination where the UE behaviour of blind decoding operation is the same as in Rel.15 NR-CA.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For MCG and SCG, the UE calculates BD/CCE limit for the CGs by using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, respectively.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The value range of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is [1, 2, …, 15].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+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&lt;=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if the UE reports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+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&lt;= 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lastRenderedPageBreak/>
              <w:t xml:space="preserve">the number of configured DL serving cells over CGs if the UE does not report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For a UE configured with NR-DC, if the UE reports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the UE is always configured with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.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66E41">
              <w:rPr>
                <w:rFonts w:ascii="Arial" w:eastAsia="Yu Mincho" w:hAnsi="Arial" w:cs="Arial"/>
                <w:iCs/>
                <w:highlight w:val="yellow"/>
                <w:lang w:val="en-US" w:eastAsia="ja-JP"/>
              </w:rPr>
              <w:t>FFS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: if the UE does not report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.</w:t>
            </w:r>
          </w:p>
          <w:p w:rsidR="00AF151B" w:rsidRPr="0040454D" w:rsidRDefault="0040454D" w:rsidP="00722212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The information exchange between MCG and SCG (if any) is up to RAN2/RAN3 to discuss.</w:t>
            </w:r>
          </w:p>
        </w:tc>
      </w:tr>
    </w:tbl>
    <w:p w:rsidR="00F54968" w:rsidRDefault="00F54968" w:rsidP="00354FAB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DD0DE5" w:rsidRDefault="00DD0DE5" w:rsidP="00354FAB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3B3F49">
        <w:rPr>
          <w:rFonts w:ascii="Arial" w:eastAsia="Yu Mincho" w:hAnsi="Arial" w:cs="Arial"/>
          <w:iCs/>
          <w:lang w:eastAsia="ja-JP"/>
        </w:rPr>
        <w:t>In</w:t>
      </w:r>
      <w:r w:rsidR="00877419" w:rsidRPr="003B3F49">
        <w:rPr>
          <w:rFonts w:ascii="Arial" w:eastAsia="Yu Mincho" w:hAnsi="Arial" w:cs="Arial"/>
          <w:iCs/>
          <w:lang w:eastAsia="ja-JP"/>
        </w:rPr>
        <w:t xml:space="preserve"> the</w:t>
      </w:r>
      <w:r w:rsidRPr="003B3F49">
        <w:rPr>
          <w:rFonts w:ascii="Arial" w:eastAsia="Yu Mincho" w:hAnsi="Arial" w:cs="Arial"/>
          <w:iCs/>
          <w:lang w:eastAsia="ja-JP"/>
        </w:rPr>
        <w:t xml:space="preserve"> RAN1</w:t>
      </w:r>
      <w:r w:rsidR="00DE6A98" w:rsidRPr="003B3F49">
        <w:rPr>
          <w:rFonts w:ascii="Arial" w:eastAsia="Yu Mincho" w:hAnsi="Arial" w:cs="Arial"/>
          <w:iCs/>
          <w:lang w:eastAsia="ja-JP"/>
        </w:rPr>
        <w:t xml:space="preserve"> </w:t>
      </w:r>
      <w:r w:rsidRPr="003B3F49">
        <w:rPr>
          <w:rFonts w:ascii="Arial" w:eastAsia="Yu Mincho" w:hAnsi="Arial" w:cs="Arial"/>
          <w:iCs/>
          <w:lang w:eastAsia="ja-JP"/>
        </w:rPr>
        <w:t>#97 meeting, RAN1 resolved the FFS aspects</w:t>
      </w:r>
      <w:r w:rsidR="004F6B92">
        <w:rPr>
          <w:rFonts w:ascii="Arial" w:eastAsia="Yu Mincho" w:hAnsi="Arial" w:cs="Arial"/>
          <w:iCs/>
          <w:lang w:eastAsia="ja-JP"/>
        </w:rPr>
        <w:t xml:space="preserve"> </w:t>
      </w:r>
      <w:r w:rsidR="00D8741F" w:rsidRPr="003B3F49">
        <w:rPr>
          <w:rFonts w:ascii="Arial" w:eastAsia="Yu Mincho" w:hAnsi="Arial" w:cs="Arial"/>
          <w:iCs/>
          <w:lang w:eastAsia="ja-JP"/>
        </w:rPr>
        <w:t>in the</w:t>
      </w:r>
      <w:r w:rsidR="00EB0048">
        <w:rPr>
          <w:rFonts w:ascii="Arial" w:eastAsia="Yu Mincho" w:hAnsi="Arial" w:cs="Arial"/>
          <w:iCs/>
          <w:lang w:eastAsia="ja-JP"/>
        </w:rPr>
        <w:t xml:space="preserve"> above</w:t>
      </w:r>
      <w:r w:rsidR="00D8741F" w:rsidRPr="003B3F49">
        <w:rPr>
          <w:rFonts w:ascii="Arial" w:eastAsia="Yu Mincho" w:hAnsi="Arial" w:cs="Arial"/>
          <w:iCs/>
          <w:lang w:eastAsia="ja-JP"/>
        </w:rPr>
        <w:t xml:space="preserve"> </w:t>
      </w:r>
      <w:r w:rsidR="006E44FB">
        <w:rPr>
          <w:rFonts w:ascii="Arial" w:eastAsia="Yu Mincho" w:hAnsi="Arial" w:cs="Arial"/>
          <w:iCs/>
          <w:lang w:eastAsia="ja-JP"/>
        </w:rPr>
        <w:t>RAN1</w:t>
      </w:r>
      <w:r w:rsidR="0056570D">
        <w:rPr>
          <w:rFonts w:ascii="Arial" w:eastAsia="Yu Mincho" w:hAnsi="Arial" w:cs="Arial"/>
          <w:iCs/>
          <w:lang w:eastAsia="ja-JP"/>
        </w:rPr>
        <w:t xml:space="preserve"> </w:t>
      </w:r>
      <w:r w:rsidR="006E44FB">
        <w:rPr>
          <w:rFonts w:ascii="Arial" w:eastAsia="Yu Mincho" w:hAnsi="Arial" w:cs="Arial"/>
          <w:iCs/>
          <w:lang w:eastAsia="ja-JP"/>
        </w:rPr>
        <w:t xml:space="preserve">#96bis </w:t>
      </w:r>
      <w:r w:rsidR="00D8741F" w:rsidRPr="003B3F49">
        <w:rPr>
          <w:rFonts w:ascii="Arial" w:eastAsia="Yu Mincho" w:hAnsi="Arial" w:cs="Arial"/>
          <w:iCs/>
          <w:lang w:eastAsia="ja-JP"/>
        </w:rPr>
        <w:t xml:space="preserve">agreements. </w:t>
      </w:r>
      <w:r w:rsidR="004F6B92">
        <w:rPr>
          <w:rFonts w:ascii="Arial" w:eastAsia="Yu Mincho" w:hAnsi="Arial" w:cs="Arial"/>
          <w:iCs/>
          <w:lang w:eastAsia="ja-JP"/>
        </w:rPr>
        <w:t xml:space="preserve">RAN1 also clarified the UE behaviour for </w:t>
      </w:r>
      <w:r w:rsidR="004F6B92" w:rsidRPr="00045511">
        <w:rPr>
          <w:rFonts w:ascii="Arial" w:hAnsi="Arial" w:cs="Arial"/>
          <w:lang w:eastAsia="ja-JP"/>
        </w:rPr>
        <w:t>the fallback NR-CA band combination derived from a NR-DC band combination</w:t>
      </w:r>
      <w:r w:rsidR="004F6B92">
        <w:rPr>
          <w:rFonts w:ascii="Arial" w:eastAsia="Yu Mincho" w:hAnsi="Arial" w:cs="Arial"/>
          <w:iCs/>
          <w:lang w:eastAsia="ja-JP"/>
        </w:rPr>
        <w:t>.</w:t>
      </w:r>
      <w:r w:rsidR="004F6B92" w:rsidRPr="003B3F49">
        <w:rPr>
          <w:rFonts w:ascii="Arial" w:eastAsia="Yu Mincho" w:hAnsi="Arial" w:cs="Arial"/>
          <w:iCs/>
          <w:lang w:eastAsia="ja-JP"/>
        </w:rPr>
        <w:t xml:space="preserve"> </w:t>
      </w:r>
      <w:r w:rsidR="003B3F49" w:rsidRPr="003B3F49">
        <w:rPr>
          <w:rFonts w:ascii="Arial" w:eastAsia="Yu Mincho" w:hAnsi="Arial" w:cs="Arial"/>
          <w:iCs/>
          <w:lang w:eastAsia="ja-JP"/>
        </w:rPr>
        <w:t xml:space="preserve">The </w:t>
      </w:r>
      <w:r w:rsidR="00295D17">
        <w:rPr>
          <w:rFonts w:ascii="Arial" w:eastAsia="Yu Mincho" w:hAnsi="Arial" w:cs="Arial"/>
          <w:iCs/>
          <w:lang w:eastAsia="ja-JP"/>
        </w:rPr>
        <w:t>updated</w:t>
      </w:r>
      <w:r w:rsidR="00295D17" w:rsidRPr="003B3F49">
        <w:rPr>
          <w:rFonts w:ascii="Arial" w:eastAsia="Yu Mincho" w:hAnsi="Arial" w:cs="Arial"/>
          <w:iCs/>
          <w:lang w:eastAsia="ja-JP"/>
        </w:rPr>
        <w:t xml:space="preserve"> </w:t>
      </w:r>
      <w:r w:rsidR="003B3F49" w:rsidRPr="003B3F49">
        <w:rPr>
          <w:rFonts w:ascii="Arial" w:eastAsia="Yu Mincho" w:hAnsi="Arial" w:cs="Arial"/>
          <w:iCs/>
          <w:lang w:eastAsia="ja-JP"/>
        </w:rPr>
        <w:t>agreement</w:t>
      </w:r>
      <w:r w:rsidR="00DD248E">
        <w:rPr>
          <w:rFonts w:ascii="Arial" w:eastAsia="Yu Mincho" w:hAnsi="Arial" w:cs="Arial"/>
          <w:iCs/>
          <w:lang w:eastAsia="ja-JP"/>
        </w:rPr>
        <w:t>s</w:t>
      </w:r>
      <w:r w:rsidR="003B3F49" w:rsidRPr="003B3F49">
        <w:rPr>
          <w:rFonts w:ascii="Arial" w:eastAsia="Yu Mincho" w:hAnsi="Arial" w:cs="Arial"/>
          <w:iCs/>
          <w:lang w:eastAsia="ja-JP"/>
        </w:rPr>
        <w:t xml:space="preserve"> </w:t>
      </w:r>
      <w:r w:rsidR="00DD248E">
        <w:rPr>
          <w:rFonts w:ascii="Arial" w:eastAsia="Yu Mincho" w:hAnsi="Arial" w:cs="Arial"/>
          <w:iCs/>
          <w:lang w:eastAsia="ja-JP"/>
        </w:rPr>
        <w:t>are</w:t>
      </w:r>
      <w:r w:rsidR="00DD248E" w:rsidRPr="003B3F49">
        <w:rPr>
          <w:rFonts w:ascii="Arial" w:eastAsia="Yu Mincho" w:hAnsi="Arial" w:cs="Arial"/>
          <w:iCs/>
          <w:lang w:eastAsia="ja-JP"/>
        </w:rPr>
        <w:t xml:space="preserve"> </w:t>
      </w:r>
      <w:r w:rsidR="003B3F49" w:rsidRPr="003B3F49">
        <w:rPr>
          <w:rFonts w:ascii="Arial" w:eastAsia="Yu Mincho" w:hAnsi="Arial" w:cs="Arial"/>
          <w:iCs/>
          <w:lang w:eastAsia="ja-JP"/>
        </w:rPr>
        <w:t>as follows</w:t>
      </w:r>
      <w:r w:rsidR="005C1F1E">
        <w:rPr>
          <w:rFonts w:ascii="Arial" w:eastAsia="Yu Mincho" w:hAnsi="Arial" w:cs="Arial"/>
          <w:iCs/>
          <w:lang w:eastAsia="ja-JP"/>
        </w:rPr>
        <w:t xml:space="preserve"> and the update</w:t>
      </w:r>
      <w:r w:rsidR="002E63AB">
        <w:rPr>
          <w:rFonts w:ascii="Arial" w:eastAsia="Yu Mincho" w:hAnsi="Arial" w:cs="Arial"/>
          <w:iCs/>
          <w:lang w:eastAsia="ja-JP"/>
        </w:rPr>
        <w:t>d</w:t>
      </w:r>
      <w:r w:rsidR="0049161D">
        <w:rPr>
          <w:rFonts w:ascii="Arial" w:eastAsia="Yu Mincho" w:hAnsi="Arial" w:cs="Arial"/>
          <w:iCs/>
          <w:lang w:eastAsia="ja-JP"/>
        </w:rPr>
        <w:t xml:space="preserve"> part</w:t>
      </w:r>
      <w:r w:rsidR="005C1F1E">
        <w:rPr>
          <w:rFonts w:ascii="Arial" w:eastAsia="Yu Mincho" w:hAnsi="Arial" w:cs="Arial"/>
          <w:iCs/>
          <w:lang w:eastAsia="ja-JP"/>
        </w:rPr>
        <w:t>s are highlighted</w:t>
      </w:r>
      <w:r w:rsidR="003B3F49" w:rsidRPr="003B3F49">
        <w:rPr>
          <w:rFonts w:ascii="Arial" w:eastAsia="Yu Mincho" w:hAnsi="Arial" w:cs="Arial"/>
          <w:iCs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C2F6B" w:rsidRPr="00670020" w:rsidTr="000E18D1">
        <w:tc>
          <w:tcPr>
            <w:tcW w:w="10081" w:type="dxa"/>
          </w:tcPr>
          <w:p w:rsidR="00901AAE" w:rsidRPr="00AE5E13" w:rsidRDefault="00901AAE" w:rsidP="00AE5E13">
            <w:pPr>
              <w:spacing w:afterLines="50" w:after="120"/>
              <w:rPr>
                <w:rFonts w:ascii="Arial" w:hAnsi="Arial" w:cs="Arial"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highlight w:val="green"/>
                <w:lang w:val="en-US" w:eastAsia="ja-JP"/>
              </w:rPr>
              <w:t>Agreements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:</w:t>
            </w:r>
          </w:p>
          <w:p w:rsidR="00926C68" w:rsidRPr="00670020" w:rsidRDefault="00926C68" w:rsidP="000E18D1">
            <w:pPr>
              <w:pStyle w:val="ListParagraph"/>
              <w:numPr>
                <w:ilvl w:val="0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val="en-US" w:eastAsia="ja-JP"/>
              </w:rPr>
            </w:pP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For NR-DC (including late drop UEs), ask RAN2 if it is possible to introduce RRC parameters </w:t>
            </w:r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pdcch-BlindDetectionMCG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and </w:t>
            </w:r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pdcch-BlindDetectionSCG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, which configures the reference number of cells for blind detection for MCG and SCG, respectively, and RRC parameters </w:t>
            </w:r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pdcch-BlindDetectionMCG-UE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and </w:t>
            </w:r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pdcch-BlindDetectionSCG-UE</w:t>
            </w:r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 xml:space="preserve"> 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for optional new UE capability signalling that informs the maximum values for </w:t>
            </w:r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pdcch-BlindDetectionMCG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and </w:t>
            </w:r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pdcch-BlindDetectionSCG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, respectively. If yes, </w:t>
            </w:r>
          </w:p>
          <w:p w:rsidR="00926C68" w:rsidRPr="00670020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The value range of </w:t>
            </w:r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pdcch-BlindDetectionMCG-UE</w:t>
            </w:r>
            <w:r w:rsidRPr="00670020">
              <w:rPr>
                <w:rFonts w:ascii="Arial" w:eastAsia="DengXian" w:hAnsi="Arial" w:cs="Arial"/>
                <w:szCs w:val="20"/>
                <w:lang w:eastAsia="ja-JP"/>
              </w:rPr>
              <w:t xml:space="preserve"> and </w:t>
            </w:r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pdcch-BlindDetectionSCG-UE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is </w:t>
            </w:r>
          </w:p>
          <w:p w:rsidR="00926C68" w:rsidRPr="00670020" w:rsidRDefault="00926C68" w:rsidP="000E18D1">
            <w:pPr>
              <w:pStyle w:val="ListParagraph"/>
              <w:numPr>
                <w:ilvl w:val="2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[1, …, </w:t>
            </w:r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pdcch-BlindDetectionCA-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1] and </w:t>
            </w:r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pdcch-BlindDetectionMCG-UE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+ </w:t>
            </w:r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 xml:space="preserve">pdcch-BlindDetectionSCG-UE &gt;= pdcch-BlindDetectionCA 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if the UE reports </w:t>
            </w:r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pdcch-BlindDetectionCA</w:t>
            </w:r>
            <w:r w:rsidRPr="00670020">
              <w:rPr>
                <w:rFonts w:ascii="Arial" w:hAnsi="Arial" w:cs="Arial"/>
                <w:iCs/>
                <w:szCs w:val="20"/>
                <w:lang w:eastAsia="ja-JP"/>
              </w:rPr>
              <w:t>, and</w:t>
            </w:r>
          </w:p>
          <w:p w:rsidR="00926C68" w:rsidRPr="00205C39" w:rsidRDefault="00926C68" w:rsidP="000E18D1">
            <w:pPr>
              <w:pStyle w:val="ListParagraph"/>
              <w:numPr>
                <w:ilvl w:val="2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highlight w:val="yellow"/>
                <w:lang w:eastAsia="ja-JP"/>
              </w:rPr>
            </w:pPr>
            <w:r w:rsidRPr="00205C39">
              <w:rPr>
                <w:rFonts w:ascii="Arial" w:hAnsi="Arial" w:cs="Arial"/>
                <w:szCs w:val="20"/>
                <w:highlight w:val="yellow"/>
                <w:lang w:eastAsia="ja-JP"/>
              </w:rPr>
              <w:t xml:space="preserve">[1, 2, 3] and </w:t>
            </w:r>
            <w:r w:rsidRPr="00205C39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pdcch-BlindDetectionMCG-UE</w:t>
            </w:r>
            <w:r w:rsidRPr="00205C39">
              <w:rPr>
                <w:rFonts w:ascii="Arial" w:hAnsi="Arial" w:cs="Arial"/>
                <w:szCs w:val="20"/>
                <w:highlight w:val="yellow"/>
                <w:lang w:eastAsia="ja-JP"/>
              </w:rPr>
              <w:t xml:space="preserve"> + </w:t>
            </w:r>
            <w:r w:rsidRPr="00205C39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 xml:space="preserve">pdcch-BlindDetectionSCG-UE &gt;= </w:t>
            </w:r>
            <w:r w:rsidRPr="00205C39">
              <w:rPr>
                <w:rFonts w:ascii="Arial" w:hAnsi="Arial" w:cs="Arial"/>
                <w:szCs w:val="20"/>
                <w:highlight w:val="yellow"/>
                <w:lang w:eastAsia="ja-JP"/>
              </w:rPr>
              <w:t xml:space="preserve">the maximum number of DL serving cells over CGs that UE can support if the UE does not report </w:t>
            </w:r>
            <w:r w:rsidRPr="00205C39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pdcch-BlindDetectionCA</w:t>
            </w:r>
            <w:r w:rsidRPr="00205C39">
              <w:rPr>
                <w:rFonts w:ascii="Arial" w:hAnsi="Arial" w:cs="Arial"/>
                <w:iCs/>
                <w:szCs w:val="20"/>
                <w:highlight w:val="yellow"/>
                <w:lang w:eastAsia="ja-JP"/>
              </w:rPr>
              <w:t>.</w:t>
            </w:r>
          </w:p>
          <w:p w:rsidR="00926C68" w:rsidRPr="00670020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If the UE does not report </w:t>
            </w:r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pdcch-BlindDetectionMCG-UE</w:t>
            </w:r>
            <w:r w:rsidRPr="00670020">
              <w:rPr>
                <w:rFonts w:ascii="Arial" w:eastAsia="DengXian" w:hAnsi="Arial" w:cs="Arial"/>
                <w:szCs w:val="20"/>
                <w:lang w:eastAsia="ja-JP"/>
              </w:rPr>
              <w:t xml:space="preserve"> and </w:t>
            </w:r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pdcch-BlindDetectionSCG-UE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, </w:t>
            </w:r>
          </w:p>
          <w:p w:rsidR="00926C68" w:rsidRPr="00670020" w:rsidRDefault="00926C68" w:rsidP="000E18D1">
            <w:pPr>
              <w:pStyle w:val="ListParagraph"/>
              <w:numPr>
                <w:ilvl w:val="2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pdcch-BlindDetectionCA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for NR-CA is re-used as the UE capability signalling for NR-DC to determine BD/CCE limit across serving cells over CGs if the UE reports </w:t>
            </w:r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pdcch-BlindDetectionCA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, and </w:t>
            </w:r>
          </w:p>
          <w:p w:rsidR="00926C68" w:rsidRPr="00670020" w:rsidRDefault="00926C68" w:rsidP="000E18D1">
            <w:pPr>
              <w:pStyle w:val="ListParagraph"/>
              <w:numPr>
                <w:ilvl w:val="2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the number of configured DL serving cells over CGs is used to determine BD/CCE limit across serving cells over CGs if the UE does not report </w:t>
            </w:r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pdcch-BlindDetectionCA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>.</w:t>
            </w:r>
          </w:p>
          <w:p w:rsidR="00926C68" w:rsidRPr="00670020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If the UE reports </w:t>
            </w:r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pdcch-BlindDetectionMCG-UE</w:t>
            </w:r>
            <w:r w:rsidRPr="00670020">
              <w:rPr>
                <w:rFonts w:ascii="Arial" w:eastAsia="DengXian" w:hAnsi="Arial" w:cs="Arial"/>
                <w:szCs w:val="20"/>
                <w:lang w:eastAsia="ja-JP"/>
              </w:rPr>
              <w:t xml:space="preserve"> or </w:t>
            </w:r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pdcch-BlindDetectionSCG-UE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>, both of them are reported (i.e., not either of them).</w:t>
            </w:r>
          </w:p>
          <w:p w:rsidR="00926C68" w:rsidRPr="00670020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pdcch-BlindDetectionMCG-UE</w:t>
            </w:r>
            <w:r w:rsidRPr="00670020">
              <w:rPr>
                <w:rFonts w:ascii="Arial" w:eastAsia="DengXian" w:hAnsi="Arial" w:cs="Arial"/>
                <w:szCs w:val="20"/>
                <w:lang w:eastAsia="ja-JP"/>
              </w:rPr>
              <w:t xml:space="preserve"> and </w:t>
            </w:r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pdcch-BlindDetectionSCG-UE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are per UE capability signalling.</w:t>
            </w:r>
          </w:p>
          <w:p w:rsidR="00926C68" w:rsidRPr="00BA7343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highlight w:val="yellow"/>
                <w:lang w:eastAsia="ja-JP"/>
              </w:rPr>
            </w:pPr>
            <w:r w:rsidRPr="00BA7343">
              <w:rPr>
                <w:rFonts w:ascii="Arial" w:hAnsi="Arial" w:cs="Arial"/>
                <w:szCs w:val="20"/>
                <w:highlight w:val="yellow"/>
                <w:lang w:eastAsia="ja-JP"/>
              </w:rPr>
              <w:t xml:space="preserve">If the UE does not report </w:t>
            </w:r>
            <w:r w:rsidRPr="00BA7343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pdcch-BlindDetectionCA</w:t>
            </w:r>
            <w:r w:rsidRPr="00BA7343">
              <w:rPr>
                <w:rFonts w:ascii="Arial" w:hAnsi="Arial" w:cs="Arial"/>
                <w:iCs/>
                <w:szCs w:val="20"/>
                <w:highlight w:val="yellow"/>
                <w:lang w:eastAsia="ja-JP"/>
              </w:rPr>
              <w:t xml:space="preserve">, and if X is the maximum number of CCs supported by the UE across all NR-DC band combinations then there is at least one parameter pair (X1, X2) such that X1 + X2 = X and the UE supports at least one NR-DC band combination with X1 CCs in MCG and X2 CCs in SCG and for which X1 &lt;= </w:t>
            </w:r>
            <w:r w:rsidRPr="00BA7343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pdcch-BlindDetectionMCG-UE</w:t>
            </w:r>
            <w:r w:rsidRPr="00BA7343">
              <w:rPr>
                <w:rFonts w:ascii="Arial" w:hAnsi="Arial" w:cs="Arial"/>
                <w:iCs/>
                <w:szCs w:val="20"/>
                <w:highlight w:val="yellow"/>
                <w:lang w:eastAsia="ja-JP"/>
              </w:rPr>
              <w:t xml:space="preserve"> and X2 &lt;= </w:t>
            </w:r>
            <w:r w:rsidRPr="00BA7343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pdcch-BlindDetectionSCG-UE</w:t>
            </w:r>
            <w:r w:rsidRPr="00BA7343">
              <w:rPr>
                <w:rFonts w:ascii="Arial" w:hAnsi="Arial" w:cs="Arial"/>
                <w:iCs/>
                <w:szCs w:val="20"/>
                <w:highlight w:val="yellow"/>
                <w:lang w:eastAsia="ja-JP"/>
              </w:rPr>
              <w:t>.</w:t>
            </w:r>
          </w:p>
          <w:p w:rsidR="00926C68" w:rsidRPr="00670020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For MCG and SCG, the UE calculates BD/CCE limit for the CGs by using </w:t>
            </w:r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pdcch-BlindDetectionMCG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and </w:t>
            </w:r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pdcch-BlindDetectionSCG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>, respectively.</w:t>
            </w:r>
          </w:p>
          <w:p w:rsidR="00926C68" w:rsidRPr="00670020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The value range of </w:t>
            </w:r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pdcch-BlindDetectionMCG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and </w:t>
            </w:r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pdcch-BlindDetectionSCG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is [1, 2, …, 15].</w:t>
            </w:r>
          </w:p>
          <w:p w:rsidR="00926C68" w:rsidRPr="00670020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pdcch-BlindDetectionMCG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+ </w:t>
            </w:r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pdcch-BlindDetectionSCG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&lt;= </w:t>
            </w:r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pdcch-BlindDetectionCA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if the UE reports </w:t>
            </w:r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pdcch-BlindDetectionCA</w:t>
            </w:r>
            <w:r w:rsidRPr="00670020">
              <w:rPr>
                <w:rFonts w:ascii="Arial" w:hAnsi="Arial" w:cs="Arial"/>
                <w:iCs/>
                <w:szCs w:val="20"/>
                <w:lang w:eastAsia="ja-JP"/>
              </w:rPr>
              <w:t xml:space="preserve">, and </w:t>
            </w:r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pdcch-BlindDetectionMCG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+ </w:t>
            </w:r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pdcch-BlindDetectionSCG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&lt;= the number of configured DL serving cells over CGs if the UE does not report </w:t>
            </w:r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pdcch-BlindDetectionCA</w:t>
            </w:r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.</w:t>
            </w:r>
          </w:p>
          <w:p w:rsidR="00926C68" w:rsidRPr="00BA7343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highlight w:val="yellow"/>
                <w:lang w:eastAsia="ja-JP"/>
              </w:rPr>
            </w:pPr>
            <w:r w:rsidRPr="00BA7343">
              <w:rPr>
                <w:rFonts w:ascii="Arial" w:hAnsi="Arial" w:cs="Arial"/>
                <w:iCs/>
                <w:szCs w:val="20"/>
                <w:highlight w:val="yellow"/>
                <w:lang w:eastAsia="ja-JP"/>
              </w:rPr>
              <w:t xml:space="preserve">For a UE configured with NR-DC, the UE is always configured with </w:t>
            </w:r>
            <w:r w:rsidRPr="00BA7343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pdcch-BlindDetectionMCG</w:t>
            </w:r>
            <w:r w:rsidRPr="00BA7343">
              <w:rPr>
                <w:rFonts w:ascii="Arial" w:hAnsi="Arial" w:cs="Arial"/>
                <w:iCs/>
                <w:szCs w:val="20"/>
                <w:highlight w:val="yellow"/>
                <w:lang w:eastAsia="ja-JP"/>
              </w:rPr>
              <w:t xml:space="preserve"> and </w:t>
            </w:r>
            <w:r w:rsidRPr="00BA7343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pdcch-BlindDetectionSCG</w:t>
            </w:r>
            <w:r w:rsidRPr="00BA7343">
              <w:rPr>
                <w:rFonts w:ascii="Arial" w:hAnsi="Arial" w:cs="Arial"/>
                <w:iCs/>
                <w:szCs w:val="20"/>
                <w:highlight w:val="yellow"/>
                <w:lang w:eastAsia="ja-JP"/>
              </w:rPr>
              <w:t>.</w:t>
            </w:r>
          </w:p>
          <w:p w:rsidR="00926C68" w:rsidRPr="00670020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r w:rsidRPr="00670020">
              <w:rPr>
                <w:rFonts w:ascii="Arial" w:hAnsi="Arial" w:cs="Arial"/>
                <w:szCs w:val="20"/>
                <w:lang w:eastAsia="ja-JP"/>
              </w:rPr>
              <w:t>The information exchange between MCG and SCG (if any) is up to RAN2/RAN3 to discuss.</w:t>
            </w:r>
          </w:p>
          <w:p w:rsidR="00CC2F6B" w:rsidRPr="0035701D" w:rsidRDefault="00926C68" w:rsidP="000E18D1">
            <w:pPr>
              <w:pStyle w:val="ListParagraph"/>
              <w:numPr>
                <w:ilvl w:val="0"/>
                <w:numId w:val="12"/>
              </w:numPr>
              <w:snapToGrid w:val="0"/>
              <w:spacing w:line="276" w:lineRule="auto"/>
              <w:ind w:leftChars="0"/>
              <w:rPr>
                <w:rFonts w:ascii="Arial" w:eastAsia="Yu Mincho" w:hAnsi="Arial" w:cs="Arial"/>
                <w:iCs/>
                <w:lang w:eastAsia="ja-JP"/>
              </w:rPr>
            </w:pPr>
            <w:r w:rsidRPr="00BA7343">
              <w:rPr>
                <w:rFonts w:ascii="Arial" w:hAnsi="Arial" w:cs="Arial"/>
                <w:szCs w:val="20"/>
                <w:highlight w:val="yellow"/>
                <w:lang w:eastAsia="ja-JP"/>
              </w:rPr>
              <w:t xml:space="preserve">For a NR-CA operation with only the fallback NR-CA band combination derived from a NR-DC band combination, the determination of PDCCH blind decoding capability follows the existing mechanism for NR-CA without involvement of any </w:t>
            </w:r>
            <w:r w:rsidRPr="00BA7343">
              <w:rPr>
                <w:rFonts w:ascii="Arial" w:hAnsi="Arial" w:cs="Arial"/>
                <w:i/>
                <w:szCs w:val="20"/>
                <w:highlight w:val="yellow"/>
                <w:lang w:eastAsia="ja-JP"/>
              </w:rPr>
              <w:t>pdcch-BlindDetectionMCG-UE</w:t>
            </w:r>
            <w:r w:rsidRPr="00BA7343">
              <w:rPr>
                <w:rFonts w:ascii="Arial" w:hAnsi="Arial" w:cs="Arial"/>
                <w:szCs w:val="20"/>
                <w:highlight w:val="yellow"/>
                <w:lang w:eastAsia="ja-JP"/>
              </w:rPr>
              <w:t xml:space="preserve"> or </w:t>
            </w:r>
            <w:r w:rsidRPr="00BA7343">
              <w:rPr>
                <w:rFonts w:ascii="Arial" w:hAnsi="Arial" w:cs="Arial"/>
                <w:i/>
                <w:szCs w:val="20"/>
                <w:highlight w:val="yellow"/>
                <w:lang w:eastAsia="ja-JP"/>
              </w:rPr>
              <w:t>pdcch-BlindDetectionSCG-UE</w:t>
            </w:r>
            <w:r w:rsidRPr="00BA7343">
              <w:rPr>
                <w:rFonts w:ascii="Arial" w:hAnsi="Arial" w:cs="Arial"/>
                <w:szCs w:val="20"/>
                <w:highlight w:val="yellow"/>
                <w:lang w:eastAsia="ja-JP"/>
              </w:rPr>
              <w:t>.</w:t>
            </w:r>
          </w:p>
        </w:tc>
      </w:tr>
    </w:tbl>
    <w:p w:rsidR="00CC2F6B" w:rsidRPr="00AF151B" w:rsidRDefault="00CC2F6B" w:rsidP="00354FAB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AC6FAF" w:rsidRPr="00C7234D" w:rsidRDefault="002A12EA" w:rsidP="0072521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lastRenderedPageBreak/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to take </w:t>
      </w:r>
      <w:r w:rsidRPr="00C7234D">
        <w:rPr>
          <w:rFonts w:ascii="Arial" w:eastAsia="Yu Mincho" w:hAnsi="Arial" w:cs="Arial" w:hint="eastAsia"/>
          <w:iCs/>
          <w:lang w:eastAsia="ja-JP"/>
        </w:rPr>
        <w:t xml:space="preserve">the </w:t>
      </w:r>
      <w:r w:rsidRPr="00C7234D">
        <w:rPr>
          <w:rFonts w:ascii="Arial" w:eastAsia="Yu Mincho" w:hAnsi="Arial" w:cs="Arial"/>
          <w:iCs/>
          <w:lang w:eastAsia="ja-JP"/>
        </w:rPr>
        <w:t xml:space="preserve">above </w:t>
      </w:r>
      <w:r w:rsidR="007A4BAC">
        <w:rPr>
          <w:rFonts w:ascii="Arial" w:eastAsia="Yu Mincho" w:hAnsi="Arial" w:cs="Arial"/>
          <w:iCs/>
          <w:lang w:eastAsia="ja-JP"/>
        </w:rPr>
        <w:t>updated</w:t>
      </w:r>
      <w:r w:rsidR="0091075F">
        <w:rPr>
          <w:rFonts w:ascii="Arial" w:eastAsia="Yu Mincho" w:hAnsi="Arial" w:cs="Arial"/>
          <w:iCs/>
          <w:lang w:eastAsia="ja-JP"/>
        </w:rPr>
        <w:t xml:space="preserve"> </w:t>
      </w:r>
      <w:r w:rsidR="004F03F5">
        <w:rPr>
          <w:rFonts w:ascii="Arial" w:eastAsia="Yu Mincho" w:hAnsi="Arial" w:cs="Arial"/>
          <w:iCs/>
          <w:lang w:eastAsia="ja-JP"/>
        </w:rPr>
        <w:t xml:space="preserve">agreements </w:t>
      </w:r>
      <w:r w:rsidRPr="00C7234D">
        <w:rPr>
          <w:rFonts w:ascii="Arial" w:eastAsia="Yu Mincho" w:hAnsi="Arial" w:cs="Arial"/>
          <w:iCs/>
          <w:lang w:eastAsia="ja-JP"/>
        </w:rPr>
        <w:t>into consideration</w:t>
      </w:r>
      <w:r w:rsidR="00655BF8" w:rsidRPr="00C7234D">
        <w:rPr>
          <w:rFonts w:ascii="Arial" w:eastAsia="Yu Mincho" w:hAnsi="Arial" w:cs="Arial"/>
          <w:iCs/>
          <w:lang w:eastAsia="ja-JP"/>
        </w:rPr>
        <w:t xml:space="preserve"> for </w:t>
      </w:r>
      <w:r w:rsidR="005101D0" w:rsidRPr="00C7234D">
        <w:rPr>
          <w:rFonts w:ascii="Arial" w:eastAsia="Yu Mincho" w:hAnsi="Arial" w:cs="Arial"/>
          <w:iCs/>
          <w:lang w:eastAsia="ja-JP"/>
        </w:rPr>
        <w:t>the specification work</w:t>
      </w:r>
      <w:r w:rsidR="005C782D">
        <w:rPr>
          <w:rFonts w:ascii="Arial" w:eastAsia="Yu Mincho" w:hAnsi="Arial" w:cs="Arial"/>
          <w:iCs/>
          <w:lang w:eastAsia="ja-JP"/>
        </w:rPr>
        <w:t xml:space="preserve"> </w:t>
      </w:r>
      <w:r w:rsidR="00AC6FAF" w:rsidRPr="00C7234D">
        <w:rPr>
          <w:rFonts w:ascii="Arial" w:eastAsia="Yu Mincho" w:hAnsi="Arial" w:cs="Arial"/>
          <w:iCs/>
          <w:lang w:eastAsia="ja-JP"/>
        </w:rPr>
        <w:t>for NR-DC (including late drop UEs).</w:t>
      </w:r>
    </w:p>
    <w:p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7E37A5" w:rsidRDefault="007E37A5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#98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26th – 30th August 2019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Prague.</w:t>
      </w:r>
    </w:p>
    <w:p w:rsidR="004005A7" w:rsidRDefault="004005A7" w:rsidP="004005A7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#98bis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9C26E1">
        <w:rPr>
          <w:rFonts w:ascii="Arial" w:eastAsia="MS Mincho" w:hAnsi="Arial" w:cs="Arial"/>
          <w:bCs/>
          <w:lang w:eastAsia="ja-JP"/>
        </w:rPr>
        <w:t>14</w:t>
      </w:r>
      <w:r>
        <w:rPr>
          <w:rFonts w:ascii="Arial" w:eastAsia="MS Mincho" w:hAnsi="Arial" w:cs="Arial"/>
          <w:bCs/>
          <w:lang w:eastAsia="ja-JP"/>
        </w:rPr>
        <w:t xml:space="preserve">th – </w:t>
      </w:r>
      <w:r w:rsidR="009C26E1">
        <w:rPr>
          <w:rFonts w:ascii="Arial" w:eastAsia="MS Mincho" w:hAnsi="Arial" w:cs="Arial"/>
          <w:bCs/>
          <w:lang w:eastAsia="ja-JP"/>
        </w:rPr>
        <w:t>18</w:t>
      </w:r>
      <w:r>
        <w:rPr>
          <w:rFonts w:ascii="Arial" w:eastAsia="MS Mincho" w:hAnsi="Arial" w:cs="Arial"/>
          <w:bCs/>
          <w:lang w:eastAsia="ja-JP"/>
        </w:rPr>
        <w:t xml:space="preserve">th </w:t>
      </w:r>
      <w:r w:rsidR="009C26E1" w:rsidRPr="009C26E1">
        <w:rPr>
          <w:rFonts w:ascii="Arial" w:eastAsia="MS Mincho" w:hAnsi="Arial" w:cs="Arial"/>
          <w:bCs/>
          <w:lang w:eastAsia="ja-JP"/>
        </w:rPr>
        <w:t>October</w:t>
      </w:r>
      <w:r w:rsidR="009C26E1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2019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9C26E1">
        <w:rPr>
          <w:rFonts w:ascii="Arial" w:eastAsia="MS Mincho" w:hAnsi="Arial" w:cs="Arial"/>
          <w:bCs/>
          <w:lang w:eastAsia="ja-JP"/>
        </w:rPr>
        <w:t>China</w:t>
      </w:r>
      <w:r>
        <w:rPr>
          <w:rFonts w:ascii="Arial" w:eastAsia="MS Mincho" w:hAnsi="Arial" w:cs="Arial"/>
          <w:bCs/>
          <w:lang w:eastAsia="ja-JP"/>
        </w:rPr>
        <w:t>.</w:t>
      </w:r>
    </w:p>
    <w:p w:rsidR="007E37A5" w:rsidRPr="007E37A5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:rsidR="0087068C" w:rsidRDefault="0087068C" w:rsidP="0087068C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Pr="00C51E5F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Reference</w:t>
      </w:r>
    </w:p>
    <w:p w:rsidR="0087068C" w:rsidRDefault="007173B8" w:rsidP="007173B8">
      <w:pPr>
        <w:spacing w:after="120"/>
        <w:rPr>
          <w:rFonts w:ascii="Arial" w:eastAsia="MS Mincho" w:hAnsi="Arial" w:cs="Arial"/>
          <w:bCs/>
          <w:lang w:eastAsia="ja-JP"/>
        </w:rPr>
      </w:pPr>
      <w:r w:rsidRPr="007173B8">
        <w:rPr>
          <w:rFonts w:ascii="Arial" w:eastAsia="MS Mincho" w:hAnsi="Arial" w:cs="Arial"/>
          <w:bCs/>
          <w:lang w:eastAsia="ja-JP"/>
        </w:rPr>
        <w:t>[1]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AE35F1" w:rsidRPr="00AE35F1">
        <w:rPr>
          <w:rFonts w:ascii="Arial" w:eastAsia="MS Mincho" w:hAnsi="Arial" w:cs="Arial"/>
          <w:bCs/>
          <w:lang w:eastAsia="ja-JP"/>
        </w:rPr>
        <w:t>R1-1905689</w:t>
      </w:r>
      <w:r w:rsidR="00AE35F1">
        <w:rPr>
          <w:rFonts w:ascii="Arial" w:eastAsia="MS Mincho" w:hAnsi="Arial" w:cs="Arial"/>
          <w:bCs/>
          <w:lang w:eastAsia="ja-JP"/>
        </w:rPr>
        <w:t>,</w:t>
      </w:r>
      <w:r w:rsidR="00AE35F1" w:rsidRPr="00AE35F1">
        <w:rPr>
          <w:rFonts w:ascii="Arial" w:eastAsia="MS Mincho" w:hAnsi="Arial" w:cs="Arial"/>
          <w:bCs/>
          <w:lang w:eastAsia="ja-JP"/>
        </w:rPr>
        <w:t xml:space="preserve"> </w:t>
      </w:r>
      <w:r w:rsidR="008C2EFC">
        <w:rPr>
          <w:rFonts w:ascii="Arial" w:eastAsia="MS Mincho" w:hAnsi="Arial" w:cs="Arial"/>
          <w:bCs/>
          <w:lang w:eastAsia="ja-JP"/>
        </w:rPr>
        <w:t>‘</w:t>
      </w:r>
      <w:r w:rsidR="00AE35F1">
        <w:rPr>
          <w:rFonts w:ascii="Arial" w:eastAsia="MS Mincho" w:hAnsi="Arial" w:cs="Arial"/>
          <w:bCs/>
          <w:lang w:eastAsia="ja-JP"/>
        </w:rPr>
        <w:t>LS on PDCCH monitoring for NR-DC</w:t>
      </w:r>
      <w:r w:rsidR="008C2EFC">
        <w:rPr>
          <w:rFonts w:ascii="Arial" w:eastAsia="MS Mincho" w:hAnsi="Arial" w:cs="Arial"/>
          <w:bCs/>
          <w:lang w:eastAsia="ja-JP"/>
        </w:rPr>
        <w:t>’, NTT DOCOMO, INC.</w:t>
      </w:r>
    </w:p>
    <w:p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38A0" w:rsidRDefault="00A738A0">
      <w:r>
        <w:separator/>
      </w:r>
    </w:p>
  </w:endnote>
  <w:endnote w:type="continuationSeparator" w:id="0">
    <w:p w:rsidR="00A738A0" w:rsidRDefault="00A73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38A0" w:rsidRDefault="00A738A0">
      <w:r>
        <w:separator/>
      </w:r>
    </w:p>
  </w:footnote>
  <w:footnote w:type="continuationSeparator" w:id="0">
    <w:p w:rsidR="00A738A0" w:rsidRDefault="00A73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8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4"/>
  </w:num>
  <w:num w:numId="1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268DE"/>
    <w:rsid w:val="000307D1"/>
    <w:rsid w:val="000317A4"/>
    <w:rsid w:val="000340B1"/>
    <w:rsid w:val="0003644D"/>
    <w:rsid w:val="000376B3"/>
    <w:rsid w:val="00042373"/>
    <w:rsid w:val="00044469"/>
    <w:rsid w:val="00045511"/>
    <w:rsid w:val="00054523"/>
    <w:rsid w:val="00055A83"/>
    <w:rsid w:val="0005736B"/>
    <w:rsid w:val="0006027F"/>
    <w:rsid w:val="00062AC6"/>
    <w:rsid w:val="00066F09"/>
    <w:rsid w:val="0006731B"/>
    <w:rsid w:val="00071E97"/>
    <w:rsid w:val="00073C75"/>
    <w:rsid w:val="00074FB5"/>
    <w:rsid w:val="000819D0"/>
    <w:rsid w:val="00081DA5"/>
    <w:rsid w:val="00082F2F"/>
    <w:rsid w:val="00083677"/>
    <w:rsid w:val="00084C0C"/>
    <w:rsid w:val="0009236F"/>
    <w:rsid w:val="0009675A"/>
    <w:rsid w:val="0009684C"/>
    <w:rsid w:val="00096EC9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4356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18D1"/>
    <w:rsid w:val="000E5D71"/>
    <w:rsid w:val="000E6871"/>
    <w:rsid w:val="000F0E6F"/>
    <w:rsid w:val="000F4F7A"/>
    <w:rsid w:val="00105234"/>
    <w:rsid w:val="00107A91"/>
    <w:rsid w:val="00112C4F"/>
    <w:rsid w:val="00114B00"/>
    <w:rsid w:val="001213D8"/>
    <w:rsid w:val="00125460"/>
    <w:rsid w:val="00125B74"/>
    <w:rsid w:val="00133AD9"/>
    <w:rsid w:val="00141322"/>
    <w:rsid w:val="00150905"/>
    <w:rsid w:val="00150C79"/>
    <w:rsid w:val="00151212"/>
    <w:rsid w:val="001600ED"/>
    <w:rsid w:val="00160DF7"/>
    <w:rsid w:val="00160E57"/>
    <w:rsid w:val="0016539E"/>
    <w:rsid w:val="00172C11"/>
    <w:rsid w:val="00176F49"/>
    <w:rsid w:val="00180FD6"/>
    <w:rsid w:val="001A06B9"/>
    <w:rsid w:val="001A5313"/>
    <w:rsid w:val="001A7E3D"/>
    <w:rsid w:val="001B0801"/>
    <w:rsid w:val="001B21D6"/>
    <w:rsid w:val="001B2BE9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E7FA3"/>
    <w:rsid w:val="001F2914"/>
    <w:rsid w:val="0020258F"/>
    <w:rsid w:val="00204C21"/>
    <w:rsid w:val="00205C39"/>
    <w:rsid w:val="002107D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51C34"/>
    <w:rsid w:val="00254EF4"/>
    <w:rsid w:val="00256C53"/>
    <w:rsid w:val="00257820"/>
    <w:rsid w:val="00261173"/>
    <w:rsid w:val="00263DB8"/>
    <w:rsid w:val="002708FC"/>
    <w:rsid w:val="00272E78"/>
    <w:rsid w:val="00273980"/>
    <w:rsid w:val="00280A0F"/>
    <w:rsid w:val="00280D14"/>
    <w:rsid w:val="002812C7"/>
    <w:rsid w:val="0028186F"/>
    <w:rsid w:val="00285F3B"/>
    <w:rsid w:val="00287BF7"/>
    <w:rsid w:val="00290771"/>
    <w:rsid w:val="00295851"/>
    <w:rsid w:val="00295D17"/>
    <w:rsid w:val="0029683F"/>
    <w:rsid w:val="0029746B"/>
    <w:rsid w:val="002A0A3D"/>
    <w:rsid w:val="002A12EA"/>
    <w:rsid w:val="002A695A"/>
    <w:rsid w:val="002B1237"/>
    <w:rsid w:val="002B3DFF"/>
    <w:rsid w:val="002B4B2B"/>
    <w:rsid w:val="002B7261"/>
    <w:rsid w:val="002C0330"/>
    <w:rsid w:val="002C08E8"/>
    <w:rsid w:val="002C14CF"/>
    <w:rsid w:val="002C283E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3AB"/>
    <w:rsid w:val="002E69F7"/>
    <w:rsid w:val="002F01C1"/>
    <w:rsid w:val="002F276D"/>
    <w:rsid w:val="002F50C1"/>
    <w:rsid w:val="0030220B"/>
    <w:rsid w:val="003036E2"/>
    <w:rsid w:val="00304495"/>
    <w:rsid w:val="00306AE8"/>
    <w:rsid w:val="0031404F"/>
    <w:rsid w:val="00323492"/>
    <w:rsid w:val="00340550"/>
    <w:rsid w:val="00341A23"/>
    <w:rsid w:val="00343278"/>
    <w:rsid w:val="003435D1"/>
    <w:rsid w:val="003452AE"/>
    <w:rsid w:val="00347B79"/>
    <w:rsid w:val="00347F80"/>
    <w:rsid w:val="003528F0"/>
    <w:rsid w:val="00354FAB"/>
    <w:rsid w:val="0035701D"/>
    <w:rsid w:val="00361BE9"/>
    <w:rsid w:val="003637AD"/>
    <w:rsid w:val="00364BAF"/>
    <w:rsid w:val="0037177B"/>
    <w:rsid w:val="00375957"/>
    <w:rsid w:val="0037608E"/>
    <w:rsid w:val="0037701A"/>
    <w:rsid w:val="00377701"/>
    <w:rsid w:val="00381306"/>
    <w:rsid w:val="00381474"/>
    <w:rsid w:val="003829C1"/>
    <w:rsid w:val="00385BDC"/>
    <w:rsid w:val="00390119"/>
    <w:rsid w:val="00392820"/>
    <w:rsid w:val="00392E43"/>
    <w:rsid w:val="00394D17"/>
    <w:rsid w:val="003960DD"/>
    <w:rsid w:val="00396EDF"/>
    <w:rsid w:val="003A27CA"/>
    <w:rsid w:val="003A4660"/>
    <w:rsid w:val="003A5A0C"/>
    <w:rsid w:val="003B16EB"/>
    <w:rsid w:val="003B2A55"/>
    <w:rsid w:val="003B3F49"/>
    <w:rsid w:val="003B4644"/>
    <w:rsid w:val="003B6352"/>
    <w:rsid w:val="003B74C5"/>
    <w:rsid w:val="003C0BE8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F459D"/>
    <w:rsid w:val="003F7AA2"/>
    <w:rsid w:val="00400473"/>
    <w:rsid w:val="004005A7"/>
    <w:rsid w:val="0040454D"/>
    <w:rsid w:val="00414B83"/>
    <w:rsid w:val="00416ABB"/>
    <w:rsid w:val="00417030"/>
    <w:rsid w:val="00422402"/>
    <w:rsid w:val="00424762"/>
    <w:rsid w:val="0042647D"/>
    <w:rsid w:val="00427495"/>
    <w:rsid w:val="00427F32"/>
    <w:rsid w:val="004321DB"/>
    <w:rsid w:val="004324D1"/>
    <w:rsid w:val="00433A5F"/>
    <w:rsid w:val="0043413D"/>
    <w:rsid w:val="00434D8D"/>
    <w:rsid w:val="00441B10"/>
    <w:rsid w:val="00443454"/>
    <w:rsid w:val="00445E2E"/>
    <w:rsid w:val="004530A0"/>
    <w:rsid w:val="004532EC"/>
    <w:rsid w:val="00453B17"/>
    <w:rsid w:val="00456444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9161D"/>
    <w:rsid w:val="004946DA"/>
    <w:rsid w:val="004957F2"/>
    <w:rsid w:val="004A3A0E"/>
    <w:rsid w:val="004A6EBB"/>
    <w:rsid w:val="004B60C6"/>
    <w:rsid w:val="004B6469"/>
    <w:rsid w:val="004B6DFB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688"/>
    <w:rsid w:val="004E379E"/>
    <w:rsid w:val="004E3D4D"/>
    <w:rsid w:val="004E6B16"/>
    <w:rsid w:val="004E6B4B"/>
    <w:rsid w:val="004F03F5"/>
    <w:rsid w:val="004F228B"/>
    <w:rsid w:val="004F6B92"/>
    <w:rsid w:val="004F77E0"/>
    <w:rsid w:val="004F7D93"/>
    <w:rsid w:val="00500FE6"/>
    <w:rsid w:val="00503047"/>
    <w:rsid w:val="00505D3A"/>
    <w:rsid w:val="00507B1D"/>
    <w:rsid w:val="005101D0"/>
    <w:rsid w:val="0051381E"/>
    <w:rsid w:val="00515B87"/>
    <w:rsid w:val="0051715F"/>
    <w:rsid w:val="00521941"/>
    <w:rsid w:val="00521A50"/>
    <w:rsid w:val="00522056"/>
    <w:rsid w:val="005250F1"/>
    <w:rsid w:val="005260EA"/>
    <w:rsid w:val="00527411"/>
    <w:rsid w:val="00530DFD"/>
    <w:rsid w:val="00532055"/>
    <w:rsid w:val="00536356"/>
    <w:rsid w:val="00537488"/>
    <w:rsid w:val="00537F62"/>
    <w:rsid w:val="00540B6A"/>
    <w:rsid w:val="00546D4C"/>
    <w:rsid w:val="00550279"/>
    <w:rsid w:val="00553A6D"/>
    <w:rsid w:val="00557558"/>
    <w:rsid w:val="005628E7"/>
    <w:rsid w:val="0056570D"/>
    <w:rsid w:val="00566841"/>
    <w:rsid w:val="00567EE9"/>
    <w:rsid w:val="005724A3"/>
    <w:rsid w:val="0058039E"/>
    <w:rsid w:val="00583D43"/>
    <w:rsid w:val="00585C9C"/>
    <w:rsid w:val="00586207"/>
    <w:rsid w:val="00590E8D"/>
    <w:rsid w:val="00595289"/>
    <w:rsid w:val="005A0206"/>
    <w:rsid w:val="005A13D0"/>
    <w:rsid w:val="005A5644"/>
    <w:rsid w:val="005A6C01"/>
    <w:rsid w:val="005A78FA"/>
    <w:rsid w:val="005B6F2B"/>
    <w:rsid w:val="005C0083"/>
    <w:rsid w:val="005C1F1E"/>
    <w:rsid w:val="005C3F6F"/>
    <w:rsid w:val="005C5102"/>
    <w:rsid w:val="005C782D"/>
    <w:rsid w:val="005D057A"/>
    <w:rsid w:val="005D2713"/>
    <w:rsid w:val="005D5111"/>
    <w:rsid w:val="005E0BB3"/>
    <w:rsid w:val="005E0E94"/>
    <w:rsid w:val="005E141C"/>
    <w:rsid w:val="005F0680"/>
    <w:rsid w:val="005F1E8F"/>
    <w:rsid w:val="005F4816"/>
    <w:rsid w:val="005F6066"/>
    <w:rsid w:val="005F6ADF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36849"/>
    <w:rsid w:val="00640D4D"/>
    <w:rsid w:val="00644E4A"/>
    <w:rsid w:val="00646A11"/>
    <w:rsid w:val="006523D7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020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4E0A"/>
    <w:rsid w:val="006C64BF"/>
    <w:rsid w:val="006D04B7"/>
    <w:rsid w:val="006D24B0"/>
    <w:rsid w:val="006D7CDC"/>
    <w:rsid w:val="006E39F0"/>
    <w:rsid w:val="006E44FB"/>
    <w:rsid w:val="006E5D0A"/>
    <w:rsid w:val="006E6E11"/>
    <w:rsid w:val="006F1CE1"/>
    <w:rsid w:val="006F4B9A"/>
    <w:rsid w:val="006F6CB8"/>
    <w:rsid w:val="006F70D9"/>
    <w:rsid w:val="006F7146"/>
    <w:rsid w:val="006F733B"/>
    <w:rsid w:val="00700561"/>
    <w:rsid w:val="00701CB7"/>
    <w:rsid w:val="007022D5"/>
    <w:rsid w:val="00702DEF"/>
    <w:rsid w:val="0070643C"/>
    <w:rsid w:val="007139E8"/>
    <w:rsid w:val="0071509B"/>
    <w:rsid w:val="007173B8"/>
    <w:rsid w:val="00721F9F"/>
    <w:rsid w:val="00722212"/>
    <w:rsid w:val="00724547"/>
    <w:rsid w:val="00724C73"/>
    <w:rsid w:val="00725211"/>
    <w:rsid w:val="007272A8"/>
    <w:rsid w:val="0072783E"/>
    <w:rsid w:val="007312DB"/>
    <w:rsid w:val="007379C2"/>
    <w:rsid w:val="00743604"/>
    <w:rsid w:val="00746557"/>
    <w:rsid w:val="0075109D"/>
    <w:rsid w:val="007531BD"/>
    <w:rsid w:val="00753368"/>
    <w:rsid w:val="00753964"/>
    <w:rsid w:val="00757155"/>
    <w:rsid w:val="00757E95"/>
    <w:rsid w:val="0076339A"/>
    <w:rsid w:val="00764554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2615"/>
    <w:rsid w:val="00797255"/>
    <w:rsid w:val="007A2F1A"/>
    <w:rsid w:val="007A4BAC"/>
    <w:rsid w:val="007A4FB3"/>
    <w:rsid w:val="007A5BA7"/>
    <w:rsid w:val="007A5E8E"/>
    <w:rsid w:val="007A78E4"/>
    <w:rsid w:val="007B1765"/>
    <w:rsid w:val="007B26D7"/>
    <w:rsid w:val="007B3390"/>
    <w:rsid w:val="007B4F02"/>
    <w:rsid w:val="007B64E0"/>
    <w:rsid w:val="007C2617"/>
    <w:rsid w:val="007C7323"/>
    <w:rsid w:val="007C797A"/>
    <w:rsid w:val="007D30AD"/>
    <w:rsid w:val="007D4764"/>
    <w:rsid w:val="007D563C"/>
    <w:rsid w:val="007D5901"/>
    <w:rsid w:val="007E37A5"/>
    <w:rsid w:val="007E4168"/>
    <w:rsid w:val="007E48B6"/>
    <w:rsid w:val="007E555E"/>
    <w:rsid w:val="007F4317"/>
    <w:rsid w:val="007F478A"/>
    <w:rsid w:val="0080526F"/>
    <w:rsid w:val="0080559A"/>
    <w:rsid w:val="00806C5B"/>
    <w:rsid w:val="0081568B"/>
    <w:rsid w:val="00817028"/>
    <w:rsid w:val="00817381"/>
    <w:rsid w:val="008205F2"/>
    <w:rsid w:val="00820B9C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068C"/>
    <w:rsid w:val="00872A3B"/>
    <w:rsid w:val="008730CF"/>
    <w:rsid w:val="0087687F"/>
    <w:rsid w:val="00877419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08D2"/>
    <w:rsid w:val="008C2EFC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1AAE"/>
    <w:rsid w:val="00901B7B"/>
    <w:rsid w:val="0090306E"/>
    <w:rsid w:val="00903CA5"/>
    <w:rsid w:val="009064B1"/>
    <w:rsid w:val="00907E0C"/>
    <w:rsid w:val="0091075F"/>
    <w:rsid w:val="00910C9D"/>
    <w:rsid w:val="00922613"/>
    <w:rsid w:val="009255A8"/>
    <w:rsid w:val="00926C68"/>
    <w:rsid w:val="0092724B"/>
    <w:rsid w:val="00927F3F"/>
    <w:rsid w:val="00931E52"/>
    <w:rsid w:val="009344BC"/>
    <w:rsid w:val="00940C63"/>
    <w:rsid w:val="0094106A"/>
    <w:rsid w:val="00942BF1"/>
    <w:rsid w:val="0094462E"/>
    <w:rsid w:val="00944CFA"/>
    <w:rsid w:val="009461A6"/>
    <w:rsid w:val="00962DE9"/>
    <w:rsid w:val="00963CD1"/>
    <w:rsid w:val="009650E7"/>
    <w:rsid w:val="00965742"/>
    <w:rsid w:val="009703BE"/>
    <w:rsid w:val="0097052A"/>
    <w:rsid w:val="00970EAD"/>
    <w:rsid w:val="00970FCB"/>
    <w:rsid w:val="009723CB"/>
    <w:rsid w:val="009725B1"/>
    <w:rsid w:val="00975719"/>
    <w:rsid w:val="00977121"/>
    <w:rsid w:val="00980389"/>
    <w:rsid w:val="009810FC"/>
    <w:rsid w:val="009A1072"/>
    <w:rsid w:val="009B2C92"/>
    <w:rsid w:val="009C1920"/>
    <w:rsid w:val="009C1C08"/>
    <w:rsid w:val="009C26E1"/>
    <w:rsid w:val="009C441D"/>
    <w:rsid w:val="009D129A"/>
    <w:rsid w:val="009D2FAE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6A4"/>
    <w:rsid w:val="009F6E47"/>
    <w:rsid w:val="009F7F6F"/>
    <w:rsid w:val="00A041BE"/>
    <w:rsid w:val="00A06410"/>
    <w:rsid w:val="00A11972"/>
    <w:rsid w:val="00A12448"/>
    <w:rsid w:val="00A12789"/>
    <w:rsid w:val="00A13690"/>
    <w:rsid w:val="00A13944"/>
    <w:rsid w:val="00A14451"/>
    <w:rsid w:val="00A14D7C"/>
    <w:rsid w:val="00A16C5A"/>
    <w:rsid w:val="00A17BDD"/>
    <w:rsid w:val="00A2765A"/>
    <w:rsid w:val="00A36963"/>
    <w:rsid w:val="00A37F44"/>
    <w:rsid w:val="00A407C6"/>
    <w:rsid w:val="00A41BF8"/>
    <w:rsid w:val="00A42E47"/>
    <w:rsid w:val="00A4324C"/>
    <w:rsid w:val="00A50E5B"/>
    <w:rsid w:val="00A516B7"/>
    <w:rsid w:val="00A523D8"/>
    <w:rsid w:val="00A5337A"/>
    <w:rsid w:val="00A53F31"/>
    <w:rsid w:val="00A5511A"/>
    <w:rsid w:val="00A56331"/>
    <w:rsid w:val="00A60832"/>
    <w:rsid w:val="00A7005E"/>
    <w:rsid w:val="00A7061B"/>
    <w:rsid w:val="00A725DE"/>
    <w:rsid w:val="00A738A0"/>
    <w:rsid w:val="00A74F29"/>
    <w:rsid w:val="00A816B3"/>
    <w:rsid w:val="00A82833"/>
    <w:rsid w:val="00A83085"/>
    <w:rsid w:val="00A838DE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2E70"/>
    <w:rsid w:val="00AB64A8"/>
    <w:rsid w:val="00AB6ACD"/>
    <w:rsid w:val="00AC0592"/>
    <w:rsid w:val="00AC05A9"/>
    <w:rsid w:val="00AC1A22"/>
    <w:rsid w:val="00AC2976"/>
    <w:rsid w:val="00AC2F97"/>
    <w:rsid w:val="00AC6FAF"/>
    <w:rsid w:val="00AD1463"/>
    <w:rsid w:val="00AD22A9"/>
    <w:rsid w:val="00AD5C5A"/>
    <w:rsid w:val="00AD65DA"/>
    <w:rsid w:val="00AD6713"/>
    <w:rsid w:val="00AE1BEE"/>
    <w:rsid w:val="00AE2BAE"/>
    <w:rsid w:val="00AE35F1"/>
    <w:rsid w:val="00AE3EEE"/>
    <w:rsid w:val="00AE5087"/>
    <w:rsid w:val="00AE5E13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400F"/>
    <w:rsid w:val="00B15F2B"/>
    <w:rsid w:val="00B20C0B"/>
    <w:rsid w:val="00B20D50"/>
    <w:rsid w:val="00B217C8"/>
    <w:rsid w:val="00B21DB1"/>
    <w:rsid w:val="00B253E6"/>
    <w:rsid w:val="00B308FB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5675A"/>
    <w:rsid w:val="00B57978"/>
    <w:rsid w:val="00B614CC"/>
    <w:rsid w:val="00B62482"/>
    <w:rsid w:val="00B65DE0"/>
    <w:rsid w:val="00B667A2"/>
    <w:rsid w:val="00B675D4"/>
    <w:rsid w:val="00B71D04"/>
    <w:rsid w:val="00B72CF2"/>
    <w:rsid w:val="00B74156"/>
    <w:rsid w:val="00B754B2"/>
    <w:rsid w:val="00B8508E"/>
    <w:rsid w:val="00B85E98"/>
    <w:rsid w:val="00B90CC3"/>
    <w:rsid w:val="00B92DA5"/>
    <w:rsid w:val="00B97671"/>
    <w:rsid w:val="00B97D1A"/>
    <w:rsid w:val="00BA01BE"/>
    <w:rsid w:val="00BA029E"/>
    <w:rsid w:val="00BA3C8C"/>
    <w:rsid w:val="00BA4D3B"/>
    <w:rsid w:val="00BA5F86"/>
    <w:rsid w:val="00BA7343"/>
    <w:rsid w:val="00BB79B6"/>
    <w:rsid w:val="00BC1E42"/>
    <w:rsid w:val="00BC526F"/>
    <w:rsid w:val="00BD06D3"/>
    <w:rsid w:val="00BD3E7C"/>
    <w:rsid w:val="00BD46C3"/>
    <w:rsid w:val="00BD5DB0"/>
    <w:rsid w:val="00BE17D5"/>
    <w:rsid w:val="00BE4304"/>
    <w:rsid w:val="00BE5AE5"/>
    <w:rsid w:val="00BE66E3"/>
    <w:rsid w:val="00BE7877"/>
    <w:rsid w:val="00BF452E"/>
    <w:rsid w:val="00BF4AA2"/>
    <w:rsid w:val="00BF56B4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6416"/>
    <w:rsid w:val="00C70ACA"/>
    <w:rsid w:val="00C70CF7"/>
    <w:rsid w:val="00C7234D"/>
    <w:rsid w:val="00C73AD8"/>
    <w:rsid w:val="00C76BA3"/>
    <w:rsid w:val="00C77415"/>
    <w:rsid w:val="00C77723"/>
    <w:rsid w:val="00C817AC"/>
    <w:rsid w:val="00C82788"/>
    <w:rsid w:val="00C9084F"/>
    <w:rsid w:val="00C97D05"/>
    <w:rsid w:val="00CA147F"/>
    <w:rsid w:val="00CA32C5"/>
    <w:rsid w:val="00CB26E2"/>
    <w:rsid w:val="00CB66DC"/>
    <w:rsid w:val="00CB6DBC"/>
    <w:rsid w:val="00CC1E40"/>
    <w:rsid w:val="00CC2F6B"/>
    <w:rsid w:val="00CC731D"/>
    <w:rsid w:val="00CD0BB2"/>
    <w:rsid w:val="00CD5AEA"/>
    <w:rsid w:val="00CD60A8"/>
    <w:rsid w:val="00CE42D5"/>
    <w:rsid w:val="00CE4751"/>
    <w:rsid w:val="00CF585E"/>
    <w:rsid w:val="00D017F3"/>
    <w:rsid w:val="00D044D7"/>
    <w:rsid w:val="00D12E21"/>
    <w:rsid w:val="00D13D00"/>
    <w:rsid w:val="00D15B1B"/>
    <w:rsid w:val="00D15E7A"/>
    <w:rsid w:val="00D20135"/>
    <w:rsid w:val="00D22959"/>
    <w:rsid w:val="00D251D3"/>
    <w:rsid w:val="00D32041"/>
    <w:rsid w:val="00D339F0"/>
    <w:rsid w:val="00D347A1"/>
    <w:rsid w:val="00D376E6"/>
    <w:rsid w:val="00D42298"/>
    <w:rsid w:val="00D451DC"/>
    <w:rsid w:val="00D47110"/>
    <w:rsid w:val="00D536EB"/>
    <w:rsid w:val="00D57784"/>
    <w:rsid w:val="00D60776"/>
    <w:rsid w:val="00D60FAF"/>
    <w:rsid w:val="00D616ED"/>
    <w:rsid w:val="00D61AF4"/>
    <w:rsid w:val="00D62878"/>
    <w:rsid w:val="00D73267"/>
    <w:rsid w:val="00D76B6A"/>
    <w:rsid w:val="00D82BCD"/>
    <w:rsid w:val="00D8651F"/>
    <w:rsid w:val="00D86A11"/>
    <w:rsid w:val="00D8741F"/>
    <w:rsid w:val="00D95351"/>
    <w:rsid w:val="00D95513"/>
    <w:rsid w:val="00DA128D"/>
    <w:rsid w:val="00DA3057"/>
    <w:rsid w:val="00DB0DD0"/>
    <w:rsid w:val="00DB2A72"/>
    <w:rsid w:val="00DB3182"/>
    <w:rsid w:val="00DB575B"/>
    <w:rsid w:val="00DB7A8F"/>
    <w:rsid w:val="00DC7BC6"/>
    <w:rsid w:val="00DD0D14"/>
    <w:rsid w:val="00DD0DE5"/>
    <w:rsid w:val="00DD181B"/>
    <w:rsid w:val="00DD1A90"/>
    <w:rsid w:val="00DD248E"/>
    <w:rsid w:val="00DD5FAA"/>
    <w:rsid w:val="00DE6A98"/>
    <w:rsid w:val="00DF21C6"/>
    <w:rsid w:val="00DF437D"/>
    <w:rsid w:val="00E04F80"/>
    <w:rsid w:val="00E1065B"/>
    <w:rsid w:val="00E106C5"/>
    <w:rsid w:val="00E24019"/>
    <w:rsid w:val="00E24AF9"/>
    <w:rsid w:val="00E2500B"/>
    <w:rsid w:val="00E30E0C"/>
    <w:rsid w:val="00E33382"/>
    <w:rsid w:val="00E34510"/>
    <w:rsid w:val="00E541A7"/>
    <w:rsid w:val="00E56A68"/>
    <w:rsid w:val="00E61259"/>
    <w:rsid w:val="00E615F0"/>
    <w:rsid w:val="00E63030"/>
    <w:rsid w:val="00E65B42"/>
    <w:rsid w:val="00E705F3"/>
    <w:rsid w:val="00E723BE"/>
    <w:rsid w:val="00E74F95"/>
    <w:rsid w:val="00E75897"/>
    <w:rsid w:val="00E802C5"/>
    <w:rsid w:val="00E80916"/>
    <w:rsid w:val="00E833E3"/>
    <w:rsid w:val="00E838C9"/>
    <w:rsid w:val="00E85F8C"/>
    <w:rsid w:val="00E87E6A"/>
    <w:rsid w:val="00E9124F"/>
    <w:rsid w:val="00E92BD7"/>
    <w:rsid w:val="00E953C8"/>
    <w:rsid w:val="00E95B5E"/>
    <w:rsid w:val="00E96AB4"/>
    <w:rsid w:val="00E96B8B"/>
    <w:rsid w:val="00EA11C3"/>
    <w:rsid w:val="00EA592F"/>
    <w:rsid w:val="00EA7FCD"/>
    <w:rsid w:val="00EB0048"/>
    <w:rsid w:val="00EB1DFA"/>
    <w:rsid w:val="00EB274E"/>
    <w:rsid w:val="00EB55EE"/>
    <w:rsid w:val="00EB6B0A"/>
    <w:rsid w:val="00EB7D78"/>
    <w:rsid w:val="00EC25E8"/>
    <w:rsid w:val="00EC3082"/>
    <w:rsid w:val="00ED245F"/>
    <w:rsid w:val="00ED5925"/>
    <w:rsid w:val="00ED6A1C"/>
    <w:rsid w:val="00EE0C4C"/>
    <w:rsid w:val="00EE161E"/>
    <w:rsid w:val="00EE2D27"/>
    <w:rsid w:val="00EE4244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022C"/>
    <w:rsid w:val="00F16443"/>
    <w:rsid w:val="00F16496"/>
    <w:rsid w:val="00F23330"/>
    <w:rsid w:val="00F27991"/>
    <w:rsid w:val="00F364BF"/>
    <w:rsid w:val="00F3722D"/>
    <w:rsid w:val="00F42F5D"/>
    <w:rsid w:val="00F46344"/>
    <w:rsid w:val="00F47374"/>
    <w:rsid w:val="00F54968"/>
    <w:rsid w:val="00F56BFF"/>
    <w:rsid w:val="00F65B01"/>
    <w:rsid w:val="00F66F71"/>
    <w:rsid w:val="00F67A90"/>
    <w:rsid w:val="00F76C8D"/>
    <w:rsid w:val="00F77177"/>
    <w:rsid w:val="00F80C9A"/>
    <w:rsid w:val="00F864D9"/>
    <w:rsid w:val="00F95439"/>
    <w:rsid w:val="00F95C33"/>
    <w:rsid w:val="00F96971"/>
    <w:rsid w:val="00FA1FE7"/>
    <w:rsid w:val="00FA62B9"/>
    <w:rsid w:val="00FB09DA"/>
    <w:rsid w:val="00FC2FBC"/>
    <w:rsid w:val="00FD12E2"/>
    <w:rsid w:val="00FD3894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75699DBC"/>
  <w15:docId w15:val="{E59E66D8-6BD4-4E0A-BDE6-D3576C2AB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CRCoverPageZchn">
    <w:name w:val="CR Cover Page Zchn"/>
    <w:link w:val="CRCoverPage"/>
    <w:rsid w:val="000E687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1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4A2FD-155B-4CFE-8E95-5638E70BB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1009</Words>
  <Characters>5757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 version 4</cp:lastModifiedBy>
  <cp:revision>3</cp:revision>
  <cp:lastPrinted>2002-04-23T00:10:00Z</cp:lastPrinted>
  <dcterms:created xsi:type="dcterms:W3CDTF">2019-07-12T14:13:00Z</dcterms:created>
  <dcterms:modified xsi:type="dcterms:W3CDTF">2019-07-12T14:16:00Z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</Properties>
</file>