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093F3F" w14:textId="77777777" w:rsidR="009C0564" w:rsidRPr="00CF195E" w:rsidRDefault="000D2A68" w:rsidP="00CF195E">
      <w:pPr>
        <w:tabs>
          <w:tab w:val="right" w:pos="9216"/>
        </w:tabs>
        <w:spacing w:after="0"/>
        <w:jc w:val="left"/>
        <w:rPr>
          <w:b/>
          <w:kern w:val="2"/>
          <w:lang w:eastAsia="zh-CN"/>
        </w:rPr>
      </w:pPr>
      <w:r>
        <w:rPr>
          <w:b/>
          <w:noProof/>
          <w:kern w:val="2"/>
          <w:lang w:eastAsia="zh-CN"/>
        </w:rPr>
        <w:pict w14:anchorId="3275947E">
          <v:shape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RvwIs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F16BF2">
        <w:rPr>
          <w:b/>
          <w:kern w:val="2"/>
          <w:lang w:eastAsia="zh-CN"/>
        </w:rPr>
        <w:t>9</w:t>
      </w:r>
      <w:r w:rsidR="00B0679C">
        <w:rPr>
          <w:b/>
          <w:kern w:val="2"/>
          <w:lang w:eastAsia="zh-CN"/>
        </w:rPr>
        <w:t>6</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643667" w:rsidRPr="00643667">
        <w:rPr>
          <w:b/>
          <w:kern w:val="2"/>
          <w:lang w:eastAsia="zh-CN"/>
        </w:rPr>
        <w:t>1903115</w:t>
      </w:r>
    </w:p>
    <w:p w14:paraId="4DCC0809" w14:textId="27AC9ED9" w:rsidR="009C0564" w:rsidRPr="00CF195E" w:rsidRDefault="00F16BF2" w:rsidP="00CF195E">
      <w:pPr>
        <w:jc w:val="left"/>
        <w:rPr>
          <w:b/>
          <w:kern w:val="2"/>
          <w:lang w:eastAsia="zh-CN"/>
        </w:rPr>
      </w:pPr>
      <w:r>
        <w:rPr>
          <w:b/>
          <w:kern w:val="2"/>
          <w:lang w:eastAsia="zh-CN"/>
        </w:rPr>
        <w:t>Athens, Greece</w:t>
      </w:r>
      <w:r w:rsidR="00486936">
        <w:rPr>
          <w:b/>
          <w:kern w:val="2"/>
          <w:lang w:eastAsia="zh-CN"/>
        </w:rPr>
        <w:t xml:space="preserve">, </w:t>
      </w:r>
      <w:r w:rsidR="00A7298B">
        <w:rPr>
          <w:b/>
          <w:noProof/>
          <w:kern w:val="2"/>
          <w:lang w:eastAsia="zh-CN"/>
        </w:rPr>
        <w:t xml:space="preserve">February </w:t>
      </w:r>
      <w:bookmarkStart w:id="0" w:name="_GoBack"/>
      <w:bookmarkEnd w:id="0"/>
      <w:r w:rsidR="00486936">
        <w:rPr>
          <w:b/>
          <w:kern w:val="2"/>
          <w:lang w:eastAsia="zh-CN"/>
        </w:rPr>
        <w:t>2</w:t>
      </w:r>
      <w:r w:rsidR="00B0679C">
        <w:rPr>
          <w:b/>
          <w:kern w:val="2"/>
          <w:lang w:eastAsia="zh-CN"/>
        </w:rPr>
        <w:t>5</w:t>
      </w:r>
      <w:r w:rsidR="00486936">
        <w:rPr>
          <w:b/>
          <w:kern w:val="2"/>
          <w:lang w:eastAsia="zh-CN"/>
        </w:rPr>
        <w:t xml:space="preserve"> –</w:t>
      </w:r>
      <w:r>
        <w:rPr>
          <w:b/>
          <w:kern w:val="2"/>
          <w:lang w:eastAsia="zh-CN"/>
        </w:rPr>
        <w:t xml:space="preserve"> March</w:t>
      </w:r>
      <w:r w:rsidR="00486936">
        <w:rPr>
          <w:b/>
          <w:kern w:val="2"/>
          <w:lang w:eastAsia="zh-CN"/>
        </w:rPr>
        <w:t xml:space="preserve"> </w:t>
      </w:r>
      <w:r w:rsidR="00B0679C">
        <w:rPr>
          <w:b/>
          <w:kern w:val="2"/>
          <w:lang w:eastAsia="zh-CN"/>
        </w:rPr>
        <w:t>1</w:t>
      </w:r>
      <w:r>
        <w:rPr>
          <w:b/>
          <w:kern w:val="2"/>
          <w:lang w:eastAsia="zh-CN"/>
        </w:rPr>
        <w:t>, 201</w:t>
      </w:r>
      <w:r w:rsidR="00B0679C">
        <w:rPr>
          <w:b/>
          <w:kern w:val="2"/>
          <w:lang w:eastAsia="zh-CN"/>
        </w:rPr>
        <w:t>9</w:t>
      </w:r>
    </w:p>
    <w:p w14:paraId="275D2B4B" w14:textId="77777777" w:rsidR="009C0564" w:rsidRPr="00CF195E" w:rsidRDefault="009C0564" w:rsidP="00CF195E">
      <w:pPr>
        <w:pBdr>
          <w:top w:val="single" w:sz="4" w:space="1" w:color="auto"/>
        </w:pBdr>
        <w:spacing w:after="0"/>
        <w:jc w:val="left"/>
        <w:rPr>
          <w:b/>
          <w:kern w:val="2"/>
          <w:sz w:val="16"/>
          <w:szCs w:val="16"/>
          <w:lang w:eastAsia="zh-CN"/>
        </w:rPr>
      </w:pPr>
    </w:p>
    <w:p w14:paraId="3C52B6E9"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71460B">
        <w:rPr>
          <w:b/>
          <w:kern w:val="2"/>
          <w:lang w:eastAsia="zh-CN"/>
        </w:rPr>
        <w:t>7</w:t>
      </w:r>
      <w:r w:rsidR="005322AB">
        <w:rPr>
          <w:b/>
          <w:kern w:val="2"/>
          <w:lang w:eastAsia="zh-CN"/>
        </w:rPr>
        <w:t>.2</w:t>
      </w:r>
      <w:r w:rsidR="000D4C4E" w:rsidRPr="00CF195E">
        <w:rPr>
          <w:b/>
          <w:kern w:val="2"/>
          <w:lang w:eastAsia="zh-CN"/>
        </w:rPr>
        <w:t>.</w:t>
      </w:r>
      <w:r w:rsidR="0071460B">
        <w:rPr>
          <w:b/>
          <w:kern w:val="2"/>
          <w:lang w:eastAsia="zh-CN"/>
        </w:rPr>
        <w:t>1</w:t>
      </w:r>
      <w:r w:rsidR="000D4C4E" w:rsidRPr="00CF195E">
        <w:rPr>
          <w:b/>
          <w:kern w:val="2"/>
          <w:lang w:eastAsia="zh-CN"/>
        </w:rPr>
        <w:t>2</w:t>
      </w:r>
      <w:r w:rsidR="0071460B">
        <w:rPr>
          <w:b/>
          <w:kern w:val="2"/>
          <w:lang w:eastAsia="zh-CN"/>
        </w:rPr>
        <w:t>.2</w:t>
      </w:r>
    </w:p>
    <w:p w14:paraId="4C3FDA3E"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C6072E">
        <w:rPr>
          <w:b/>
          <w:kern w:val="2"/>
          <w:lang w:eastAsia="zh-CN"/>
        </w:rPr>
        <w:t>, HiSilicon</w:t>
      </w:r>
    </w:p>
    <w:p w14:paraId="48A44EF2"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B0679C">
        <w:rPr>
          <w:b/>
          <w:kern w:val="2"/>
          <w:lang w:eastAsia="zh-CN"/>
        </w:rPr>
        <w:t>D</w:t>
      </w:r>
      <w:r w:rsidR="003E2C54">
        <w:rPr>
          <w:b/>
          <w:kern w:val="2"/>
          <w:lang w:eastAsia="zh-CN"/>
        </w:rPr>
        <w:t>etails</w:t>
      </w:r>
      <w:r w:rsidR="00B0679C">
        <w:rPr>
          <w:b/>
          <w:kern w:val="2"/>
          <w:lang w:eastAsia="zh-CN"/>
        </w:rPr>
        <w:t xml:space="preserve"> on </w:t>
      </w:r>
      <w:r w:rsidR="003E2C54">
        <w:rPr>
          <w:b/>
          <w:kern w:val="2"/>
          <w:lang w:eastAsia="zh-CN"/>
        </w:rPr>
        <w:t>mobility</w:t>
      </w:r>
      <w:r w:rsidR="00CD2C18">
        <w:rPr>
          <w:b/>
          <w:kern w:val="2"/>
          <w:lang w:eastAsia="zh-CN"/>
        </w:rPr>
        <w:t xml:space="preserve"> enhancements</w:t>
      </w:r>
    </w:p>
    <w:p w14:paraId="62756C42"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4DC711B8" w14:textId="77777777" w:rsidR="009C0564" w:rsidRPr="00CF195E" w:rsidRDefault="009C0564" w:rsidP="00CF195E">
      <w:pPr>
        <w:pBdr>
          <w:bottom w:val="single" w:sz="4" w:space="1" w:color="auto"/>
        </w:pBdr>
        <w:spacing w:after="0"/>
        <w:jc w:val="left"/>
        <w:rPr>
          <w:b/>
          <w:kern w:val="2"/>
          <w:sz w:val="16"/>
          <w:szCs w:val="16"/>
          <w:lang w:eastAsia="zh-CN"/>
        </w:rPr>
      </w:pPr>
    </w:p>
    <w:p w14:paraId="68FF8F57" w14:textId="77777777" w:rsidR="009C0564" w:rsidRPr="00CF195E" w:rsidRDefault="009C0564">
      <w:pPr>
        <w:pStyle w:val="1"/>
      </w:pPr>
      <w:bookmarkStart w:id="1" w:name="_Ref124589705"/>
      <w:bookmarkStart w:id="2" w:name="_Ref129681862"/>
      <w:r w:rsidRPr="00CF195E">
        <w:t>Introduction</w:t>
      </w:r>
      <w:bookmarkEnd w:id="1"/>
      <w:bookmarkEnd w:id="2"/>
    </w:p>
    <w:p w14:paraId="2F2AF218" w14:textId="77777777" w:rsidR="00B23AF4" w:rsidRDefault="00B0679C" w:rsidP="00234EE3">
      <w:pPr>
        <w:autoSpaceDE/>
        <w:autoSpaceDN/>
        <w:adjustRightInd/>
        <w:spacing w:after="0"/>
        <w:rPr>
          <w:rFonts w:eastAsia="MS Mincho"/>
          <w:lang w:eastAsia="ja-JP"/>
        </w:rPr>
      </w:pPr>
      <w:bookmarkStart w:id="3" w:name="OLE_LINK219"/>
      <w:bookmarkStart w:id="4" w:name="OLE_LINK218"/>
      <w:bookmarkStart w:id="5" w:name="OLE_LINK217"/>
      <w:bookmarkStart w:id="6" w:name="OLE_LINK216"/>
      <w:bookmarkStart w:id="7" w:name="OLE_LINK215"/>
      <w:r w:rsidRPr="002F0654">
        <w:t xml:space="preserve">In R16 NR Mobility Enhancement WI </w:t>
      </w:r>
      <w:r w:rsidR="009317D1">
        <w:fldChar w:fldCharType="begin"/>
      </w:r>
      <w:r w:rsidR="00914872">
        <w:instrText xml:space="preserve"> REF _Ref1163678 \n \h </w:instrText>
      </w:r>
      <w:r w:rsidR="009317D1">
        <w:fldChar w:fldCharType="separate"/>
      </w:r>
      <w:r w:rsidR="00914872">
        <w:t>[1]</w:t>
      </w:r>
      <w:r w:rsidR="009317D1">
        <w:fldChar w:fldCharType="end"/>
      </w:r>
      <w:r w:rsidRPr="002F0654">
        <w:t>, it is proposed to study/develop solution(s) to improve HO/SCG change reliability and robustness especially considering challenges in high/med frequency</w:t>
      </w:r>
      <w:r w:rsidR="00BA0260">
        <w:t>, high mobility scenarios and meeting 0ms mobility interruption time requirements</w:t>
      </w:r>
      <w:r>
        <w:t>.</w:t>
      </w:r>
      <w:r w:rsidRPr="002F0654">
        <w:t xml:space="preserve"> </w:t>
      </w:r>
      <w:r>
        <w:t xml:space="preserve">In the WI </w:t>
      </w:r>
      <w:r w:rsidR="009317D1">
        <w:fldChar w:fldCharType="begin"/>
      </w:r>
      <w:r w:rsidR="00914872">
        <w:instrText xml:space="preserve"> REF _Ref1163678 \n \h </w:instrText>
      </w:r>
      <w:r w:rsidR="009317D1">
        <w:fldChar w:fldCharType="separate"/>
      </w:r>
      <w:r w:rsidR="00914872">
        <w:t>[1]</w:t>
      </w:r>
      <w:r w:rsidR="009317D1">
        <w:fldChar w:fldCharType="end"/>
      </w:r>
      <w:r>
        <w:t xml:space="preserve">, </w:t>
      </w:r>
      <w:r w:rsidRPr="002F0654">
        <w:t>conditional handover and fast handover failure recovery</w:t>
      </w:r>
      <w:r>
        <w:t xml:space="preserve"> are listed as candidate solutions for study</w:t>
      </w:r>
      <w:r w:rsidRPr="002F0654">
        <w:t xml:space="preserve">. </w:t>
      </w:r>
      <w:r w:rsidR="00F57973">
        <w:t xml:space="preserve">Our companion contribution </w:t>
      </w:r>
      <w:r w:rsidR="009317D1">
        <w:fldChar w:fldCharType="begin"/>
      </w:r>
      <w:r w:rsidR="00914872">
        <w:instrText xml:space="preserve"> REF _Ref1163758 \n \h </w:instrText>
      </w:r>
      <w:r w:rsidR="009317D1">
        <w:fldChar w:fldCharType="separate"/>
      </w:r>
      <w:r w:rsidR="00914872">
        <w:t>[2]</w:t>
      </w:r>
      <w:r w:rsidR="009317D1">
        <w:fldChar w:fldCharType="end"/>
      </w:r>
      <w:r w:rsidR="00F57973">
        <w:t xml:space="preserve"> also discusses the negative impacts of frequent handovers (e.g. reconfiguration with sync) in high mobility scenarios such as high-speed train and dense-urban deployments. </w:t>
      </w:r>
      <w:r w:rsidRPr="002F0654">
        <w:t xml:space="preserve">In this paper, we </w:t>
      </w:r>
      <w:bookmarkEnd w:id="3"/>
      <w:bookmarkEnd w:id="4"/>
      <w:bookmarkEnd w:id="5"/>
      <w:bookmarkEnd w:id="6"/>
      <w:bookmarkEnd w:id="7"/>
      <w:r>
        <w:t xml:space="preserve">discuss aspects related to mobility, in particular we will focus our discussion on </w:t>
      </w:r>
      <w:r w:rsidR="00C77FAD">
        <w:t xml:space="preserve">details of DC-based HO </w:t>
      </w:r>
      <w:r w:rsidR="004F4BFD">
        <w:t xml:space="preserve">and Make-Before-Break </w:t>
      </w:r>
      <w:r w:rsidR="00C77FAD">
        <w:t>solutions and their respective impacts from RAN1</w:t>
      </w:r>
      <w:r w:rsidR="004F4BFD">
        <w:t>’s</w:t>
      </w:r>
      <w:r w:rsidR="00C77FAD">
        <w:t xml:space="preserve"> perspective</w:t>
      </w:r>
      <w:r w:rsidR="00CD2C18">
        <w:t xml:space="preserve">. </w:t>
      </w:r>
    </w:p>
    <w:p w14:paraId="1D96555E" w14:textId="77777777" w:rsidR="00124BA4" w:rsidRPr="00CF195E" w:rsidRDefault="00124BA4" w:rsidP="005743DE">
      <w:pPr>
        <w:rPr>
          <w:rFonts w:eastAsia="MS Mincho"/>
          <w:lang w:eastAsia="ja-JP"/>
        </w:rPr>
      </w:pPr>
    </w:p>
    <w:p w14:paraId="2B55B80A" w14:textId="77777777" w:rsidR="009A3A86" w:rsidRPr="00CF195E" w:rsidRDefault="00B0679C" w:rsidP="00CF195E">
      <w:pPr>
        <w:pStyle w:val="1"/>
      </w:pPr>
      <w:bookmarkStart w:id="8" w:name="_Ref129681832"/>
      <w:r>
        <w:t>Discussion</w:t>
      </w:r>
    </w:p>
    <w:p w14:paraId="128216A7" w14:textId="77777777" w:rsidR="00F13B01" w:rsidRDefault="008E4C2C">
      <w:pPr>
        <w:pStyle w:val="2"/>
        <w:rPr>
          <w:lang w:eastAsia="zh-CN"/>
        </w:rPr>
      </w:pPr>
      <w:r>
        <w:rPr>
          <w:lang w:eastAsia="zh-CN"/>
        </w:rPr>
        <w:t>Mobility Interruption time and HO considerations</w:t>
      </w:r>
    </w:p>
    <w:p w14:paraId="23ABAEEE" w14:textId="77777777" w:rsidR="00954516" w:rsidRPr="00124BA4" w:rsidRDefault="007C3814" w:rsidP="00954516">
      <w:pPr>
        <w:rPr>
          <w:rFonts w:eastAsiaTheme="minorEastAsia"/>
          <w:lang w:eastAsia="zh-CN"/>
        </w:rPr>
      </w:pPr>
      <w:r>
        <w:rPr>
          <w:rFonts w:eastAsiaTheme="minorEastAsia"/>
          <w:lang w:eastAsia="zh-CN"/>
        </w:rPr>
        <w:t>Based on the ITU-R discussions for IMT-2020 technical requirements, m</w:t>
      </w:r>
      <w:r w:rsidR="00104543">
        <w:rPr>
          <w:rFonts w:eastAsiaTheme="minorEastAsia"/>
          <w:lang w:eastAsia="zh-CN"/>
        </w:rPr>
        <w:t>obility interruption time is defined as follows</w:t>
      </w:r>
      <w:r w:rsidR="00234EE3">
        <w:rPr>
          <w:rFonts w:eastAsiaTheme="minorEastAsia"/>
          <w:lang w:eastAsia="zh-CN"/>
        </w:rPr>
        <w:t xml:space="preserve"> </w:t>
      </w:r>
      <w:r w:rsidR="00010432">
        <w:rPr>
          <w:rFonts w:eastAsiaTheme="minorEastAsia"/>
          <w:lang w:eastAsia="zh-CN"/>
        </w:rPr>
        <w:t>[3]</w:t>
      </w:r>
      <w:r w:rsidR="00104543">
        <w:rPr>
          <w:rFonts w:eastAsiaTheme="minorEastAsia"/>
          <w:lang w:eastAsia="zh-CN"/>
        </w:rPr>
        <w:t>:</w:t>
      </w:r>
    </w:p>
    <w:p w14:paraId="0C62A506" w14:textId="77777777" w:rsidR="00954516" w:rsidRPr="00C44B8F" w:rsidRDefault="00954516" w:rsidP="00954516">
      <w:pPr>
        <w:pStyle w:val="Doc-text2"/>
        <w:pBdr>
          <w:top w:val="single" w:sz="4" w:space="1" w:color="auto"/>
          <w:left w:val="single" w:sz="4" w:space="4" w:color="auto"/>
          <w:bottom w:val="single" w:sz="4" w:space="1" w:color="auto"/>
          <w:right w:val="single" w:sz="4" w:space="4" w:color="auto"/>
        </w:pBdr>
        <w:ind w:left="363"/>
      </w:pPr>
      <w:r w:rsidRPr="00C44B8F">
        <w:t>7.7</w:t>
      </w:r>
      <w:r w:rsidRPr="00C44B8F">
        <w:tab/>
        <w:t>Mobility interruption time</w:t>
      </w:r>
    </w:p>
    <w:p w14:paraId="3F619260" w14:textId="77777777" w:rsidR="00954516" w:rsidRPr="00C44B8F" w:rsidRDefault="00954516" w:rsidP="00954516">
      <w:pPr>
        <w:pStyle w:val="Doc-text2"/>
        <w:pBdr>
          <w:top w:val="single" w:sz="4" w:space="1" w:color="auto"/>
          <w:left w:val="single" w:sz="4" w:space="4" w:color="auto"/>
          <w:bottom w:val="single" w:sz="4" w:space="1" w:color="auto"/>
          <w:right w:val="single" w:sz="4" w:space="4" w:color="auto"/>
        </w:pBdr>
        <w:ind w:left="363"/>
      </w:pPr>
      <w:r w:rsidRPr="00C44B8F">
        <w:t>Mobility interruption time means the shortest time duration supported by the system during which a user terminal cannot exchange user plane packets with any base station during transitions.</w:t>
      </w:r>
    </w:p>
    <w:p w14:paraId="1D393363" w14:textId="77777777" w:rsidR="00954516" w:rsidRPr="00C44B8F" w:rsidRDefault="00954516" w:rsidP="00954516">
      <w:pPr>
        <w:pStyle w:val="Doc-text2"/>
        <w:pBdr>
          <w:top w:val="single" w:sz="4" w:space="1" w:color="auto"/>
          <w:left w:val="single" w:sz="4" w:space="4" w:color="auto"/>
          <w:bottom w:val="single" w:sz="4" w:space="1" w:color="auto"/>
          <w:right w:val="single" w:sz="4" w:space="4" w:color="auto"/>
        </w:pBdr>
        <w:ind w:left="363"/>
      </w:pPr>
      <w:r w:rsidRPr="00C44B8F">
        <w:t>The target for mobility interruption time should be 0ms.</w:t>
      </w:r>
    </w:p>
    <w:p w14:paraId="36750D85" w14:textId="77777777" w:rsidR="00104543" w:rsidRDefault="00104543" w:rsidP="0037552D">
      <w:pPr>
        <w:rPr>
          <w:rFonts w:eastAsiaTheme="minorEastAsia"/>
          <w:lang w:eastAsia="zh-CN"/>
        </w:rPr>
      </w:pPr>
    </w:p>
    <w:p w14:paraId="439475C4" w14:textId="77777777" w:rsidR="00954516" w:rsidRDefault="00954516" w:rsidP="0037552D">
      <w:pPr>
        <w:rPr>
          <w:rFonts w:eastAsiaTheme="minorEastAsia"/>
          <w:lang w:eastAsia="zh-CN"/>
        </w:rPr>
      </w:pPr>
      <w:r>
        <w:rPr>
          <w:rFonts w:eastAsiaTheme="minorEastAsia"/>
          <w:lang w:eastAsia="zh-CN"/>
        </w:rPr>
        <w:t>Based on the above</w:t>
      </w:r>
      <w:r w:rsidR="007C3814">
        <w:rPr>
          <w:rFonts w:eastAsiaTheme="minorEastAsia"/>
          <w:lang w:eastAsia="zh-CN"/>
        </w:rPr>
        <w:t xml:space="preserve"> definition</w:t>
      </w:r>
      <w:r>
        <w:rPr>
          <w:rFonts w:eastAsiaTheme="minorEastAsia"/>
          <w:lang w:eastAsia="zh-CN"/>
        </w:rPr>
        <w:t>, a UE needs to have an active user plane connection with user plane packets being exchange with a base station at all times for the UE to not experience any mobility interruption.</w:t>
      </w:r>
      <w:r w:rsidR="007C3814">
        <w:rPr>
          <w:rFonts w:eastAsiaTheme="minorEastAsia"/>
          <w:lang w:eastAsia="zh-CN"/>
        </w:rPr>
        <w:t xml:space="preserve"> The user plane consists of 3 protocol layers, therefore it is crucial to determine which layer we pick as the reference point for mobility interruption. In traditional handover (HO) procedures, the UE will first release its active connection with the serving cell and establish a new connection with the target cell.</w:t>
      </w:r>
      <w:r w:rsidR="003E2C54">
        <w:rPr>
          <w:rFonts w:eastAsiaTheme="minorEastAsia"/>
          <w:lang w:eastAsia="zh-CN"/>
        </w:rPr>
        <w:t xml:space="preserve"> From RAN1’s perspective data packets are Transport Blocks carried in PDSCH transmissions, therefore we can make the assumption that as long as the UE is configured to actively monitor for PDCCH transmissions from a serving cell then the UE is not experiencing any mobility interruption time.</w:t>
      </w:r>
      <w:r w:rsidR="002F4361">
        <w:rPr>
          <w:rFonts w:eastAsiaTheme="minorEastAsia"/>
          <w:lang w:eastAsia="zh-CN"/>
        </w:rPr>
        <w:t xml:space="preserve"> Throughout this paper we will use this assumption to guide and motivate our discussion on how to enhance mobility issues in NR.</w:t>
      </w:r>
    </w:p>
    <w:p w14:paraId="3176C0DD" w14:textId="77777777" w:rsidR="002518C7" w:rsidRDefault="002F4361" w:rsidP="0037552D">
      <w:pPr>
        <w:rPr>
          <w:rFonts w:eastAsiaTheme="minorEastAsia"/>
          <w:lang w:eastAsia="zh-CN"/>
        </w:rPr>
      </w:pPr>
      <w:r>
        <w:rPr>
          <w:rFonts w:eastAsiaTheme="minorEastAsia"/>
          <w:lang w:eastAsia="zh-CN"/>
        </w:rPr>
        <w:t xml:space="preserve">Handovers (HO) are the first and foremost way to deal with mobility in cellular networks. </w:t>
      </w:r>
      <w:r w:rsidR="00B0679C">
        <w:rPr>
          <w:rFonts w:eastAsiaTheme="minorEastAsia"/>
          <w:lang w:eastAsia="zh-CN"/>
        </w:rPr>
        <w:t>A tradition</w:t>
      </w:r>
      <w:r w:rsidR="007C3814">
        <w:rPr>
          <w:rFonts w:eastAsiaTheme="minorEastAsia"/>
          <w:lang w:eastAsia="zh-CN"/>
        </w:rPr>
        <w:t>al HO</w:t>
      </w:r>
      <w:r w:rsidR="00B0679C">
        <w:rPr>
          <w:rFonts w:eastAsiaTheme="minorEastAsia"/>
          <w:lang w:eastAsia="zh-CN"/>
        </w:rPr>
        <w:t xml:space="preserve"> procedure involves three phases that includes: handover preparation, h</w:t>
      </w:r>
      <w:r w:rsidR="00B0679C" w:rsidRPr="00987EA2">
        <w:rPr>
          <w:rFonts w:eastAsiaTheme="minorEastAsia"/>
          <w:lang w:eastAsia="zh-CN"/>
        </w:rPr>
        <w:t>andover execution</w:t>
      </w:r>
      <w:r w:rsidR="00B0679C">
        <w:rPr>
          <w:rFonts w:eastAsiaTheme="minorEastAsia"/>
          <w:lang w:eastAsia="zh-CN"/>
        </w:rPr>
        <w:t xml:space="preserve"> and handover completion</w:t>
      </w:r>
      <w:r w:rsidR="007C3814">
        <w:rPr>
          <w:rFonts w:eastAsiaTheme="minorEastAsia"/>
          <w:lang w:eastAsia="zh-CN"/>
        </w:rPr>
        <w:t>. The HO</w:t>
      </w:r>
      <w:r w:rsidR="00B0679C">
        <w:rPr>
          <w:rFonts w:eastAsiaTheme="minorEastAsia"/>
          <w:lang w:eastAsia="zh-CN"/>
        </w:rPr>
        <w:t xml:space="preserve"> process is fully controlled by the network. The HO process is typically triggered by some measurement event defined in the UE’s reporting configuration, which prompts the UE to send a measurement report to the serving cell. In R15 NR, the serving cell will then send a HO command in the form of a RRC Reconfiguration message carrying a </w:t>
      </w:r>
      <w:r w:rsidR="00B0679C" w:rsidRPr="00B0679C">
        <w:rPr>
          <w:rFonts w:eastAsiaTheme="minorEastAsia"/>
          <w:i/>
          <w:lang w:eastAsia="zh-CN"/>
        </w:rPr>
        <w:t>reconfigurationWithSync</w:t>
      </w:r>
      <w:r w:rsidR="00B0679C">
        <w:rPr>
          <w:rFonts w:eastAsiaTheme="minorEastAsia"/>
          <w:lang w:eastAsia="zh-CN"/>
        </w:rPr>
        <w:t xml:space="preserve"> object. This will prompt the UE to </w:t>
      </w:r>
      <w:r w:rsidR="00124BA4">
        <w:rPr>
          <w:rFonts w:eastAsiaTheme="minorEastAsia"/>
          <w:lang w:eastAsia="zh-CN"/>
        </w:rPr>
        <w:t xml:space="preserve">look for the SS/PBCH block of the target cell in order to acquire time and frequency synchronization, as well as the SFN of the target cell as part of MIB. Other system information typically found in SIB1 (such as carrier configuration) can be supplied as part of the </w:t>
      </w:r>
      <w:r w:rsidR="00124BA4" w:rsidRPr="00124BA4">
        <w:rPr>
          <w:rFonts w:eastAsiaTheme="minorEastAsia"/>
          <w:i/>
          <w:lang w:eastAsia="zh-CN"/>
        </w:rPr>
        <w:t>spCellConfig</w:t>
      </w:r>
      <w:r w:rsidR="00124BA4">
        <w:rPr>
          <w:rFonts w:eastAsiaTheme="minorEastAsia"/>
          <w:lang w:eastAsia="zh-CN"/>
        </w:rPr>
        <w:t xml:space="preserve"> supplied with </w:t>
      </w:r>
      <w:r w:rsidR="00124BA4" w:rsidRPr="00124BA4">
        <w:rPr>
          <w:rFonts w:eastAsiaTheme="minorEastAsia"/>
          <w:i/>
          <w:lang w:eastAsia="zh-CN"/>
        </w:rPr>
        <w:t>reconfigurationWithSync</w:t>
      </w:r>
      <w:r w:rsidR="00124BA4">
        <w:rPr>
          <w:rFonts w:eastAsiaTheme="minorEastAsia"/>
          <w:lang w:eastAsia="zh-CN"/>
        </w:rPr>
        <w:t>, thus avoiding time spent monitoring a PDCCH transmission on CORESET 0, scheduling a PDSCH transmission carrying SIB1.</w:t>
      </w:r>
    </w:p>
    <w:p w14:paraId="33D19DE6" w14:textId="77777777" w:rsidR="004F4BFD" w:rsidRDefault="004F4BFD" w:rsidP="0037552D">
      <w:pPr>
        <w:rPr>
          <w:rFonts w:eastAsiaTheme="minorEastAsia"/>
          <w:lang w:eastAsia="zh-CN"/>
        </w:rPr>
      </w:pPr>
    </w:p>
    <w:p w14:paraId="0BA36290" w14:textId="77777777" w:rsidR="00571423" w:rsidRPr="00124BA4" w:rsidRDefault="00571423" w:rsidP="00571423">
      <w:pPr>
        <w:pStyle w:val="2"/>
      </w:pPr>
      <w:r>
        <w:lastRenderedPageBreak/>
        <w:t>DC-based HO</w:t>
      </w:r>
    </w:p>
    <w:p w14:paraId="1608F845" w14:textId="77777777" w:rsidR="00571423" w:rsidRDefault="00571423" w:rsidP="00571423">
      <w:pPr>
        <w:rPr>
          <w:rFonts w:eastAsia="MS Mincho"/>
          <w:lang w:eastAsia="ja-JP"/>
        </w:rPr>
      </w:pPr>
      <w:r>
        <w:rPr>
          <w:rFonts w:eastAsia="MS Mincho"/>
          <w:lang w:eastAsia="ja-JP"/>
        </w:rPr>
        <w:t xml:space="preserve">A </w:t>
      </w:r>
      <w:r w:rsidR="00F00FC4">
        <w:rPr>
          <w:rFonts w:eastAsia="MS Mincho"/>
          <w:lang w:eastAsia="ja-JP"/>
        </w:rPr>
        <w:t>DC-based HO procedure is an</w:t>
      </w:r>
      <w:r>
        <w:rPr>
          <w:rFonts w:eastAsia="MS Mincho"/>
          <w:lang w:eastAsia="ja-JP"/>
        </w:rPr>
        <w:t xml:space="preserve"> enhancement on the t</w:t>
      </w:r>
      <w:r w:rsidR="00F00FC4">
        <w:rPr>
          <w:rFonts w:eastAsia="MS Mincho"/>
          <w:lang w:eastAsia="ja-JP"/>
        </w:rPr>
        <w:t>raditional HO procedure</w:t>
      </w:r>
      <w:r>
        <w:rPr>
          <w:rFonts w:eastAsia="MS Mincho"/>
          <w:lang w:eastAsia="ja-JP"/>
        </w:rPr>
        <w:t>. That is achieved by using two active links to a PCell and a PSCell, allowing for DL and UL data connectivity. A DC-based solution establishes one control plane, i.e. the UE has one RRC connection, and one user plane, i.e. the UE has one anchor point. From RAN1’s perspective: the UE is configured to monitor for PDCCH messages scheduling data transmissions from two different cells simultaneously and thus maintains two active data links, i.e. the UE does not experience any mobility interruption time.</w:t>
      </w:r>
      <w:r w:rsidR="00F00FC4">
        <w:rPr>
          <w:rFonts w:eastAsia="MS Mincho"/>
          <w:lang w:eastAsia="ja-JP"/>
        </w:rPr>
        <w:t xml:space="preserve"> </w:t>
      </w:r>
      <w:r w:rsidR="008C071A">
        <w:rPr>
          <w:rFonts w:eastAsia="MS Mincho"/>
          <w:lang w:eastAsia="ja-JP"/>
        </w:rPr>
        <w:t>From RAN1’s perspective</w:t>
      </w:r>
      <w:r w:rsidR="00F00FC4">
        <w:rPr>
          <w:rFonts w:eastAsia="MS Mincho"/>
          <w:lang w:eastAsia="ja-JP"/>
        </w:rPr>
        <w:t xml:space="preserve">: </w:t>
      </w:r>
      <w:r w:rsidR="008C071A">
        <w:rPr>
          <w:rFonts w:eastAsia="MS Mincho"/>
          <w:lang w:eastAsia="ja-JP"/>
        </w:rPr>
        <w:t>as long as a UE is configured to monitor for PDCCH messages scheduling data transmissions</w:t>
      </w:r>
      <w:r w:rsidR="003004BE">
        <w:rPr>
          <w:rFonts w:eastAsia="MS Mincho"/>
          <w:lang w:eastAsia="ja-JP"/>
        </w:rPr>
        <w:t xml:space="preserve"> at all times</w:t>
      </w:r>
      <w:r w:rsidR="008C071A">
        <w:rPr>
          <w:rFonts w:eastAsia="MS Mincho"/>
          <w:lang w:eastAsia="ja-JP"/>
        </w:rPr>
        <w:t>,</w:t>
      </w:r>
      <w:r w:rsidR="00F00FC4">
        <w:rPr>
          <w:rFonts w:eastAsia="MS Mincho"/>
          <w:lang w:eastAsia="ja-JP"/>
        </w:rPr>
        <w:t xml:space="preserve"> the requirement </w:t>
      </w:r>
      <w:r w:rsidR="008C071A">
        <w:rPr>
          <w:rFonts w:eastAsia="MS Mincho"/>
          <w:lang w:eastAsia="ja-JP"/>
        </w:rPr>
        <w:t xml:space="preserve">of </w:t>
      </w:r>
      <w:r w:rsidR="00F00FC4">
        <w:rPr>
          <w:rFonts w:eastAsia="MS Mincho"/>
          <w:lang w:eastAsia="ja-JP"/>
        </w:rPr>
        <w:t>0ms mobility interruption time</w:t>
      </w:r>
      <w:r w:rsidR="008C071A">
        <w:rPr>
          <w:rFonts w:eastAsia="MS Mincho"/>
          <w:lang w:eastAsia="ja-JP"/>
        </w:rPr>
        <w:t xml:space="preserve"> is considered to be met</w:t>
      </w:r>
      <w:r w:rsidR="00F00FC4">
        <w:rPr>
          <w:rFonts w:eastAsia="MS Mincho"/>
          <w:lang w:eastAsia="ja-JP"/>
        </w:rPr>
        <w:t>.</w:t>
      </w:r>
    </w:p>
    <w:p w14:paraId="71292D41" w14:textId="77777777" w:rsidR="003004BE" w:rsidRPr="003004BE" w:rsidRDefault="003004BE" w:rsidP="00571423">
      <w:pPr>
        <w:rPr>
          <w:rFonts w:eastAsia="MS Mincho"/>
          <w:b/>
          <w:lang w:eastAsia="ja-JP"/>
        </w:rPr>
      </w:pPr>
      <w:r w:rsidRPr="00246499">
        <w:rPr>
          <w:rFonts w:eastAsia="MS Mincho"/>
          <w:b/>
          <w:lang w:eastAsia="ja-JP"/>
        </w:rPr>
        <w:t xml:space="preserve">Observation </w:t>
      </w:r>
      <w:r>
        <w:rPr>
          <w:rFonts w:eastAsia="MS Mincho"/>
          <w:b/>
          <w:lang w:eastAsia="ja-JP"/>
        </w:rPr>
        <w:t>1</w:t>
      </w:r>
      <w:r w:rsidRPr="00246499">
        <w:rPr>
          <w:rFonts w:eastAsia="MS Mincho"/>
          <w:b/>
          <w:lang w:eastAsia="ja-JP"/>
        </w:rPr>
        <w:t xml:space="preserve">: </w:t>
      </w:r>
      <w:r>
        <w:rPr>
          <w:rFonts w:eastAsia="MS Mincho"/>
          <w:b/>
          <w:lang w:eastAsia="ja-JP"/>
        </w:rPr>
        <w:t>From RAN1’s perspective, the 0ms mobility interruption time requirement is considered met as long as the UE is monitoring NR-PDCCH messages scheduling data DL/UL transmissions at all times.</w:t>
      </w:r>
    </w:p>
    <w:p w14:paraId="53BA0DAC" w14:textId="77777777" w:rsidR="003004BE" w:rsidRDefault="003004BE" w:rsidP="00571423">
      <w:pPr>
        <w:rPr>
          <w:rFonts w:eastAsia="MS Mincho"/>
          <w:lang w:eastAsia="ja-JP"/>
        </w:rPr>
      </w:pPr>
    </w:p>
    <w:p w14:paraId="23AB7174" w14:textId="77777777" w:rsidR="00571423" w:rsidRDefault="00571423" w:rsidP="00571423">
      <w:pPr>
        <w:rPr>
          <w:rFonts w:eastAsia="MS Mincho"/>
          <w:lang w:eastAsia="ja-JP"/>
        </w:rPr>
      </w:pPr>
      <w:r>
        <w:rPr>
          <w:rFonts w:eastAsia="MS Mincho"/>
          <w:lang w:eastAsia="ja-JP"/>
        </w:rPr>
        <w:t xml:space="preserve">An intra-frequency DC-based solution can work in conjunction with RRM measurements in order to determine when the network configures a PSCell for the UE. DC-based mobility in intra-frequency scenario is discussed in our companion RAN2 contribution </w:t>
      </w:r>
      <w:r w:rsidR="009317D1">
        <w:rPr>
          <w:rFonts w:eastAsia="MS Mincho"/>
          <w:lang w:eastAsia="ja-JP"/>
        </w:rPr>
        <w:fldChar w:fldCharType="begin"/>
      </w:r>
      <w:r w:rsidR="0030168F">
        <w:rPr>
          <w:rFonts w:eastAsia="MS Mincho"/>
          <w:lang w:eastAsia="ja-JP"/>
        </w:rPr>
        <w:instrText xml:space="preserve"> REF _Ref1166182 \n \h </w:instrText>
      </w:r>
      <w:r w:rsidR="009317D1">
        <w:rPr>
          <w:rFonts w:eastAsia="MS Mincho"/>
          <w:lang w:eastAsia="ja-JP"/>
        </w:rPr>
      </w:r>
      <w:r w:rsidR="009317D1">
        <w:rPr>
          <w:rFonts w:eastAsia="MS Mincho"/>
          <w:lang w:eastAsia="ja-JP"/>
        </w:rPr>
        <w:fldChar w:fldCharType="separate"/>
      </w:r>
      <w:r w:rsidR="0030168F">
        <w:rPr>
          <w:rFonts w:eastAsia="MS Mincho"/>
          <w:lang w:eastAsia="ja-JP"/>
        </w:rPr>
        <w:t>[5]</w:t>
      </w:r>
      <w:r w:rsidR="009317D1">
        <w:rPr>
          <w:rFonts w:eastAsia="MS Mincho"/>
          <w:lang w:eastAsia="ja-JP"/>
        </w:rPr>
        <w:fldChar w:fldCharType="end"/>
      </w:r>
      <w:r>
        <w:rPr>
          <w:rFonts w:eastAsia="MS Mincho"/>
          <w:lang w:eastAsia="ja-JP"/>
        </w:rPr>
        <w:t>, where the discussion focuses on RAN2 related aspects of mobility, the merits of intra-frequency DC and how this s</w:t>
      </w:r>
      <w:r w:rsidR="00D46294">
        <w:rPr>
          <w:rFonts w:eastAsia="MS Mincho"/>
          <w:lang w:eastAsia="ja-JP"/>
        </w:rPr>
        <w:t>olution is made feasible in NR.</w:t>
      </w:r>
    </w:p>
    <w:p w14:paraId="032C2D2F" w14:textId="77777777" w:rsidR="00571423" w:rsidRDefault="00571423" w:rsidP="00571423">
      <w:pPr>
        <w:rPr>
          <w:rFonts w:eastAsia="MS Mincho"/>
          <w:lang w:eastAsia="ja-JP"/>
        </w:rPr>
      </w:pPr>
    </w:p>
    <w:p w14:paraId="50CE26D6" w14:textId="77777777" w:rsidR="00571423" w:rsidRDefault="00571423" w:rsidP="00571423">
      <w:pPr>
        <w:pStyle w:val="3"/>
        <w:rPr>
          <w:lang w:eastAsia="ja-JP"/>
        </w:rPr>
      </w:pPr>
      <w:r>
        <w:rPr>
          <w:lang w:eastAsia="ja-JP"/>
        </w:rPr>
        <w:t>RAN1 impacts</w:t>
      </w:r>
    </w:p>
    <w:p w14:paraId="0FB4B385" w14:textId="77777777" w:rsidR="00571423" w:rsidRDefault="00571423" w:rsidP="00571423">
      <w:pPr>
        <w:rPr>
          <w:rFonts w:eastAsia="MS Mincho"/>
          <w:lang w:eastAsia="ja-JP"/>
        </w:rPr>
      </w:pPr>
      <w:r>
        <w:rPr>
          <w:rFonts w:eastAsia="MS Mincho"/>
          <w:lang w:eastAsia="ja-JP"/>
        </w:rPr>
        <w:t xml:space="preserve">From RAN1’s perspective: the discussion around DC-based enhancements is intrinsically linked to the multi-TRP transmission discussion that is currently taking place in RAN1. DC-based solutions (both intra-frequency and inter-frequency based solutions) require the UE to be able to receive PDCCH messages scheduling data transmissions from the source and target cells simultaneously. RAN1 reached such an agreement and sent the following LS </w:t>
      </w:r>
      <w:r w:rsidR="00B70E35">
        <w:rPr>
          <w:rFonts w:eastAsia="MS Mincho"/>
          <w:lang w:eastAsia="ja-JP"/>
        </w:rPr>
        <w:t>in RAN1 NR Ad-hoc #</w:t>
      </w:r>
      <w:r w:rsidR="00ED4351">
        <w:rPr>
          <w:rFonts w:eastAsia="MS Mincho"/>
          <w:lang w:eastAsia="ja-JP"/>
        </w:rPr>
        <w:t>2 (June, 2017)</w:t>
      </w:r>
      <w:r w:rsidR="00B70E35">
        <w:rPr>
          <w:rFonts w:eastAsia="MS Mincho"/>
          <w:lang w:eastAsia="ja-JP"/>
        </w:rPr>
        <w:t xml:space="preserve"> </w:t>
      </w:r>
      <w:r>
        <w:rPr>
          <w:rFonts w:eastAsia="MS Mincho"/>
          <w:lang w:eastAsia="ja-JP"/>
        </w:rPr>
        <w:t>regarding multi-TRP transmission:</w:t>
      </w:r>
    </w:p>
    <w:p w14:paraId="22579C48" w14:textId="77777777" w:rsidR="00571423" w:rsidRDefault="00571423" w:rsidP="00571423">
      <w:pPr>
        <w:pStyle w:val="Doc-text2"/>
        <w:pBdr>
          <w:top w:val="single" w:sz="4" w:space="1" w:color="auto"/>
          <w:left w:val="single" w:sz="4" w:space="4" w:color="auto"/>
          <w:bottom w:val="single" w:sz="4" w:space="1" w:color="auto"/>
          <w:right w:val="single" w:sz="4" w:space="4" w:color="auto"/>
        </w:pBdr>
        <w:ind w:leftChars="72" w:left="521"/>
        <w:rPr>
          <w:rFonts w:eastAsia="宋体"/>
          <w:szCs w:val="20"/>
          <w:lang w:eastAsia="zh-CN"/>
        </w:rPr>
      </w:pPr>
      <w:r w:rsidRPr="00DF7646">
        <w:rPr>
          <w:rFonts w:eastAsia="宋体"/>
          <w:szCs w:val="20"/>
          <w:lang w:eastAsia="zh-CN"/>
        </w:rPr>
        <w:t>Agreements</w:t>
      </w:r>
    </w:p>
    <w:p w14:paraId="16133B05" w14:textId="77777777" w:rsidR="00571423" w:rsidRPr="00DF7646" w:rsidRDefault="00571423" w:rsidP="00571423">
      <w:pPr>
        <w:pStyle w:val="Doc-text2"/>
        <w:pBdr>
          <w:top w:val="single" w:sz="4" w:space="1" w:color="auto"/>
          <w:left w:val="single" w:sz="4" w:space="4" w:color="auto"/>
          <w:bottom w:val="single" w:sz="4" w:space="1" w:color="auto"/>
          <w:right w:val="single" w:sz="4" w:space="4" w:color="auto"/>
        </w:pBdr>
        <w:ind w:leftChars="72" w:left="521"/>
        <w:rPr>
          <w:rFonts w:eastAsia="宋体"/>
          <w:szCs w:val="20"/>
          <w:lang w:eastAsia="zh-CN"/>
        </w:rPr>
      </w:pPr>
      <w:r>
        <w:rPr>
          <w:rFonts w:eastAsia="宋体" w:hint="eastAsia"/>
          <w:szCs w:val="20"/>
          <w:lang w:eastAsia="zh-CN"/>
        </w:rPr>
        <w:t>Adopt following for NR reception:</w:t>
      </w:r>
    </w:p>
    <w:p w14:paraId="7ACBDF84" w14:textId="77777777" w:rsidR="00571423" w:rsidRPr="00DF7646" w:rsidRDefault="00571423" w:rsidP="00571423">
      <w:pPr>
        <w:pStyle w:val="Doc-text2"/>
        <w:pBdr>
          <w:top w:val="single" w:sz="4" w:space="1" w:color="auto"/>
          <w:left w:val="single" w:sz="4" w:space="4" w:color="auto"/>
          <w:bottom w:val="single" w:sz="4" w:space="1" w:color="auto"/>
          <w:right w:val="single" w:sz="4" w:space="4" w:color="auto"/>
        </w:pBdr>
        <w:ind w:leftChars="72" w:left="521"/>
        <w:rPr>
          <w:rFonts w:eastAsia="宋体"/>
          <w:szCs w:val="20"/>
          <w:lang w:eastAsia="zh-CN"/>
        </w:rPr>
      </w:pPr>
      <w:r w:rsidRPr="00DF7646">
        <w:rPr>
          <w:rFonts w:eastAsia="宋体"/>
          <w:szCs w:val="20"/>
          <w:lang w:eastAsia="zh-CN"/>
        </w:rPr>
        <w:t>1</w:t>
      </w:r>
      <w:r w:rsidRPr="00DF7646">
        <w:rPr>
          <w:rFonts w:eastAsia="宋体"/>
          <w:szCs w:val="20"/>
          <w:lang w:eastAsia="zh-CN"/>
        </w:rPr>
        <w:tab/>
      </w:r>
      <w:r>
        <w:rPr>
          <w:rFonts w:eastAsia="宋体" w:hint="eastAsia"/>
          <w:szCs w:val="20"/>
          <w:lang w:eastAsia="zh-CN"/>
        </w:rPr>
        <w:t xml:space="preserve">Single NR-PDCCH </w:t>
      </w:r>
      <w:r w:rsidRPr="00B51374">
        <w:rPr>
          <w:rFonts w:eastAsia="宋体"/>
          <w:szCs w:val="20"/>
          <w:lang w:eastAsia="zh-CN"/>
        </w:rPr>
        <w:t>schedules single NR-PDSCH where separate layers are transmitted from separate TRPs</w:t>
      </w:r>
    </w:p>
    <w:p w14:paraId="7A4ACDB3" w14:textId="77777777" w:rsidR="00571423" w:rsidRDefault="00571423" w:rsidP="00571423">
      <w:pPr>
        <w:pStyle w:val="Doc-text2"/>
        <w:pBdr>
          <w:top w:val="single" w:sz="4" w:space="1" w:color="auto"/>
          <w:left w:val="single" w:sz="4" w:space="4" w:color="auto"/>
          <w:bottom w:val="single" w:sz="4" w:space="1" w:color="auto"/>
          <w:right w:val="single" w:sz="4" w:space="4" w:color="auto"/>
        </w:pBdr>
        <w:ind w:leftChars="72" w:left="521"/>
        <w:rPr>
          <w:rFonts w:eastAsia="宋体"/>
          <w:szCs w:val="20"/>
          <w:lang w:eastAsia="zh-CN"/>
        </w:rPr>
      </w:pPr>
      <w:r w:rsidRPr="00DF7646">
        <w:rPr>
          <w:rFonts w:eastAsia="宋体"/>
          <w:szCs w:val="20"/>
          <w:lang w:eastAsia="zh-CN"/>
        </w:rPr>
        <w:t>2</w:t>
      </w:r>
      <w:r w:rsidRPr="00DF7646">
        <w:rPr>
          <w:rFonts w:eastAsia="宋体"/>
          <w:szCs w:val="20"/>
          <w:lang w:eastAsia="zh-CN"/>
        </w:rPr>
        <w:tab/>
      </w:r>
      <w:r>
        <w:rPr>
          <w:rFonts w:eastAsia="宋体" w:hint="eastAsia"/>
          <w:szCs w:val="20"/>
          <w:lang w:eastAsia="zh-CN"/>
        </w:rPr>
        <w:t xml:space="preserve">Multiple </w:t>
      </w:r>
      <w:r w:rsidRPr="00DF1822">
        <w:rPr>
          <w:rFonts w:eastAsia="宋体"/>
          <w:szCs w:val="20"/>
          <w:lang w:eastAsia="zh-CN"/>
        </w:rPr>
        <w:t>NR-PDCCHs each scheduling a respective NR-PDSCH where each NR-PDSCH is transmitted from a separate TRP</w:t>
      </w:r>
      <w:r>
        <w:rPr>
          <w:rFonts w:eastAsia="宋体"/>
          <w:szCs w:val="20"/>
          <w:lang w:eastAsia="zh-CN"/>
        </w:rPr>
        <w:t>.</w:t>
      </w:r>
    </w:p>
    <w:p w14:paraId="22C24AE2" w14:textId="77777777" w:rsidR="00571423" w:rsidRPr="00255F7F" w:rsidRDefault="00571423" w:rsidP="00571423">
      <w:pPr>
        <w:pStyle w:val="Doc-text2"/>
        <w:pBdr>
          <w:top w:val="single" w:sz="4" w:space="1" w:color="auto"/>
          <w:left w:val="single" w:sz="4" w:space="4" w:color="auto"/>
          <w:bottom w:val="single" w:sz="4" w:space="1" w:color="auto"/>
          <w:right w:val="single" w:sz="4" w:space="4" w:color="auto"/>
        </w:pBdr>
        <w:ind w:leftChars="72" w:left="521"/>
        <w:rPr>
          <w:rFonts w:eastAsia="宋体"/>
          <w:szCs w:val="20"/>
          <w:lang w:eastAsia="zh-CN"/>
        </w:rPr>
      </w:pPr>
      <w:r w:rsidRPr="004A5EF7">
        <w:rPr>
          <w:lang w:val="en-US"/>
        </w:rPr>
        <w:t>RAN1 is considering different scenarios including TRPs connected with ideal and non-ideal backhaul link, TRPs with same and different cell IDs, etc. to provide an increased throughput for users covered by different TRPs, and greater radio link reliability through dual connectivity-like operation</w:t>
      </w:r>
      <w:r>
        <w:rPr>
          <w:lang w:val="en-US"/>
        </w:rPr>
        <w:t>.</w:t>
      </w:r>
    </w:p>
    <w:p w14:paraId="12BF8783" w14:textId="77777777" w:rsidR="00571423" w:rsidRDefault="00571423" w:rsidP="00571423">
      <w:pPr>
        <w:rPr>
          <w:rFonts w:eastAsia="MS Mincho"/>
          <w:lang w:val="en-GB" w:eastAsia="ja-JP"/>
        </w:rPr>
      </w:pPr>
    </w:p>
    <w:p w14:paraId="58BE6409" w14:textId="77777777" w:rsidR="00571423" w:rsidRPr="002F4361" w:rsidRDefault="00571423" w:rsidP="00571423">
      <w:pPr>
        <w:rPr>
          <w:rFonts w:eastAsia="MS Mincho"/>
          <w:lang w:eastAsia="ja-JP"/>
        </w:rPr>
      </w:pPr>
      <w:r>
        <w:rPr>
          <w:rFonts w:eastAsia="MS Mincho"/>
          <w:lang w:eastAsia="ja-JP"/>
        </w:rPr>
        <w:t xml:space="preserve">The scenario that has been mainly discussed in RAN1 thus far </w:t>
      </w:r>
      <w:r w:rsidR="00D83421">
        <w:rPr>
          <w:rFonts w:eastAsia="MS Mincho"/>
          <w:lang w:eastAsia="ja-JP"/>
        </w:rPr>
        <w:t xml:space="preserve">in Rel-16 </w:t>
      </w:r>
      <w:r>
        <w:rPr>
          <w:rFonts w:eastAsia="MS Mincho"/>
          <w:lang w:eastAsia="ja-JP"/>
        </w:rPr>
        <w:t xml:space="preserve">is that of multiple NR-PDCCH reception in an intra-cell scenario. However the scope of the agreement </w:t>
      </w:r>
      <w:r w:rsidR="00710BE9">
        <w:rPr>
          <w:rFonts w:eastAsia="MS Mincho"/>
          <w:lang w:eastAsia="ja-JP"/>
        </w:rPr>
        <w:t>in NR Release 15 did</w:t>
      </w:r>
      <w:r>
        <w:rPr>
          <w:rFonts w:eastAsia="MS Mincho"/>
          <w:lang w:eastAsia="ja-JP"/>
        </w:rPr>
        <w:t xml:space="preserve"> include DC-like operation of receiving multiple NR-PDCCHs from different cells. By enabling the UE to monitor and receive more than one NR-PDCCH from the same cell or from different cells simultaneously, the network can maintain continuous control and user plane connections with the UE in a user-centric manner. Using a DC-like architecture and solution, the network can configure the UE to monitor NR-PDCCHs from multiple cells such that potential mobility problems are treated as a scheduling problem involving multiple TRPs.</w:t>
      </w:r>
    </w:p>
    <w:p w14:paraId="1B1096FF" w14:textId="77777777" w:rsidR="00571423" w:rsidRDefault="00571423" w:rsidP="00571423">
      <w:pPr>
        <w:rPr>
          <w:rFonts w:eastAsia="MS Mincho"/>
          <w:b/>
          <w:lang w:eastAsia="ja-JP"/>
        </w:rPr>
      </w:pPr>
      <w:r w:rsidRPr="00246499">
        <w:rPr>
          <w:rFonts w:eastAsia="MS Mincho"/>
          <w:b/>
          <w:lang w:eastAsia="ja-JP"/>
        </w:rPr>
        <w:t xml:space="preserve">Observation </w:t>
      </w:r>
      <w:r w:rsidR="003004BE">
        <w:rPr>
          <w:rFonts w:eastAsia="MS Mincho"/>
          <w:b/>
          <w:lang w:eastAsia="ja-JP"/>
        </w:rPr>
        <w:t>2</w:t>
      </w:r>
      <w:r w:rsidRPr="00246499">
        <w:rPr>
          <w:rFonts w:eastAsia="MS Mincho"/>
          <w:b/>
          <w:lang w:eastAsia="ja-JP"/>
        </w:rPr>
        <w:t xml:space="preserve">: </w:t>
      </w:r>
      <w:r>
        <w:rPr>
          <w:rFonts w:eastAsia="MS Mincho"/>
          <w:b/>
          <w:lang w:eastAsia="ja-JP"/>
        </w:rPr>
        <w:t>Multiple NR-PDCCH reception is already agreed by RAN1, allowing the UE to monitor multiple NR-PDCCH messages simultaneously</w:t>
      </w:r>
      <w:r w:rsidR="00D83421">
        <w:rPr>
          <w:rFonts w:eastAsia="MS Mincho"/>
          <w:b/>
          <w:lang w:eastAsia="ja-JP"/>
        </w:rPr>
        <w:t xml:space="preserve"> from multi-TRP</w:t>
      </w:r>
      <w:r>
        <w:rPr>
          <w:rFonts w:eastAsia="MS Mincho"/>
          <w:b/>
          <w:lang w:eastAsia="ja-JP"/>
        </w:rPr>
        <w:t>.</w:t>
      </w:r>
    </w:p>
    <w:p w14:paraId="667D736D" w14:textId="404BFDE8" w:rsidR="00F13B01" w:rsidRDefault="00D83421">
      <w:pPr>
        <w:pStyle w:val="af3"/>
        <w:numPr>
          <w:ilvl w:val="0"/>
          <w:numId w:val="33"/>
        </w:numPr>
        <w:rPr>
          <w:rFonts w:eastAsia="MS Mincho"/>
          <w:b/>
          <w:lang w:eastAsia="ja-JP"/>
        </w:rPr>
      </w:pPr>
      <w:r>
        <w:rPr>
          <w:rFonts w:eastAsia="MS Mincho"/>
          <w:b/>
          <w:lang w:eastAsia="ja-JP"/>
        </w:rPr>
        <w:t>Multi-</w:t>
      </w:r>
      <w:r w:rsidR="00571423">
        <w:rPr>
          <w:rFonts w:eastAsia="MS Mincho"/>
          <w:b/>
          <w:lang w:eastAsia="ja-JP"/>
        </w:rPr>
        <w:t xml:space="preserve">TRPs </w:t>
      </w:r>
      <w:r>
        <w:rPr>
          <w:rFonts w:eastAsia="MS Mincho"/>
          <w:b/>
          <w:lang w:eastAsia="ja-JP"/>
        </w:rPr>
        <w:t xml:space="preserve">could </w:t>
      </w:r>
      <w:r w:rsidR="00571423">
        <w:rPr>
          <w:rFonts w:eastAsia="MS Mincho"/>
          <w:b/>
          <w:lang w:eastAsia="ja-JP"/>
        </w:rPr>
        <w:t>belong to the same cell or different cells.</w:t>
      </w:r>
    </w:p>
    <w:p w14:paraId="75C1FEAD" w14:textId="77777777" w:rsidR="007C3814" w:rsidRDefault="007C3814" w:rsidP="00954516">
      <w:pPr>
        <w:rPr>
          <w:rFonts w:eastAsia="MS Mincho"/>
          <w:lang w:eastAsia="ja-JP"/>
        </w:rPr>
      </w:pPr>
    </w:p>
    <w:p w14:paraId="2E542A23" w14:textId="77777777" w:rsidR="00092947" w:rsidRDefault="00092947" w:rsidP="00954516">
      <w:pPr>
        <w:rPr>
          <w:rFonts w:eastAsia="MS Mincho"/>
          <w:lang w:eastAsia="ja-JP"/>
        </w:rPr>
      </w:pPr>
      <w:r>
        <w:rPr>
          <w:rFonts w:eastAsia="MS Mincho"/>
          <w:lang w:eastAsia="ja-JP"/>
        </w:rPr>
        <w:t xml:space="preserve">Other RAN1 impacts have to do with the UE’s behavior with regards to UL Power Control. As of Release 15 there is no mechanism specified in RAN1 for how the UE performs Power Control for </w:t>
      </w:r>
      <w:r w:rsidR="00FA21B4">
        <w:rPr>
          <w:rFonts w:eastAsia="MS Mincho"/>
          <w:lang w:eastAsia="ja-JP"/>
        </w:rPr>
        <w:t xml:space="preserve">channels such as </w:t>
      </w:r>
      <w:r w:rsidR="00FA21B4">
        <w:rPr>
          <w:rFonts w:eastAsia="MS Mincho"/>
          <w:lang w:eastAsia="ja-JP"/>
        </w:rPr>
        <w:lastRenderedPageBreak/>
        <w:t xml:space="preserve">PUCCH, </w:t>
      </w:r>
      <w:r>
        <w:rPr>
          <w:rFonts w:eastAsia="MS Mincho"/>
          <w:lang w:eastAsia="ja-JP"/>
        </w:rPr>
        <w:t>PUSCH</w:t>
      </w:r>
      <w:r w:rsidR="00FA21B4">
        <w:rPr>
          <w:rFonts w:eastAsia="MS Mincho"/>
          <w:lang w:eastAsia="ja-JP"/>
        </w:rPr>
        <w:t xml:space="preserve"> and PRACH</w:t>
      </w:r>
      <w:r>
        <w:rPr>
          <w:rFonts w:eastAsia="MS Mincho"/>
          <w:lang w:eastAsia="ja-JP"/>
        </w:rPr>
        <w:t xml:space="preserve"> in NR-NR DC when the two cells are</w:t>
      </w:r>
      <w:r w:rsidR="00FA21B4">
        <w:rPr>
          <w:rFonts w:eastAsia="MS Mincho"/>
          <w:lang w:eastAsia="ja-JP"/>
        </w:rPr>
        <w:t xml:space="preserve"> in FR1 or in FR2. Let’s use the PUSCH transmit power as an example:</w:t>
      </w:r>
    </w:p>
    <w:p w14:paraId="6DE13AC8" w14:textId="77777777" w:rsidR="00FA21B4" w:rsidRDefault="009215AB" w:rsidP="00954516">
      <w:pPr>
        <w:rPr>
          <w:rFonts w:eastAsia="MS Mincho"/>
          <w:lang w:eastAsia="ja-JP"/>
        </w:rPr>
      </w:pPr>
      <w:r>
        <w:rPr>
          <w:rFonts w:eastAsia="Times New Roman"/>
          <w:noProof/>
          <w:position w:val="-32"/>
          <w:sz w:val="20"/>
          <w:szCs w:val="20"/>
          <w:lang w:eastAsia="zh-CN"/>
        </w:rPr>
        <w:drawing>
          <wp:inline distT="0" distB="0" distL="0" distR="0" wp14:anchorId="63CE72DF" wp14:editId="0219D1B2">
            <wp:extent cx="5854700" cy="457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54700" cy="457200"/>
                    </a:xfrm>
                    <a:prstGeom prst="rect">
                      <a:avLst/>
                    </a:prstGeom>
                    <a:noFill/>
                    <a:ln>
                      <a:noFill/>
                    </a:ln>
                  </pic:spPr>
                </pic:pic>
              </a:graphicData>
            </a:graphic>
          </wp:inline>
        </w:drawing>
      </w:r>
    </w:p>
    <w:p w14:paraId="74990217" w14:textId="3F885623" w:rsidR="00092947" w:rsidRDefault="00784F17" w:rsidP="00954516">
      <w:pPr>
        <w:rPr>
          <w:rFonts w:eastAsia="MS Mincho"/>
          <w:lang w:eastAsia="ja-JP"/>
        </w:rPr>
      </w:pPr>
      <w:r>
        <w:rPr>
          <w:rFonts w:eastAsia="MS Mincho"/>
          <w:lang w:eastAsia="ja-JP"/>
        </w:rPr>
        <w:t>PL</w:t>
      </w:r>
      <w:r w:rsidR="004C7D2B" w:rsidRPr="004C7D2B">
        <w:rPr>
          <w:rFonts w:eastAsia="MS Mincho"/>
          <w:vertAlign w:val="subscript"/>
          <w:lang w:eastAsia="ja-JP"/>
        </w:rPr>
        <w:t>b,f,c</w:t>
      </w:r>
      <w:r>
        <w:rPr>
          <w:rFonts w:eastAsia="MS Mincho"/>
          <w:lang w:eastAsia="ja-JP"/>
        </w:rPr>
        <w:t>(q</w:t>
      </w:r>
      <w:r w:rsidR="004C7D2B" w:rsidRPr="004C7D2B">
        <w:rPr>
          <w:rFonts w:eastAsia="MS Mincho"/>
          <w:vertAlign w:val="subscript"/>
          <w:lang w:eastAsia="ja-JP"/>
        </w:rPr>
        <w:t>d</w:t>
      </w:r>
      <w:r>
        <w:rPr>
          <w:rFonts w:eastAsia="MS Mincho"/>
          <w:lang w:eastAsia="ja-JP"/>
        </w:rPr>
        <w:t xml:space="preserve">) is the </w:t>
      </w:r>
      <w:r w:rsidR="00CB6DDE">
        <w:rPr>
          <w:rFonts w:eastAsia="MS Mincho"/>
          <w:lang w:eastAsia="ja-JP"/>
        </w:rPr>
        <w:t xml:space="preserve">downlink </w:t>
      </w:r>
      <w:r>
        <w:rPr>
          <w:rFonts w:eastAsia="MS Mincho"/>
          <w:lang w:eastAsia="ja-JP"/>
        </w:rPr>
        <w:t xml:space="preserve">path loss estimate based on a DL reference signal </w:t>
      </w:r>
      <w:r w:rsidR="00CB6DDE">
        <w:rPr>
          <w:rFonts w:eastAsia="MS Mincho"/>
          <w:lang w:eastAsia="ja-JP"/>
        </w:rPr>
        <w:t xml:space="preserve">that the UE measures on the active DL BWP. For NR-NR DC, there is currently no description of what reference signal the UE is supposed to use </w:t>
      </w:r>
      <w:r w:rsidR="008E4C2C">
        <w:rPr>
          <w:rFonts w:eastAsia="MS Mincho"/>
          <w:lang w:eastAsia="ja-JP"/>
        </w:rPr>
        <w:t>to determine PL</w:t>
      </w:r>
      <w:r w:rsidR="008E4C2C" w:rsidRPr="00CB6DDE">
        <w:rPr>
          <w:rFonts w:eastAsia="MS Mincho"/>
          <w:vertAlign w:val="subscript"/>
          <w:lang w:eastAsia="ja-JP"/>
        </w:rPr>
        <w:t>b,f,c</w:t>
      </w:r>
      <w:r w:rsidR="008E4C2C">
        <w:rPr>
          <w:rFonts w:eastAsia="MS Mincho"/>
          <w:lang w:eastAsia="ja-JP"/>
        </w:rPr>
        <w:t>(q</w:t>
      </w:r>
      <w:r w:rsidR="008E4C2C" w:rsidRPr="00CB6DDE">
        <w:rPr>
          <w:rFonts w:eastAsia="MS Mincho"/>
          <w:vertAlign w:val="subscript"/>
          <w:lang w:eastAsia="ja-JP"/>
        </w:rPr>
        <w:t>d</w:t>
      </w:r>
      <w:r w:rsidR="008E4C2C">
        <w:rPr>
          <w:rFonts w:eastAsia="MS Mincho"/>
          <w:lang w:eastAsia="ja-JP"/>
        </w:rPr>
        <w:t xml:space="preserve">). </w:t>
      </w:r>
      <w:r w:rsidR="00D23C2C">
        <w:rPr>
          <w:rFonts w:eastAsia="MS Mincho"/>
          <w:lang w:eastAsia="ja-JP"/>
        </w:rPr>
        <w:t>The NR R</w:t>
      </w:r>
      <w:r w:rsidR="00F87C61">
        <w:rPr>
          <w:rFonts w:eastAsia="MS Mincho"/>
          <w:lang w:eastAsia="ja-JP"/>
        </w:rPr>
        <w:t xml:space="preserve">elease </w:t>
      </w:r>
      <w:r w:rsidR="00D23C2C">
        <w:rPr>
          <w:rFonts w:eastAsia="MS Mincho"/>
          <w:lang w:eastAsia="ja-JP"/>
        </w:rPr>
        <w:t>15 spec</w:t>
      </w:r>
      <w:r w:rsidR="0012749C">
        <w:rPr>
          <w:rFonts w:eastAsia="MS Mincho"/>
          <w:lang w:eastAsia="ja-JP"/>
        </w:rPr>
        <w:t>ification</w:t>
      </w:r>
      <w:r w:rsidR="00D23C2C">
        <w:rPr>
          <w:rFonts w:eastAsia="MS Mincho"/>
          <w:lang w:eastAsia="ja-JP"/>
        </w:rPr>
        <w:t xml:space="preserve"> does not provide any</w:t>
      </w:r>
      <w:r w:rsidR="008E4C2C">
        <w:rPr>
          <w:rFonts w:eastAsia="MS Mincho"/>
          <w:lang w:eastAsia="ja-JP"/>
        </w:rPr>
        <w:t xml:space="preserve"> description of what inter-frequency DC and intra-frequency DC is</w:t>
      </w:r>
      <w:r w:rsidR="00D23C2C">
        <w:rPr>
          <w:rFonts w:eastAsia="MS Mincho"/>
          <w:lang w:eastAsia="ja-JP"/>
        </w:rPr>
        <w:t>. The NR R</w:t>
      </w:r>
      <w:r w:rsidR="00F87C61">
        <w:rPr>
          <w:rFonts w:eastAsia="MS Mincho"/>
          <w:lang w:eastAsia="ja-JP"/>
        </w:rPr>
        <w:t xml:space="preserve">elease </w:t>
      </w:r>
      <w:r w:rsidR="00D23C2C">
        <w:rPr>
          <w:rFonts w:eastAsia="MS Mincho"/>
          <w:lang w:eastAsia="ja-JP"/>
        </w:rPr>
        <w:t>15 spec</w:t>
      </w:r>
      <w:r w:rsidR="0012749C">
        <w:rPr>
          <w:rFonts w:eastAsia="MS Mincho"/>
          <w:lang w:eastAsia="ja-JP"/>
        </w:rPr>
        <w:t>ification</w:t>
      </w:r>
      <w:r w:rsidR="00D23C2C">
        <w:rPr>
          <w:rFonts w:eastAsia="MS Mincho"/>
          <w:lang w:eastAsia="ja-JP"/>
        </w:rPr>
        <w:t xml:space="preserve"> also does not provide any description for how UL power control is performed when both the PCell and PSCell are in FR1 or FR2, </w:t>
      </w:r>
      <w:r w:rsidR="008E4C2C">
        <w:rPr>
          <w:rFonts w:eastAsia="MS Mincho"/>
          <w:lang w:eastAsia="ja-JP"/>
        </w:rPr>
        <w:t xml:space="preserve">nor is there any description of any corresponding UE behavior for </w:t>
      </w:r>
      <w:r w:rsidR="00702A95">
        <w:rPr>
          <w:rFonts w:eastAsia="MS Mincho"/>
          <w:lang w:eastAsia="ja-JP"/>
        </w:rPr>
        <w:t>how to pick DL reference signals to determine</w:t>
      </w:r>
      <w:r w:rsidR="00702A95" w:rsidRPr="00702A95">
        <w:rPr>
          <w:rFonts w:eastAsia="MS Mincho"/>
          <w:lang w:eastAsia="ja-JP"/>
        </w:rPr>
        <w:t xml:space="preserve"> </w:t>
      </w:r>
      <w:r w:rsidR="00702A95">
        <w:rPr>
          <w:rFonts w:eastAsia="MS Mincho"/>
          <w:lang w:eastAsia="ja-JP"/>
        </w:rPr>
        <w:t>PL</w:t>
      </w:r>
      <w:r w:rsidR="00702A95" w:rsidRPr="00CB6DDE">
        <w:rPr>
          <w:rFonts w:eastAsia="MS Mincho"/>
          <w:vertAlign w:val="subscript"/>
          <w:lang w:eastAsia="ja-JP"/>
        </w:rPr>
        <w:t>b,f,c</w:t>
      </w:r>
      <w:r w:rsidR="00702A95">
        <w:rPr>
          <w:rFonts w:eastAsia="MS Mincho"/>
          <w:lang w:eastAsia="ja-JP"/>
        </w:rPr>
        <w:t>(q</w:t>
      </w:r>
      <w:r w:rsidR="00702A95" w:rsidRPr="00CB6DDE">
        <w:rPr>
          <w:rFonts w:eastAsia="MS Mincho"/>
          <w:vertAlign w:val="subscript"/>
          <w:lang w:eastAsia="ja-JP"/>
        </w:rPr>
        <w:t>d</w:t>
      </w:r>
      <w:r w:rsidR="00702A95">
        <w:rPr>
          <w:rFonts w:eastAsia="MS Mincho"/>
          <w:lang w:eastAsia="ja-JP"/>
        </w:rPr>
        <w:t xml:space="preserve">) for </w:t>
      </w:r>
      <w:r w:rsidR="008E4C2C">
        <w:rPr>
          <w:rFonts w:eastAsia="MS Mincho"/>
          <w:lang w:eastAsia="ja-JP"/>
        </w:rPr>
        <w:t>NR-NR DC</w:t>
      </w:r>
      <w:r w:rsidR="00750BA4">
        <w:rPr>
          <w:rFonts w:eastAsia="MS Mincho"/>
          <w:lang w:eastAsia="ja-JP"/>
        </w:rPr>
        <w:t xml:space="preserve"> when both the PCell and PSCell are in FR1 or FR2.</w:t>
      </w:r>
    </w:p>
    <w:p w14:paraId="2CF21AE0" w14:textId="77777777" w:rsidR="00092947" w:rsidRDefault="00092947" w:rsidP="00954516">
      <w:pPr>
        <w:rPr>
          <w:rFonts w:eastAsia="MS Mincho"/>
          <w:lang w:eastAsia="ja-JP"/>
        </w:rPr>
      </w:pPr>
    </w:p>
    <w:p w14:paraId="5EFDDA37" w14:textId="77777777" w:rsidR="00092947" w:rsidRDefault="00092947" w:rsidP="00954516">
      <w:pPr>
        <w:pStyle w:val="2"/>
      </w:pPr>
      <w:r>
        <w:t>Make-Before-Break</w:t>
      </w:r>
    </w:p>
    <w:p w14:paraId="4BA95DD3" w14:textId="77777777" w:rsidR="00F13B01" w:rsidRDefault="00092947">
      <w:r>
        <w:t>The Make-Before-Break solution is another enhancement on the traditional HO procedure in which the UE does not release its link to the source cell upon reception of the HO command, instead the UE waits until it</w:t>
      </w:r>
      <w:r w:rsidR="00702A95">
        <w:t xml:space="preserve"> starts the Random Access procedure and</w:t>
      </w:r>
      <w:r>
        <w:t xml:space="preserve"> transmits the RA preamble to the target cell to release its link to the source cell.</w:t>
      </w:r>
      <w:r w:rsidR="00702A95">
        <w:t xml:space="preserve"> As part of the Random Access procedure, the UE will wait for a PDCCH message scrambled with the RA-RNTI within </w:t>
      </w:r>
      <w:r w:rsidR="00702A95" w:rsidRPr="00B07324">
        <w:rPr>
          <w:rFonts w:eastAsia="MS Mincho"/>
          <w:i/>
          <w:lang w:eastAsia="ja-JP"/>
        </w:rPr>
        <w:t>ra-responseWindow</w:t>
      </w:r>
      <w:r w:rsidR="00702A95">
        <w:t xml:space="preserve"> scheduling a PDSCH with the Random Access Response. This Random Access Response will provide the UE with UL resources to transmit the RRC Reconfiguration Complete message to the target cell, and from that point onward: the </w:t>
      </w:r>
      <w:r w:rsidR="006666C4">
        <w:t xml:space="preserve">UE starts monitoring for PDCCH messages scheduling DL/UL data transmissions from the target cell. </w:t>
      </w:r>
      <w:r w:rsidR="00C01C4C">
        <w:t xml:space="preserve">Further enhancements of MBB may define the moment the UE releases its link to the source cell at a later time (as opposed to when the UE starts transmitting the RA preamble to the target cell). </w:t>
      </w:r>
      <w:r w:rsidR="006666C4">
        <w:t>From RAN1’s p</w:t>
      </w:r>
      <w:r w:rsidR="00710BE9">
        <w:t xml:space="preserve">erspective, </w:t>
      </w:r>
      <w:r w:rsidR="00C01C4C">
        <w:t>such enhanced MBB solutions</w:t>
      </w:r>
      <w:r w:rsidR="00710BE9">
        <w:t xml:space="preserve"> can</w:t>
      </w:r>
      <w:r w:rsidR="006666C4">
        <w:t xml:space="preserve"> meet the 0ms mobility interruption time requirement </w:t>
      </w:r>
      <w:r w:rsidR="00710BE9">
        <w:t>as long as the UE does not release its link with the source cell until the UE has established its link with the target cell and is monitoring for PDCCH messages scheduling DL/UL transmissions from the target cell.</w:t>
      </w:r>
    </w:p>
    <w:p w14:paraId="3B814C6E" w14:textId="77777777" w:rsidR="00F13B01" w:rsidRDefault="004C7D2B">
      <w:r w:rsidRPr="004C7D2B">
        <w:rPr>
          <w:b/>
        </w:rPr>
        <w:t xml:space="preserve">Observation 3: </w:t>
      </w:r>
      <w:r w:rsidRPr="00EA61A4">
        <w:rPr>
          <w:b/>
        </w:rPr>
        <w:t>Make-Before-Break HO</w:t>
      </w:r>
      <w:r w:rsidR="001553CA" w:rsidRPr="00EA61A4">
        <w:rPr>
          <w:b/>
        </w:rPr>
        <w:t xml:space="preserve"> with enhancement that </w:t>
      </w:r>
      <w:r w:rsidR="001553CA" w:rsidRPr="007A1C2E">
        <w:rPr>
          <w:b/>
        </w:rPr>
        <w:t>UE does not release its link with the source cell until the UE has established its link with the target cell</w:t>
      </w:r>
      <w:r w:rsidRPr="004C7D2B">
        <w:rPr>
          <w:b/>
        </w:rPr>
        <w:t xml:space="preserve"> </w:t>
      </w:r>
      <w:r w:rsidR="00710BE9">
        <w:rPr>
          <w:b/>
        </w:rPr>
        <w:t>can meet</w:t>
      </w:r>
      <w:r w:rsidRPr="004C7D2B">
        <w:rPr>
          <w:b/>
        </w:rPr>
        <w:t xml:space="preserve"> </w:t>
      </w:r>
      <w:r w:rsidR="000C19AE">
        <w:rPr>
          <w:b/>
        </w:rPr>
        <w:t xml:space="preserve">the </w:t>
      </w:r>
      <w:r w:rsidRPr="004C7D2B">
        <w:rPr>
          <w:b/>
        </w:rPr>
        <w:t>0ms mobility interruption time.</w:t>
      </w:r>
    </w:p>
    <w:p w14:paraId="6A5DFD90" w14:textId="77777777" w:rsidR="00F13B01" w:rsidRDefault="00F13B01"/>
    <w:p w14:paraId="32D562D7" w14:textId="77777777" w:rsidR="00F13B01" w:rsidRDefault="006666C4">
      <w:pPr>
        <w:pStyle w:val="3"/>
      </w:pPr>
      <w:r>
        <w:t>RAN1 impacts</w:t>
      </w:r>
    </w:p>
    <w:p w14:paraId="3F3DB0AA" w14:textId="5455712E" w:rsidR="00F13B01" w:rsidRDefault="00B92648">
      <w:r>
        <w:t xml:space="preserve">From RAN1’s perspective: the impacts from Make-Before-Break </w:t>
      </w:r>
      <w:r w:rsidR="00EA61A4">
        <w:t xml:space="preserve">with enhancement </w:t>
      </w:r>
      <w:r>
        <w:t>HO solutions are the same as DC-based HO solutions. Both solutions aim to reduce the mobility interruption time such that data connectivity is not lost (i.e. the UE is always monitoring for PDCCH messages schedu</w:t>
      </w:r>
      <w:r w:rsidR="00E174CD">
        <w:t xml:space="preserve">ling DL/UL data transmissions). </w:t>
      </w:r>
      <w:r>
        <w:t xml:space="preserve">Similarly to the DC-based HO solution, </w:t>
      </w:r>
      <w:r w:rsidR="00EA61A4">
        <w:t>the</w:t>
      </w:r>
      <w:r>
        <w:t xml:space="preserve"> </w:t>
      </w:r>
      <w:r w:rsidR="00EA61A4">
        <w:t xml:space="preserve">enhanced </w:t>
      </w:r>
      <w:r>
        <w:t>Make-Before-Break HO solution establishes a link with the target cell before releasing the link with the source cell: this means that the UE is indeed monitoring PDCCH messages from both the source and target cells simultaneously</w:t>
      </w:r>
      <w:r w:rsidR="00E174CD">
        <w:t xml:space="preserve">. Correspondingly: </w:t>
      </w:r>
      <w:r w:rsidR="006D50EB">
        <w:t xml:space="preserve">even with </w:t>
      </w:r>
      <w:r w:rsidR="00BF1371">
        <w:t>the enhanced</w:t>
      </w:r>
      <w:r w:rsidR="006D50EB">
        <w:t xml:space="preserve"> Make-Before-Break HO solution </w:t>
      </w:r>
      <w:r w:rsidR="00E174CD">
        <w:t>the UE needs to perform UL Power Control tasks for channels such as PUCCH and PUSCH simultaneously and this UE behavior needs to be captured in RAN1</w:t>
      </w:r>
      <w:r w:rsidR="00BF1371">
        <w:t xml:space="preserve"> specifications</w:t>
      </w:r>
      <w:r w:rsidR="00E174CD">
        <w:t>, as described in section 2.2.1.</w:t>
      </w:r>
    </w:p>
    <w:p w14:paraId="3CAF4C70" w14:textId="66AB5126" w:rsidR="00F13B01" w:rsidRDefault="004F4BFD">
      <w:r w:rsidRPr="00E174CD">
        <w:rPr>
          <w:b/>
        </w:rPr>
        <w:t xml:space="preserve">Observation 4: From RAN1’s perspective, DC-based HO and </w:t>
      </w:r>
      <w:r w:rsidR="003C2EF7">
        <w:rPr>
          <w:b/>
        </w:rPr>
        <w:t xml:space="preserve">enhanced </w:t>
      </w:r>
      <w:r w:rsidRPr="00E174CD">
        <w:rPr>
          <w:b/>
        </w:rPr>
        <w:t>Make-Before-Break HO have the same level of specification impact.</w:t>
      </w:r>
    </w:p>
    <w:p w14:paraId="2C1446FF" w14:textId="77777777" w:rsidR="00124BA4" w:rsidRDefault="00124BA4" w:rsidP="00954516">
      <w:pPr>
        <w:rPr>
          <w:rFonts w:eastAsia="MS Mincho"/>
          <w:lang w:eastAsia="ja-JP"/>
        </w:rPr>
      </w:pPr>
    </w:p>
    <w:p w14:paraId="20F4641A" w14:textId="77777777" w:rsidR="00954516" w:rsidRDefault="00954516" w:rsidP="00751B83">
      <w:pPr>
        <w:rPr>
          <w:rFonts w:eastAsia="MS Mincho"/>
          <w:lang w:eastAsia="ja-JP"/>
        </w:rPr>
      </w:pPr>
    </w:p>
    <w:p w14:paraId="5AB10D83" w14:textId="77777777" w:rsidR="00272B03" w:rsidRPr="00CF195E" w:rsidRDefault="007029BB" w:rsidP="00CF195E">
      <w:pPr>
        <w:pStyle w:val="1"/>
      </w:pPr>
      <w:r>
        <w:t>Conclusion</w:t>
      </w:r>
    </w:p>
    <w:p w14:paraId="55605326" w14:textId="77777777" w:rsidR="00EA4FD1" w:rsidRPr="00331426" w:rsidRDefault="007029BB" w:rsidP="00272B03">
      <w:pPr>
        <w:rPr>
          <w:kern w:val="2"/>
          <w:lang w:val="en-GB" w:eastAsia="zh-CN"/>
        </w:rPr>
      </w:pPr>
      <w:r>
        <w:rPr>
          <w:kern w:val="2"/>
          <w:lang w:val="en-GB" w:eastAsia="zh-CN"/>
        </w:rPr>
        <w:t xml:space="preserve">This paper mainly discusses the issues of </w:t>
      </w:r>
      <w:r w:rsidR="002F4361">
        <w:rPr>
          <w:kern w:val="2"/>
          <w:lang w:val="en-GB" w:eastAsia="zh-CN"/>
        </w:rPr>
        <w:t>mobility fr</w:t>
      </w:r>
      <w:r w:rsidR="00C97195">
        <w:rPr>
          <w:kern w:val="2"/>
          <w:lang w:val="en-GB" w:eastAsia="zh-CN"/>
        </w:rPr>
        <w:t>om a RAN1 perspective. We provide our views</w:t>
      </w:r>
      <w:r w:rsidR="002F4361">
        <w:rPr>
          <w:kern w:val="2"/>
          <w:lang w:val="en-GB" w:eastAsia="zh-CN"/>
        </w:rPr>
        <w:t xml:space="preserve"> on some of the </w:t>
      </w:r>
      <w:r w:rsidR="00C97195">
        <w:rPr>
          <w:kern w:val="2"/>
          <w:lang w:val="en-GB" w:eastAsia="zh-CN"/>
        </w:rPr>
        <w:t xml:space="preserve">mobility </w:t>
      </w:r>
      <w:r w:rsidR="002F4361">
        <w:rPr>
          <w:kern w:val="2"/>
          <w:lang w:val="en-GB" w:eastAsia="zh-CN"/>
        </w:rPr>
        <w:t xml:space="preserve">enhancements </w:t>
      </w:r>
      <w:r w:rsidR="00C97195">
        <w:rPr>
          <w:kern w:val="2"/>
          <w:lang w:val="en-GB" w:eastAsia="zh-CN"/>
        </w:rPr>
        <w:t xml:space="preserve">that can be </w:t>
      </w:r>
      <w:r w:rsidR="00265717">
        <w:rPr>
          <w:kern w:val="2"/>
          <w:lang w:val="en-GB" w:eastAsia="zh-CN"/>
        </w:rPr>
        <w:t>brought in NR and make the following observations:</w:t>
      </w:r>
    </w:p>
    <w:p w14:paraId="6B62BC9B" w14:textId="77777777" w:rsidR="00E174CD" w:rsidRDefault="00E174CD" w:rsidP="00E174CD">
      <w:pPr>
        <w:rPr>
          <w:rFonts w:eastAsia="MS Mincho"/>
          <w:b/>
          <w:lang w:eastAsia="ja-JP"/>
        </w:rPr>
      </w:pPr>
      <w:r w:rsidRPr="00246499">
        <w:rPr>
          <w:rFonts w:eastAsia="MS Mincho"/>
          <w:b/>
          <w:lang w:eastAsia="ja-JP"/>
        </w:rPr>
        <w:lastRenderedPageBreak/>
        <w:t xml:space="preserve">Observation </w:t>
      </w:r>
      <w:r>
        <w:rPr>
          <w:rFonts w:eastAsia="MS Mincho"/>
          <w:b/>
          <w:lang w:eastAsia="ja-JP"/>
        </w:rPr>
        <w:t>1</w:t>
      </w:r>
      <w:r w:rsidRPr="00246499">
        <w:rPr>
          <w:rFonts w:eastAsia="MS Mincho"/>
          <w:b/>
          <w:lang w:eastAsia="ja-JP"/>
        </w:rPr>
        <w:t xml:space="preserve">: </w:t>
      </w:r>
      <w:r>
        <w:rPr>
          <w:rFonts w:eastAsia="MS Mincho"/>
          <w:b/>
          <w:lang w:eastAsia="ja-JP"/>
        </w:rPr>
        <w:t>From RAN1’s perspective, the 0ms mobility interruption time requirement is considered met as long as the UE is monitoring NR-PDCCH messages scheduling data DL/UL transmissions at all times.</w:t>
      </w:r>
    </w:p>
    <w:p w14:paraId="45EA846A" w14:textId="77777777" w:rsidR="00E174CD" w:rsidRDefault="00E174CD" w:rsidP="00E174CD">
      <w:pPr>
        <w:rPr>
          <w:rFonts w:eastAsia="MS Mincho"/>
          <w:b/>
          <w:lang w:eastAsia="ja-JP"/>
        </w:rPr>
      </w:pPr>
      <w:r w:rsidRPr="00246499">
        <w:rPr>
          <w:rFonts w:eastAsia="MS Mincho"/>
          <w:b/>
          <w:lang w:eastAsia="ja-JP"/>
        </w:rPr>
        <w:t xml:space="preserve">Observation </w:t>
      </w:r>
      <w:r>
        <w:rPr>
          <w:rFonts w:eastAsia="MS Mincho"/>
          <w:b/>
          <w:lang w:eastAsia="ja-JP"/>
        </w:rPr>
        <w:t>2</w:t>
      </w:r>
      <w:r w:rsidRPr="00246499">
        <w:rPr>
          <w:rFonts w:eastAsia="MS Mincho"/>
          <w:b/>
          <w:lang w:eastAsia="ja-JP"/>
        </w:rPr>
        <w:t xml:space="preserve">: </w:t>
      </w:r>
      <w:r>
        <w:rPr>
          <w:rFonts w:eastAsia="MS Mincho"/>
          <w:b/>
          <w:lang w:eastAsia="ja-JP"/>
        </w:rPr>
        <w:t>Multiple NR-PDCCH reception is already agreed by RAN1, allowing the UE to monitor multiple NR-PDCCH messages simultaneously</w:t>
      </w:r>
      <w:r w:rsidR="00137C28">
        <w:rPr>
          <w:rFonts w:eastAsia="MS Mincho"/>
          <w:b/>
          <w:lang w:eastAsia="ja-JP"/>
        </w:rPr>
        <w:t xml:space="preserve"> from multi-TRP</w:t>
      </w:r>
      <w:r>
        <w:rPr>
          <w:rFonts w:eastAsia="MS Mincho"/>
          <w:b/>
          <w:lang w:eastAsia="ja-JP"/>
        </w:rPr>
        <w:t>.</w:t>
      </w:r>
    </w:p>
    <w:p w14:paraId="50E6A4F5" w14:textId="0747CA6F" w:rsidR="00F13B01" w:rsidRDefault="00137C28">
      <w:pPr>
        <w:pStyle w:val="af3"/>
        <w:numPr>
          <w:ilvl w:val="0"/>
          <w:numId w:val="33"/>
        </w:numPr>
        <w:rPr>
          <w:rFonts w:eastAsia="MS Mincho"/>
          <w:b/>
          <w:lang w:eastAsia="ja-JP"/>
        </w:rPr>
      </w:pPr>
      <w:r>
        <w:rPr>
          <w:rFonts w:eastAsia="MS Mincho"/>
          <w:b/>
          <w:lang w:eastAsia="ja-JP"/>
        </w:rPr>
        <w:t>Multi-</w:t>
      </w:r>
      <w:r w:rsidR="00E174CD">
        <w:rPr>
          <w:rFonts w:eastAsia="MS Mincho"/>
          <w:b/>
          <w:lang w:eastAsia="ja-JP"/>
        </w:rPr>
        <w:t xml:space="preserve">TRPs </w:t>
      </w:r>
      <w:r w:rsidR="007B1215">
        <w:rPr>
          <w:rFonts w:eastAsia="MS Mincho"/>
          <w:b/>
          <w:lang w:eastAsia="ja-JP"/>
        </w:rPr>
        <w:t xml:space="preserve">could </w:t>
      </w:r>
      <w:r w:rsidR="00E174CD">
        <w:rPr>
          <w:rFonts w:eastAsia="MS Mincho"/>
          <w:b/>
          <w:lang w:eastAsia="ja-JP"/>
        </w:rPr>
        <w:t>belong to the same cell or different cells.</w:t>
      </w:r>
    </w:p>
    <w:p w14:paraId="3B532BA9" w14:textId="64AD0D71" w:rsidR="00E174CD" w:rsidRDefault="00E174CD" w:rsidP="00E174CD">
      <w:pPr>
        <w:rPr>
          <w:b/>
        </w:rPr>
      </w:pPr>
      <w:r w:rsidRPr="006666C4">
        <w:rPr>
          <w:b/>
        </w:rPr>
        <w:t xml:space="preserve">Observation 3: Make-Before-Break HO </w:t>
      </w:r>
      <w:r w:rsidR="00865C0D">
        <w:rPr>
          <w:b/>
        </w:rPr>
        <w:t>w</w:t>
      </w:r>
      <w:r w:rsidR="00865C0D" w:rsidRPr="00EA61A4">
        <w:rPr>
          <w:b/>
        </w:rPr>
        <w:t xml:space="preserve">ith enhancement that </w:t>
      </w:r>
      <w:r w:rsidR="00865C0D" w:rsidRPr="00DB66A8">
        <w:rPr>
          <w:b/>
        </w:rPr>
        <w:t>UE does not release its link with the source cell until the UE has established its link with the target cell</w:t>
      </w:r>
      <w:r w:rsidR="00865C0D" w:rsidRPr="004C7D2B">
        <w:rPr>
          <w:b/>
        </w:rPr>
        <w:t xml:space="preserve"> </w:t>
      </w:r>
      <w:r>
        <w:rPr>
          <w:b/>
        </w:rPr>
        <w:t>does not</w:t>
      </w:r>
      <w:r w:rsidRPr="006666C4">
        <w:rPr>
          <w:b/>
        </w:rPr>
        <w:t xml:space="preserve"> meet the 0ms mobility interruption time.</w:t>
      </w:r>
    </w:p>
    <w:p w14:paraId="00BED860" w14:textId="356A3DD1" w:rsidR="00E174CD" w:rsidRPr="00E174CD" w:rsidRDefault="00E174CD" w:rsidP="00710BE9">
      <w:pPr>
        <w:rPr>
          <w:b/>
        </w:rPr>
      </w:pPr>
      <w:r w:rsidRPr="00E174CD">
        <w:rPr>
          <w:b/>
        </w:rPr>
        <w:t xml:space="preserve">Observation 4: From RAN1’s perspective, DC-based HO and </w:t>
      </w:r>
      <w:r w:rsidR="00865C0D">
        <w:rPr>
          <w:b/>
        </w:rPr>
        <w:t xml:space="preserve">enhanced </w:t>
      </w:r>
      <w:r w:rsidRPr="00E174CD">
        <w:rPr>
          <w:b/>
        </w:rPr>
        <w:t>Make-Before-Break HO have the same level of specification impact.</w:t>
      </w:r>
    </w:p>
    <w:p w14:paraId="347F9685" w14:textId="77777777" w:rsidR="007029BB" w:rsidRPr="00331426" w:rsidRDefault="007029BB" w:rsidP="006B1FD5">
      <w:pPr>
        <w:rPr>
          <w:kern w:val="2"/>
          <w:lang w:val="en-GB" w:eastAsia="zh-CN"/>
        </w:rPr>
      </w:pPr>
    </w:p>
    <w:p w14:paraId="1DBE3646" w14:textId="77777777" w:rsidR="001D780E" w:rsidRPr="00CF195E" w:rsidRDefault="001D780E" w:rsidP="00CF195E">
      <w:pPr>
        <w:pStyle w:val="1"/>
        <w:numPr>
          <w:ilvl w:val="0"/>
          <w:numId w:val="0"/>
        </w:numPr>
        <w:ind w:left="432" w:hanging="432"/>
      </w:pPr>
      <w:bookmarkStart w:id="9" w:name="_Ref124589665"/>
      <w:bookmarkStart w:id="10" w:name="_Ref71620620"/>
      <w:bookmarkStart w:id="11" w:name="_Ref124671424"/>
      <w:r w:rsidRPr="00CF195E">
        <w:t>References</w:t>
      </w:r>
    </w:p>
    <w:p w14:paraId="2534E520" w14:textId="77777777" w:rsidR="00B0679C" w:rsidRPr="004461EF" w:rsidRDefault="00B0679C" w:rsidP="00B0679C">
      <w:pPr>
        <w:pStyle w:val="References"/>
        <w:rPr>
          <w:lang w:eastAsia="ja-JP"/>
        </w:rPr>
      </w:pPr>
      <w:bookmarkStart w:id="12" w:name="_Ref1163678"/>
      <w:bookmarkStart w:id="13" w:name="_Ref167612885"/>
      <w:bookmarkStart w:id="14" w:name="_Ref167612671"/>
      <w:bookmarkEnd w:id="9"/>
      <w:bookmarkEnd w:id="10"/>
      <w:bookmarkEnd w:id="11"/>
      <w:r>
        <w:rPr>
          <w:lang w:eastAsia="ja-JP"/>
        </w:rPr>
        <w:t xml:space="preserve">RP-181433, </w:t>
      </w:r>
      <w:r w:rsidRPr="00544016">
        <w:rPr>
          <w:lang w:eastAsia="ja-JP"/>
        </w:rPr>
        <w:t>New WID: NR mobility enhancements</w:t>
      </w:r>
      <w:r w:rsidR="00745BA9">
        <w:rPr>
          <w:lang w:eastAsia="ja-JP"/>
        </w:rPr>
        <w:t>.</w:t>
      </w:r>
      <w:bookmarkEnd w:id="12"/>
      <w:r w:rsidR="00745BA9">
        <w:rPr>
          <w:lang w:eastAsia="ja-JP"/>
        </w:rPr>
        <w:t xml:space="preserve"> </w:t>
      </w:r>
    </w:p>
    <w:p w14:paraId="7946B59B" w14:textId="77777777" w:rsidR="00010432" w:rsidRDefault="00010432" w:rsidP="00234EE3">
      <w:pPr>
        <w:pStyle w:val="References"/>
      </w:pPr>
      <w:bookmarkStart w:id="15" w:name="_Ref1163758"/>
      <w:bookmarkEnd w:id="8"/>
      <w:bookmarkEnd w:id="13"/>
      <w:bookmarkEnd w:id="14"/>
      <w:r>
        <w:t>R</w:t>
      </w:r>
      <w:r w:rsidR="00247AF7">
        <w:t>1</w:t>
      </w:r>
      <w:r>
        <w:t>-19</w:t>
      </w:r>
      <w:r w:rsidR="00247AF7">
        <w:t>03114</w:t>
      </w:r>
      <w:r>
        <w:t xml:space="preserve">, </w:t>
      </w:r>
      <w:r w:rsidR="00EA49BF">
        <w:t>“</w:t>
      </w:r>
      <w:r>
        <w:t>Discussion on scenarios for mobilit</w:t>
      </w:r>
      <w:r w:rsidR="00C43AF5">
        <w:t>y enhancement</w:t>
      </w:r>
      <w:r w:rsidR="00A372A0">
        <w:t>s</w:t>
      </w:r>
      <w:r w:rsidR="00C43AF5">
        <w:t>,</w:t>
      </w:r>
      <w:r w:rsidR="00EA49BF">
        <w:t>”</w:t>
      </w:r>
      <w:r w:rsidR="00C43AF5">
        <w:t xml:space="preserve"> Huawei</w:t>
      </w:r>
      <w:r w:rsidR="00EA49BF">
        <w:t>, HiSilicon, Athens, Greece, Feb 25-Mar 1, 2019.</w:t>
      </w:r>
      <w:bookmarkEnd w:id="15"/>
      <w:r w:rsidR="00EA49BF">
        <w:t xml:space="preserve"> </w:t>
      </w:r>
    </w:p>
    <w:p w14:paraId="28B1ED9D" w14:textId="77777777" w:rsidR="007C3FA8" w:rsidRDefault="00234EE3" w:rsidP="00234EE3">
      <w:pPr>
        <w:pStyle w:val="References"/>
      </w:pPr>
      <w:r>
        <w:t>3GPP TR 38.913 v15.0.0, Study on Scenarios and Requirements for Next Generation Access Technologies</w:t>
      </w:r>
      <w:r w:rsidR="0002142F">
        <w:t xml:space="preserve">. </w:t>
      </w:r>
    </w:p>
    <w:p w14:paraId="4CF56A4A" w14:textId="77777777" w:rsidR="004E2927" w:rsidRDefault="00905E9A" w:rsidP="00234EE3">
      <w:pPr>
        <w:pStyle w:val="References"/>
      </w:pPr>
      <w:r>
        <w:t>3GPP TS 38.213</w:t>
      </w:r>
      <w:r w:rsidR="004E2927">
        <w:t xml:space="preserve"> v15.4.0, Medium Access Control (MAC) protocol specification</w:t>
      </w:r>
      <w:r w:rsidR="0002142F">
        <w:t xml:space="preserve">. </w:t>
      </w:r>
    </w:p>
    <w:p w14:paraId="7DFB72F1" w14:textId="77777777" w:rsidR="00263B59" w:rsidRPr="007029BB" w:rsidRDefault="00263B59" w:rsidP="00234EE3">
      <w:pPr>
        <w:pStyle w:val="References"/>
      </w:pPr>
      <w:bookmarkStart w:id="16" w:name="_Ref1166182"/>
      <w:r>
        <w:t>R2-19</w:t>
      </w:r>
      <w:r w:rsidR="00E77BE7">
        <w:t>00708</w:t>
      </w:r>
      <w:r>
        <w:t xml:space="preserve">, </w:t>
      </w:r>
      <w:r w:rsidR="00E77BE7">
        <w:t>“</w:t>
      </w:r>
      <w:r>
        <w:t>DC for intra-frequency mobility in NR,</w:t>
      </w:r>
      <w:r w:rsidR="00E77BE7">
        <w:t>”</w:t>
      </w:r>
      <w:r>
        <w:t xml:space="preserve"> Huawei, HiSilicon</w:t>
      </w:r>
      <w:r w:rsidR="00E77BE7">
        <w:t>, Athens, Greece, Feb 25-Mar 1, 2019.</w:t>
      </w:r>
      <w:bookmarkEnd w:id="16"/>
    </w:p>
    <w:sectPr w:rsidR="00263B59" w:rsidRPr="007029B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E44873" w14:textId="77777777" w:rsidR="000D2A68" w:rsidRDefault="000D2A68">
      <w:r>
        <w:separator/>
      </w:r>
    </w:p>
  </w:endnote>
  <w:endnote w:type="continuationSeparator" w:id="0">
    <w:p w14:paraId="33225B49" w14:textId="77777777" w:rsidR="000D2A68" w:rsidRDefault="000D2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862254" w14:textId="77777777" w:rsidR="000D2A68" w:rsidRDefault="000D2A68">
      <w:r>
        <w:separator/>
      </w:r>
    </w:p>
  </w:footnote>
  <w:footnote w:type="continuationSeparator" w:id="0">
    <w:p w14:paraId="5E91002B" w14:textId="77777777" w:rsidR="000D2A68" w:rsidRDefault="000D2A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2"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4"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5"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0"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1"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C09356B"/>
    <w:multiLevelType w:val="hybridMultilevel"/>
    <w:tmpl w:val="182CBBA6"/>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3"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5"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6"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7"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4E67722"/>
    <w:multiLevelType w:val="hybridMultilevel"/>
    <w:tmpl w:val="54D84DFA"/>
    <w:lvl w:ilvl="0" w:tplc="2182D504">
      <w:start w:val="1"/>
      <w:numFmt w:val="decimal"/>
      <w:lvlText w:val="[%1]."/>
      <w:lvlJc w:val="left"/>
      <w:pPr>
        <w:ind w:left="704" w:hanging="420"/>
      </w:pPr>
      <w:rPr>
        <w:rFonts w:hint="eastAsia"/>
        <w:sz w:val="21"/>
        <w:szCs w:val="16"/>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8"/>
  </w:num>
  <w:num w:numId="3">
    <w:abstractNumId w:val="17"/>
  </w:num>
  <w:num w:numId="4">
    <w:abstractNumId w:val="15"/>
  </w:num>
  <w:num w:numId="5">
    <w:abstractNumId w:val="10"/>
  </w:num>
  <w:num w:numId="6">
    <w:abstractNumId w:val="29"/>
  </w:num>
  <w:num w:numId="7">
    <w:abstractNumId w:val="16"/>
  </w:num>
  <w:num w:numId="8">
    <w:abstractNumId w:val="23"/>
  </w:num>
  <w:num w:numId="9">
    <w:abstractNumId w:val="27"/>
  </w:num>
  <w:num w:numId="10">
    <w:abstractNumId w:val="28"/>
  </w:num>
  <w:num w:numId="11">
    <w:abstractNumId w:val="32"/>
  </w:num>
  <w:num w:numId="12">
    <w:abstractNumId w:val="14"/>
  </w:num>
  <w:num w:numId="13">
    <w:abstractNumId w:val="25"/>
  </w:num>
  <w:num w:numId="14">
    <w:abstractNumId w:val="24"/>
  </w:num>
  <w:num w:numId="15">
    <w:abstractNumId w:val="20"/>
  </w:num>
  <w:num w:numId="16">
    <w:abstractNumId w:val="12"/>
  </w:num>
  <w:num w:numId="17">
    <w:abstractNumId w:val="19"/>
  </w:num>
  <w:num w:numId="18">
    <w:abstractNumId w:val="13"/>
  </w:num>
  <w:num w:numId="19">
    <w:abstractNumId w:val="11"/>
  </w:num>
  <w:num w:numId="20">
    <w:abstractNumId w:val="26"/>
  </w:num>
  <w:num w:numId="21">
    <w:abstractNumId w:val="21"/>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0"/>
  </w:num>
  <w:num w:numId="32">
    <w:abstractNumId w:val="9"/>
  </w:num>
  <w:num w:numId="3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51C"/>
    <w:rsid w:val="00000D04"/>
    <w:rsid w:val="00000DB2"/>
    <w:rsid w:val="000020F6"/>
    <w:rsid w:val="00002893"/>
    <w:rsid w:val="000033A3"/>
    <w:rsid w:val="00003605"/>
    <w:rsid w:val="00003C56"/>
    <w:rsid w:val="00003EC2"/>
    <w:rsid w:val="000040A9"/>
    <w:rsid w:val="0000458E"/>
    <w:rsid w:val="00004E70"/>
    <w:rsid w:val="000072B6"/>
    <w:rsid w:val="00007813"/>
    <w:rsid w:val="00010432"/>
    <w:rsid w:val="000109E6"/>
    <w:rsid w:val="00011F67"/>
    <w:rsid w:val="00012862"/>
    <w:rsid w:val="000128E6"/>
    <w:rsid w:val="00015EFB"/>
    <w:rsid w:val="000165E2"/>
    <w:rsid w:val="000172BE"/>
    <w:rsid w:val="00017D8A"/>
    <w:rsid w:val="0002142F"/>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5B74"/>
    <w:rsid w:val="0004023E"/>
    <w:rsid w:val="0004024B"/>
    <w:rsid w:val="00040CC7"/>
    <w:rsid w:val="00041C57"/>
    <w:rsid w:val="000434B7"/>
    <w:rsid w:val="000435E4"/>
    <w:rsid w:val="00045FE8"/>
    <w:rsid w:val="00046796"/>
    <w:rsid w:val="000467FD"/>
    <w:rsid w:val="00046AAF"/>
    <w:rsid w:val="00047225"/>
    <w:rsid w:val="00047E60"/>
    <w:rsid w:val="00052AD2"/>
    <w:rsid w:val="000530DF"/>
    <w:rsid w:val="00054E0C"/>
    <w:rsid w:val="0005541D"/>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5E04"/>
    <w:rsid w:val="00086800"/>
    <w:rsid w:val="00087913"/>
    <w:rsid w:val="000902DC"/>
    <w:rsid w:val="000911AE"/>
    <w:rsid w:val="00092947"/>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E2C"/>
    <w:rsid w:val="000B76C5"/>
    <w:rsid w:val="000B7A10"/>
    <w:rsid w:val="000C115D"/>
    <w:rsid w:val="000C1535"/>
    <w:rsid w:val="000C19AE"/>
    <w:rsid w:val="000C252B"/>
    <w:rsid w:val="000C2FBD"/>
    <w:rsid w:val="000C3B0C"/>
    <w:rsid w:val="000C422D"/>
    <w:rsid w:val="000C4E74"/>
    <w:rsid w:val="000C5F91"/>
    <w:rsid w:val="000C6025"/>
    <w:rsid w:val="000D0565"/>
    <w:rsid w:val="000D0E4E"/>
    <w:rsid w:val="000D113C"/>
    <w:rsid w:val="000D12D1"/>
    <w:rsid w:val="000D159A"/>
    <w:rsid w:val="000D1796"/>
    <w:rsid w:val="000D22CC"/>
    <w:rsid w:val="000D2A68"/>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C92"/>
    <w:rsid w:val="000F2EEE"/>
    <w:rsid w:val="000F3697"/>
    <w:rsid w:val="000F7F58"/>
    <w:rsid w:val="00100128"/>
    <w:rsid w:val="00100FF3"/>
    <w:rsid w:val="001026CA"/>
    <w:rsid w:val="001043C2"/>
    <w:rsid w:val="001043E1"/>
    <w:rsid w:val="00104543"/>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BA4"/>
    <w:rsid w:val="00124D84"/>
    <w:rsid w:val="001250DD"/>
    <w:rsid w:val="00125733"/>
    <w:rsid w:val="001263AA"/>
    <w:rsid w:val="0012749C"/>
    <w:rsid w:val="00130779"/>
    <w:rsid w:val="001307A1"/>
    <w:rsid w:val="001321D3"/>
    <w:rsid w:val="00133599"/>
    <w:rsid w:val="00133BF7"/>
    <w:rsid w:val="00134B88"/>
    <w:rsid w:val="00136A23"/>
    <w:rsid w:val="00136B99"/>
    <w:rsid w:val="00137C28"/>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53CA"/>
    <w:rsid w:val="001559FA"/>
    <w:rsid w:val="00156374"/>
    <w:rsid w:val="001577D8"/>
    <w:rsid w:val="00157FC3"/>
    <w:rsid w:val="00160739"/>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88A"/>
    <w:rsid w:val="00187252"/>
    <w:rsid w:val="00191C91"/>
    <w:rsid w:val="00192DD9"/>
    <w:rsid w:val="00194339"/>
    <w:rsid w:val="00194848"/>
    <w:rsid w:val="001958EA"/>
    <w:rsid w:val="00195E0E"/>
    <w:rsid w:val="001A180D"/>
    <w:rsid w:val="001A1BAC"/>
    <w:rsid w:val="001A23CE"/>
    <w:rsid w:val="001A2C89"/>
    <w:rsid w:val="001A673E"/>
    <w:rsid w:val="001A7763"/>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20894"/>
    <w:rsid w:val="00224952"/>
    <w:rsid w:val="00224DD2"/>
    <w:rsid w:val="00225A6A"/>
    <w:rsid w:val="00225AC7"/>
    <w:rsid w:val="00225ACC"/>
    <w:rsid w:val="00231C25"/>
    <w:rsid w:val="00231C6F"/>
    <w:rsid w:val="00232A90"/>
    <w:rsid w:val="00234151"/>
    <w:rsid w:val="00234EE3"/>
    <w:rsid w:val="00234F8C"/>
    <w:rsid w:val="00235542"/>
    <w:rsid w:val="002369B0"/>
    <w:rsid w:val="00236AD8"/>
    <w:rsid w:val="002401F5"/>
    <w:rsid w:val="00240E54"/>
    <w:rsid w:val="002451C5"/>
    <w:rsid w:val="00245F1F"/>
    <w:rsid w:val="0024663B"/>
    <w:rsid w:val="00247103"/>
    <w:rsid w:val="00247AF7"/>
    <w:rsid w:val="00250067"/>
    <w:rsid w:val="002516DE"/>
    <w:rsid w:val="002518C7"/>
    <w:rsid w:val="00251F81"/>
    <w:rsid w:val="00252BE0"/>
    <w:rsid w:val="00253588"/>
    <w:rsid w:val="002546F4"/>
    <w:rsid w:val="002551D0"/>
    <w:rsid w:val="00255374"/>
    <w:rsid w:val="00257BF4"/>
    <w:rsid w:val="00260003"/>
    <w:rsid w:val="0026035D"/>
    <w:rsid w:val="002606D6"/>
    <w:rsid w:val="00261C98"/>
    <w:rsid w:val="0026248E"/>
    <w:rsid w:val="00262914"/>
    <w:rsid w:val="00263B59"/>
    <w:rsid w:val="002647BF"/>
    <w:rsid w:val="002647D5"/>
    <w:rsid w:val="00265032"/>
    <w:rsid w:val="002651FB"/>
    <w:rsid w:val="0026538C"/>
    <w:rsid w:val="00265717"/>
    <w:rsid w:val="00265781"/>
    <w:rsid w:val="00266B13"/>
    <w:rsid w:val="00270728"/>
    <w:rsid w:val="00270D42"/>
    <w:rsid w:val="0027195D"/>
    <w:rsid w:val="00272B03"/>
    <w:rsid w:val="002733E2"/>
    <w:rsid w:val="002750B1"/>
    <w:rsid w:val="00276A35"/>
    <w:rsid w:val="00277835"/>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439"/>
    <w:rsid w:val="002D11B7"/>
    <w:rsid w:val="002D3BB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4361"/>
    <w:rsid w:val="002F5DD6"/>
    <w:rsid w:val="002F5FEA"/>
    <w:rsid w:val="002F63E7"/>
    <w:rsid w:val="002F7BE3"/>
    <w:rsid w:val="002F7E6A"/>
    <w:rsid w:val="00300165"/>
    <w:rsid w:val="003004BE"/>
    <w:rsid w:val="003010CF"/>
    <w:rsid w:val="0030168F"/>
    <w:rsid w:val="00303440"/>
    <w:rsid w:val="00304D9B"/>
    <w:rsid w:val="00305FF9"/>
    <w:rsid w:val="00306E6B"/>
    <w:rsid w:val="003100C8"/>
    <w:rsid w:val="00311161"/>
    <w:rsid w:val="00312400"/>
    <w:rsid w:val="00312739"/>
    <w:rsid w:val="00312D10"/>
    <w:rsid w:val="003178DA"/>
    <w:rsid w:val="00317DB8"/>
    <w:rsid w:val="00320618"/>
    <w:rsid w:val="0032100B"/>
    <w:rsid w:val="00321BD7"/>
    <w:rsid w:val="0032260F"/>
    <w:rsid w:val="003228DA"/>
    <w:rsid w:val="00323D6B"/>
    <w:rsid w:val="00326957"/>
    <w:rsid w:val="00326AE2"/>
    <w:rsid w:val="00331426"/>
    <w:rsid w:val="0033171D"/>
    <w:rsid w:val="00331FC3"/>
    <w:rsid w:val="003336B3"/>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7834"/>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2EF7"/>
    <w:rsid w:val="003C5E6B"/>
    <w:rsid w:val="003C7AD7"/>
    <w:rsid w:val="003D0FC3"/>
    <w:rsid w:val="003D2C1D"/>
    <w:rsid w:val="003D2C34"/>
    <w:rsid w:val="003D3DDD"/>
    <w:rsid w:val="003D5CBF"/>
    <w:rsid w:val="003D66D2"/>
    <w:rsid w:val="003E07AE"/>
    <w:rsid w:val="003E14FC"/>
    <w:rsid w:val="003E22C1"/>
    <w:rsid w:val="003E2976"/>
    <w:rsid w:val="003E2C54"/>
    <w:rsid w:val="003E4858"/>
    <w:rsid w:val="003E6316"/>
    <w:rsid w:val="003E6884"/>
    <w:rsid w:val="003E6AC5"/>
    <w:rsid w:val="003F0096"/>
    <w:rsid w:val="003F0850"/>
    <w:rsid w:val="003F0D12"/>
    <w:rsid w:val="003F160C"/>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10211"/>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49E6"/>
    <w:rsid w:val="004B4C87"/>
    <w:rsid w:val="004B4D69"/>
    <w:rsid w:val="004C01A8"/>
    <w:rsid w:val="004C1840"/>
    <w:rsid w:val="004C24C9"/>
    <w:rsid w:val="004C31B6"/>
    <w:rsid w:val="004C5319"/>
    <w:rsid w:val="004C621F"/>
    <w:rsid w:val="004C7948"/>
    <w:rsid w:val="004C7BB8"/>
    <w:rsid w:val="004C7C60"/>
    <w:rsid w:val="004C7D2B"/>
    <w:rsid w:val="004D0DFE"/>
    <w:rsid w:val="004D1D91"/>
    <w:rsid w:val="004D22C3"/>
    <w:rsid w:val="004D6F4D"/>
    <w:rsid w:val="004D6F95"/>
    <w:rsid w:val="004D72FE"/>
    <w:rsid w:val="004D7E91"/>
    <w:rsid w:val="004E003A"/>
    <w:rsid w:val="004E0768"/>
    <w:rsid w:val="004E1A31"/>
    <w:rsid w:val="004E2927"/>
    <w:rsid w:val="004E2DE0"/>
    <w:rsid w:val="004E4060"/>
    <w:rsid w:val="004E409A"/>
    <w:rsid w:val="004F0FB9"/>
    <w:rsid w:val="004F2F7E"/>
    <w:rsid w:val="004F32B5"/>
    <w:rsid w:val="004F407E"/>
    <w:rsid w:val="004F4BFD"/>
    <w:rsid w:val="004F5479"/>
    <w:rsid w:val="004F7528"/>
    <w:rsid w:val="004F7BCA"/>
    <w:rsid w:val="004F7D89"/>
    <w:rsid w:val="00501981"/>
    <w:rsid w:val="005019BF"/>
    <w:rsid w:val="00501A85"/>
    <w:rsid w:val="00501BB3"/>
    <w:rsid w:val="005021DD"/>
    <w:rsid w:val="005026CA"/>
    <w:rsid w:val="00502B72"/>
    <w:rsid w:val="00504BC1"/>
    <w:rsid w:val="00505134"/>
    <w:rsid w:val="00505C04"/>
    <w:rsid w:val="00511F15"/>
    <w:rsid w:val="0051318C"/>
    <w:rsid w:val="005142CD"/>
    <w:rsid w:val="005143C9"/>
    <w:rsid w:val="005157A9"/>
    <w:rsid w:val="005173A7"/>
    <w:rsid w:val="005177E1"/>
    <w:rsid w:val="00520C0A"/>
    <w:rsid w:val="005218B6"/>
    <w:rsid w:val="00522589"/>
    <w:rsid w:val="00524545"/>
    <w:rsid w:val="005255BF"/>
    <w:rsid w:val="005257DE"/>
    <w:rsid w:val="00527200"/>
    <w:rsid w:val="00527F0D"/>
    <w:rsid w:val="00530157"/>
    <w:rsid w:val="00530A5E"/>
    <w:rsid w:val="00531EBE"/>
    <w:rsid w:val="005322AB"/>
    <w:rsid w:val="00532F8B"/>
    <w:rsid w:val="00533737"/>
    <w:rsid w:val="00535B79"/>
    <w:rsid w:val="00535D7C"/>
    <w:rsid w:val="00536579"/>
    <w:rsid w:val="00536C1E"/>
    <w:rsid w:val="0054343A"/>
    <w:rsid w:val="00543974"/>
    <w:rsid w:val="00543EBF"/>
    <w:rsid w:val="00544092"/>
    <w:rsid w:val="00544184"/>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1423"/>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42C"/>
    <w:rsid w:val="00587FC0"/>
    <w:rsid w:val="005906AD"/>
    <w:rsid w:val="00590DA6"/>
    <w:rsid w:val="0059101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53F9"/>
    <w:rsid w:val="005E6358"/>
    <w:rsid w:val="005E775D"/>
    <w:rsid w:val="005F0A43"/>
    <w:rsid w:val="005F27BF"/>
    <w:rsid w:val="005F4171"/>
    <w:rsid w:val="005F46D6"/>
    <w:rsid w:val="005F4DD6"/>
    <w:rsid w:val="005F50D8"/>
    <w:rsid w:val="005F53A1"/>
    <w:rsid w:val="005F6B77"/>
    <w:rsid w:val="005F7487"/>
    <w:rsid w:val="006002C7"/>
    <w:rsid w:val="00600F95"/>
    <w:rsid w:val="00601839"/>
    <w:rsid w:val="00602192"/>
    <w:rsid w:val="00602759"/>
    <w:rsid w:val="0060277A"/>
    <w:rsid w:val="00602B7C"/>
    <w:rsid w:val="00603312"/>
    <w:rsid w:val="00604DC7"/>
    <w:rsid w:val="00604E47"/>
    <w:rsid w:val="00605441"/>
    <w:rsid w:val="00606970"/>
    <w:rsid w:val="00606A20"/>
    <w:rsid w:val="006072C6"/>
    <w:rsid w:val="006074B5"/>
    <w:rsid w:val="00607A2E"/>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43667"/>
    <w:rsid w:val="00646478"/>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66C4"/>
    <w:rsid w:val="0066732C"/>
    <w:rsid w:val="006679F5"/>
    <w:rsid w:val="00667B77"/>
    <w:rsid w:val="006716DA"/>
    <w:rsid w:val="006728ED"/>
    <w:rsid w:val="006732B1"/>
    <w:rsid w:val="0067446F"/>
    <w:rsid w:val="006746A4"/>
    <w:rsid w:val="00675558"/>
    <w:rsid w:val="00675611"/>
    <w:rsid w:val="00675A60"/>
    <w:rsid w:val="00676505"/>
    <w:rsid w:val="0067697E"/>
    <w:rsid w:val="00677443"/>
    <w:rsid w:val="0067769A"/>
    <w:rsid w:val="006806A3"/>
    <w:rsid w:val="006806A6"/>
    <w:rsid w:val="00681211"/>
    <w:rsid w:val="00681B36"/>
    <w:rsid w:val="00682E14"/>
    <w:rsid w:val="0068436C"/>
    <w:rsid w:val="0068545E"/>
    <w:rsid w:val="00685FD4"/>
    <w:rsid w:val="00686612"/>
    <w:rsid w:val="0068661E"/>
    <w:rsid w:val="00686E9C"/>
    <w:rsid w:val="00690A49"/>
    <w:rsid w:val="00690BB6"/>
    <w:rsid w:val="00691B30"/>
    <w:rsid w:val="00693E1F"/>
    <w:rsid w:val="00693ECB"/>
    <w:rsid w:val="00694797"/>
    <w:rsid w:val="00695887"/>
    <w:rsid w:val="00697733"/>
    <w:rsid w:val="006A254E"/>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50EB"/>
    <w:rsid w:val="006D62BC"/>
    <w:rsid w:val="006D6450"/>
    <w:rsid w:val="006D6939"/>
    <w:rsid w:val="006D7EB0"/>
    <w:rsid w:val="006E0138"/>
    <w:rsid w:val="006E0BB0"/>
    <w:rsid w:val="006E12C3"/>
    <w:rsid w:val="006E2529"/>
    <w:rsid w:val="006E2F1B"/>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29BB"/>
    <w:rsid w:val="00702A95"/>
    <w:rsid w:val="007034AA"/>
    <w:rsid w:val="00703C9D"/>
    <w:rsid w:val="00703EF9"/>
    <w:rsid w:val="0070490C"/>
    <w:rsid w:val="00705C38"/>
    <w:rsid w:val="00706465"/>
    <w:rsid w:val="0070695A"/>
    <w:rsid w:val="0070782D"/>
    <w:rsid w:val="007109C2"/>
    <w:rsid w:val="00710BE9"/>
    <w:rsid w:val="00711340"/>
    <w:rsid w:val="00712C42"/>
    <w:rsid w:val="00713DE4"/>
    <w:rsid w:val="0071460B"/>
    <w:rsid w:val="00714C47"/>
    <w:rsid w:val="00716462"/>
    <w:rsid w:val="00721084"/>
    <w:rsid w:val="00721262"/>
    <w:rsid w:val="00721D9B"/>
    <w:rsid w:val="00721E2D"/>
    <w:rsid w:val="00722121"/>
    <w:rsid w:val="007224B9"/>
    <w:rsid w:val="00722F94"/>
    <w:rsid w:val="00723AA7"/>
    <w:rsid w:val="0072432E"/>
    <w:rsid w:val="00726036"/>
    <w:rsid w:val="00726279"/>
    <w:rsid w:val="00726A9B"/>
    <w:rsid w:val="00727530"/>
    <w:rsid w:val="00731018"/>
    <w:rsid w:val="00731E7C"/>
    <w:rsid w:val="007329EF"/>
    <w:rsid w:val="0073327A"/>
    <w:rsid w:val="00733EAC"/>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5BA9"/>
    <w:rsid w:val="0074638D"/>
    <w:rsid w:val="00746484"/>
    <w:rsid w:val="0074704F"/>
    <w:rsid w:val="00747F48"/>
    <w:rsid w:val="00747F4C"/>
    <w:rsid w:val="00750BA4"/>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2F8A"/>
    <w:rsid w:val="00772FC1"/>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4F17"/>
    <w:rsid w:val="00785900"/>
    <w:rsid w:val="00786958"/>
    <w:rsid w:val="00786E71"/>
    <w:rsid w:val="0079162F"/>
    <w:rsid w:val="00794924"/>
    <w:rsid w:val="007A0BC2"/>
    <w:rsid w:val="007A1C2E"/>
    <w:rsid w:val="007A1F44"/>
    <w:rsid w:val="007A23FF"/>
    <w:rsid w:val="007A295B"/>
    <w:rsid w:val="007A3424"/>
    <w:rsid w:val="007A35EF"/>
    <w:rsid w:val="007A43A2"/>
    <w:rsid w:val="007A4D04"/>
    <w:rsid w:val="007A7A96"/>
    <w:rsid w:val="007B03AF"/>
    <w:rsid w:val="007B1215"/>
    <w:rsid w:val="007B1543"/>
    <w:rsid w:val="007B1AC0"/>
    <w:rsid w:val="007B270A"/>
    <w:rsid w:val="007B2D3B"/>
    <w:rsid w:val="007B52CD"/>
    <w:rsid w:val="007B7DC1"/>
    <w:rsid w:val="007B7EDB"/>
    <w:rsid w:val="007C19AD"/>
    <w:rsid w:val="007C3598"/>
    <w:rsid w:val="007C3814"/>
    <w:rsid w:val="007C3FA8"/>
    <w:rsid w:val="007C68DA"/>
    <w:rsid w:val="007C6F32"/>
    <w:rsid w:val="007D10E7"/>
    <w:rsid w:val="007D229A"/>
    <w:rsid w:val="007D2F44"/>
    <w:rsid w:val="007D2F4D"/>
    <w:rsid w:val="007D4178"/>
    <w:rsid w:val="007D4D33"/>
    <w:rsid w:val="007D7175"/>
    <w:rsid w:val="007E1369"/>
    <w:rsid w:val="007E1A1B"/>
    <w:rsid w:val="007E1A88"/>
    <w:rsid w:val="007E1B13"/>
    <w:rsid w:val="007E4B38"/>
    <w:rsid w:val="007E4C88"/>
    <w:rsid w:val="007E585E"/>
    <w:rsid w:val="007E7DDF"/>
    <w:rsid w:val="007F11C8"/>
    <w:rsid w:val="007F1CFB"/>
    <w:rsid w:val="007F220B"/>
    <w:rsid w:val="007F27DD"/>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581D"/>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4250"/>
    <w:rsid w:val="008359E0"/>
    <w:rsid w:val="00835D57"/>
    <w:rsid w:val="008376F6"/>
    <w:rsid w:val="00837D5B"/>
    <w:rsid w:val="00840607"/>
    <w:rsid w:val="00841CD2"/>
    <w:rsid w:val="00842B77"/>
    <w:rsid w:val="0084309F"/>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5C0D"/>
    <w:rsid w:val="00866EB3"/>
    <w:rsid w:val="0086701A"/>
    <w:rsid w:val="00867BD2"/>
    <w:rsid w:val="00870714"/>
    <w:rsid w:val="00870869"/>
    <w:rsid w:val="008712FD"/>
    <w:rsid w:val="008716A1"/>
    <w:rsid w:val="008721BD"/>
    <w:rsid w:val="00872D3F"/>
    <w:rsid w:val="008733E4"/>
    <w:rsid w:val="00873F15"/>
    <w:rsid w:val="00874096"/>
    <w:rsid w:val="008756A4"/>
    <w:rsid w:val="00875F73"/>
    <w:rsid w:val="00880F30"/>
    <w:rsid w:val="00881568"/>
    <w:rsid w:val="008833E8"/>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1FA"/>
    <w:rsid w:val="008B1E53"/>
    <w:rsid w:val="008B1E5B"/>
    <w:rsid w:val="008B389D"/>
    <w:rsid w:val="008B3C5C"/>
    <w:rsid w:val="008B5299"/>
    <w:rsid w:val="008B5A5F"/>
    <w:rsid w:val="008B5AB0"/>
    <w:rsid w:val="008B6054"/>
    <w:rsid w:val="008B7B08"/>
    <w:rsid w:val="008C071A"/>
    <w:rsid w:val="008C13F0"/>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4C2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5E9A"/>
    <w:rsid w:val="0090696D"/>
    <w:rsid w:val="00906CD6"/>
    <w:rsid w:val="00906E4D"/>
    <w:rsid w:val="00906F31"/>
    <w:rsid w:val="009078B3"/>
    <w:rsid w:val="00907A77"/>
    <w:rsid w:val="00907E00"/>
    <w:rsid w:val="0091088D"/>
    <w:rsid w:val="00910FC9"/>
    <w:rsid w:val="0091291A"/>
    <w:rsid w:val="00913612"/>
    <w:rsid w:val="0091366A"/>
    <w:rsid w:val="00913824"/>
    <w:rsid w:val="00914872"/>
    <w:rsid w:val="00915757"/>
    <w:rsid w:val="009159B3"/>
    <w:rsid w:val="00916181"/>
    <w:rsid w:val="009204C5"/>
    <w:rsid w:val="009215AB"/>
    <w:rsid w:val="0092180D"/>
    <w:rsid w:val="009232C9"/>
    <w:rsid w:val="00923608"/>
    <w:rsid w:val="009238E5"/>
    <w:rsid w:val="00923F12"/>
    <w:rsid w:val="00924FF8"/>
    <w:rsid w:val="00925BA8"/>
    <w:rsid w:val="00926DA7"/>
    <w:rsid w:val="00927F8B"/>
    <w:rsid w:val="0093094D"/>
    <w:rsid w:val="009317D1"/>
    <w:rsid w:val="009328C7"/>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4516"/>
    <w:rsid w:val="00955C0A"/>
    <w:rsid w:val="00955C4F"/>
    <w:rsid w:val="009657F1"/>
    <w:rsid w:val="0096625D"/>
    <w:rsid w:val="009705B0"/>
    <w:rsid w:val="009709F8"/>
    <w:rsid w:val="00970B7D"/>
    <w:rsid w:val="00972929"/>
    <w:rsid w:val="00972F91"/>
    <w:rsid w:val="009733BB"/>
    <w:rsid w:val="00973827"/>
    <w:rsid w:val="009742D3"/>
    <w:rsid w:val="00977BA7"/>
    <w:rsid w:val="00980517"/>
    <w:rsid w:val="0098194F"/>
    <w:rsid w:val="009826C8"/>
    <w:rsid w:val="009836E4"/>
    <w:rsid w:val="0098412F"/>
    <w:rsid w:val="00985F28"/>
    <w:rsid w:val="00986149"/>
    <w:rsid w:val="00986176"/>
    <w:rsid w:val="00986E7F"/>
    <w:rsid w:val="009874BE"/>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EF9"/>
    <w:rsid w:val="009B26AC"/>
    <w:rsid w:val="009B37E2"/>
    <w:rsid w:val="009B4519"/>
    <w:rsid w:val="009B506B"/>
    <w:rsid w:val="009B57EF"/>
    <w:rsid w:val="009B5B85"/>
    <w:rsid w:val="009B7204"/>
    <w:rsid w:val="009C0074"/>
    <w:rsid w:val="009C0564"/>
    <w:rsid w:val="009C1189"/>
    <w:rsid w:val="009C2685"/>
    <w:rsid w:val="009C39B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9F5C5D"/>
    <w:rsid w:val="00A005B0"/>
    <w:rsid w:val="00A01F17"/>
    <w:rsid w:val="00A022A5"/>
    <w:rsid w:val="00A03A22"/>
    <w:rsid w:val="00A04634"/>
    <w:rsid w:val="00A06119"/>
    <w:rsid w:val="00A07A48"/>
    <w:rsid w:val="00A108EE"/>
    <w:rsid w:val="00A10BB8"/>
    <w:rsid w:val="00A1200D"/>
    <w:rsid w:val="00A137E4"/>
    <w:rsid w:val="00A14813"/>
    <w:rsid w:val="00A1566A"/>
    <w:rsid w:val="00A16007"/>
    <w:rsid w:val="00A165BF"/>
    <w:rsid w:val="00A172E8"/>
    <w:rsid w:val="00A179FF"/>
    <w:rsid w:val="00A21A36"/>
    <w:rsid w:val="00A22CDB"/>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372A0"/>
    <w:rsid w:val="00A4376F"/>
    <w:rsid w:val="00A4549F"/>
    <w:rsid w:val="00A45B9B"/>
    <w:rsid w:val="00A462FE"/>
    <w:rsid w:val="00A501C9"/>
    <w:rsid w:val="00A50506"/>
    <w:rsid w:val="00A53F55"/>
    <w:rsid w:val="00A5417B"/>
    <w:rsid w:val="00A54599"/>
    <w:rsid w:val="00A54B82"/>
    <w:rsid w:val="00A569D4"/>
    <w:rsid w:val="00A56B6E"/>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298B"/>
    <w:rsid w:val="00A72EBA"/>
    <w:rsid w:val="00A7333A"/>
    <w:rsid w:val="00A73D0D"/>
    <w:rsid w:val="00A74A92"/>
    <w:rsid w:val="00A75CC1"/>
    <w:rsid w:val="00A75E88"/>
    <w:rsid w:val="00A8056E"/>
    <w:rsid w:val="00A8094B"/>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0679C"/>
    <w:rsid w:val="00B10558"/>
    <w:rsid w:val="00B156A9"/>
    <w:rsid w:val="00B15F83"/>
    <w:rsid w:val="00B160FF"/>
    <w:rsid w:val="00B16322"/>
    <w:rsid w:val="00B1662E"/>
    <w:rsid w:val="00B16A6F"/>
    <w:rsid w:val="00B210B7"/>
    <w:rsid w:val="00B22C0D"/>
    <w:rsid w:val="00B22D21"/>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51542"/>
    <w:rsid w:val="00B51D1D"/>
    <w:rsid w:val="00B5310E"/>
    <w:rsid w:val="00B54ACC"/>
    <w:rsid w:val="00B54DCB"/>
    <w:rsid w:val="00B551B1"/>
    <w:rsid w:val="00B55AC2"/>
    <w:rsid w:val="00B560C9"/>
    <w:rsid w:val="00B56533"/>
    <w:rsid w:val="00B56CFC"/>
    <w:rsid w:val="00B57777"/>
    <w:rsid w:val="00B57A17"/>
    <w:rsid w:val="00B61BE2"/>
    <w:rsid w:val="00B6266F"/>
    <w:rsid w:val="00B62E0B"/>
    <w:rsid w:val="00B63C32"/>
    <w:rsid w:val="00B64434"/>
    <w:rsid w:val="00B70CB4"/>
    <w:rsid w:val="00B70E35"/>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2648"/>
    <w:rsid w:val="00B93204"/>
    <w:rsid w:val="00B94E17"/>
    <w:rsid w:val="00B9524D"/>
    <w:rsid w:val="00B957FE"/>
    <w:rsid w:val="00B95F02"/>
    <w:rsid w:val="00B96BEF"/>
    <w:rsid w:val="00B96FC0"/>
    <w:rsid w:val="00B97260"/>
    <w:rsid w:val="00B97A69"/>
    <w:rsid w:val="00BA0260"/>
    <w:rsid w:val="00BA0632"/>
    <w:rsid w:val="00BA0AAA"/>
    <w:rsid w:val="00BA0DFB"/>
    <w:rsid w:val="00BA2FEF"/>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589A"/>
    <w:rsid w:val="00BC6FD6"/>
    <w:rsid w:val="00BD008E"/>
    <w:rsid w:val="00BD0560"/>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371"/>
    <w:rsid w:val="00BF19CE"/>
    <w:rsid w:val="00BF1E5F"/>
    <w:rsid w:val="00BF2B6F"/>
    <w:rsid w:val="00BF351A"/>
    <w:rsid w:val="00BF3914"/>
    <w:rsid w:val="00BF49B1"/>
    <w:rsid w:val="00BF5552"/>
    <w:rsid w:val="00BF73F2"/>
    <w:rsid w:val="00C01671"/>
    <w:rsid w:val="00C01C4C"/>
    <w:rsid w:val="00C02419"/>
    <w:rsid w:val="00C02766"/>
    <w:rsid w:val="00C03EE8"/>
    <w:rsid w:val="00C05BEC"/>
    <w:rsid w:val="00C06E7D"/>
    <w:rsid w:val="00C10AA8"/>
    <w:rsid w:val="00C1112B"/>
    <w:rsid w:val="00C11A88"/>
    <w:rsid w:val="00C12012"/>
    <w:rsid w:val="00C12874"/>
    <w:rsid w:val="00C12BC1"/>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3400F"/>
    <w:rsid w:val="00C3429D"/>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3AF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072E"/>
    <w:rsid w:val="00C62CD5"/>
    <w:rsid w:val="00C636E6"/>
    <w:rsid w:val="00C639D6"/>
    <w:rsid w:val="00C63F8E"/>
    <w:rsid w:val="00C647FB"/>
    <w:rsid w:val="00C654E0"/>
    <w:rsid w:val="00C67EAB"/>
    <w:rsid w:val="00C70DFF"/>
    <w:rsid w:val="00C75A6B"/>
    <w:rsid w:val="00C763B6"/>
    <w:rsid w:val="00C7644F"/>
    <w:rsid w:val="00C768F6"/>
    <w:rsid w:val="00C77FAD"/>
    <w:rsid w:val="00C80073"/>
    <w:rsid w:val="00C80DEA"/>
    <w:rsid w:val="00C832DC"/>
    <w:rsid w:val="00C8377F"/>
    <w:rsid w:val="00C8646D"/>
    <w:rsid w:val="00C91DE3"/>
    <w:rsid w:val="00C92C7F"/>
    <w:rsid w:val="00C9369D"/>
    <w:rsid w:val="00C944FA"/>
    <w:rsid w:val="00C95854"/>
    <w:rsid w:val="00C95EFF"/>
    <w:rsid w:val="00C96E6F"/>
    <w:rsid w:val="00C97195"/>
    <w:rsid w:val="00C97872"/>
    <w:rsid w:val="00CA0532"/>
    <w:rsid w:val="00CA2241"/>
    <w:rsid w:val="00CA3CDD"/>
    <w:rsid w:val="00CA403B"/>
    <w:rsid w:val="00CA505A"/>
    <w:rsid w:val="00CA59DD"/>
    <w:rsid w:val="00CB008E"/>
    <w:rsid w:val="00CB01FA"/>
    <w:rsid w:val="00CB0737"/>
    <w:rsid w:val="00CB097A"/>
    <w:rsid w:val="00CB26EC"/>
    <w:rsid w:val="00CB2D2A"/>
    <w:rsid w:val="00CB5B1E"/>
    <w:rsid w:val="00CB6DDE"/>
    <w:rsid w:val="00CB787A"/>
    <w:rsid w:val="00CC0C4A"/>
    <w:rsid w:val="00CC17F0"/>
    <w:rsid w:val="00CC1853"/>
    <w:rsid w:val="00CC1FAE"/>
    <w:rsid w:val="00CC3A23"/>
    <w:rsid w:val="00CC737C"/>
    <w:rsid w:val="00CD087D"/>
    <w:rsid w:val="00CD0F5D"/>
    <w:rsid w:val="00CD1C0B"/>
    <w:rsid w:val="00CD239A"/>
    <w:rsid w:val="00CD2C18"/>
    <w:rsid w:val="00CD5512"/>
    <w:rsid w:val="00CD6E3D"/>
    <w:rsid w:val="00CD71AB"/>
    <w:rsid w:val="00CE0109"/>
    <w:rsid w:val="00CE1FC5"/>
    <w:rsid w:val="00CE46E5"/>
    <w:rsid w:val="00CE485A"/>
    <w:rsid w:val="00CE5279"/>
    <w:rsid w:val="00CE5A78"/>
    <w:rsid w:val="00CE63D5"/>
    <w:rsid w:val="00CE78AE"/>
    <w:rsid w:val="00CE7E62"/>
    <w:rsid w:val="00CF195E"/>
    <w:rsid w:val="00CF19DA"/>
    <w:rsid w:val="00CF1C7F"/>
    <w:rsid w:val="00CF1CC0"/>
    <w:rsid w:val="00CF24F8"/>
    <w:rsid w:val="00CF2653"/>
    <w:rsid w:val="00CF3B38"/>
    <w:rsid w:val="00CF4247"/>
    <w:rsid w:val="00CF5263"/>
    <w:rsid w:val="00CF60B5"/>
    <w:rsid w:val="00D004FA"/>
    <w:rsid w:val="00D01B21"/>
    <w:rsid w:val="00D01E2F"/>
    <w:rsid w:val="00D03102"/>
    <w:rsid w:val="00D03727"/>
    <w:rsid w:val="00D0378A"/>
    <w:rsid w:val="00D05132"/>
    <w:rsid w:val="00D055AF"/>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62C"/>
    <w:rsid w:val="00D21A3C"/>
    <w:rsid w:val="00D233F1"/>
    <w:rsid w:val="00D23C2C"/>
    <w:rsid w:val="00D256F8"/>
    <w:rsid w:val="00D2614B"/>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6294"/>
    <w:rsid w:val="00D464E7"/>
    <w:rsid w:val="00D47DD0"/>
    <w:rsid w:val="00D50183"/>
    <w:rsid w:val="00D51D12"/>
    <w:rsid w:val="00D5362B"/>
    <w:rsid w:val="00D54683"/>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421"/>
    <w:rsid w:val="00D83AE9"/>
    <w:rsid w:val="00D857B8"/>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B6C15"/>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E0E59"/>
    <w:rsid w:val="00DE0F6C"/>
    <w:rsid w:val="00DE219B"/>
    <w:rsid w:val="00DE52E3"/>
    <w:rsid w:val="00DE658C"/>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728F"/>
    <w:rsid w:val="00E0755C"/>
    <w:rsid w:val="00E14A7E"/>
    <w:rsid w:val="00E151E1"/>
    <w:rsid w:val="00E174CD"/>
    <w:rsid w:val="00E17619"/>
    <w:rsid w:val="00E17805"/>
    <w:rsid w:val="00E20C5B"/>
    <w:rsid w:val="00E20F79"/>
    <w:rsid w:val="00E21278"/>
    <w:rsid w:val="00E22CCD"/>
    <w:rsid w:val="00E23A11"/>
    <w:rsid w:val="00E23FB7"/>
    <w:rsid w:val="00E24A27"/>
    <w:rsid w:val="00E25F89"/>
    <w:rsid w:val="00E32B39"/>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77BE7"/>
    <w:rsid w:val="00E80514"/>
    <w:rsid w:val="00E80E5B"/>
    <w:rsid w:val="00E816C5"/>
    <w:rsid w:val="00E81CE0"/>
    <w:rsid w:val="00E81E7C"/>
    <w:rsid w:val="00E8224D"/>
    <w:rsid w:val="00E8519F"/>
    <w:rsid w:val="00E85CC3"/>
    <w:rsid w:val="00E8644A"/>
    <w:rsid w:val="00E90279"/>
    <w:rsid w:val="00E90635"/>
    <w:rsid w:val="00E909A1"/>
    <w:rsid w:val="00E90BFF"/>
    <w:rsid w:val="00E91A2B"/>
    <w:rsid w:val="00E91F04"/>
    <w:rsid w:val="00E91F35"/>
    <w:rsid w:val="00E95BA6"/>
    <w:rsid w:val="00E97648"/>
    <w:rsid w:val="00EA0E4A"/>
    <w:rsid w:val="00EA1A54"/>
    <w:rsid w:val="00EA2226"/>
    <w:rsid w:val="00EA26FC"/>
    <w:rsid w:val="00EA3B5A"/>
    <w:rsid w:val="00EA410E"/>
    <w:rsid w:val="00EA49BF"/>
    <w:rsid w:val="00EA4FD1"/>
    <w:rsid w:val="00EA53C2"/>
    <w:rsid w:val="00EA5695"/>
    <w:rsid w:val="00EA5B0A"/>
    <w:rsid w:val="00EA61A4"/>
    <w:rsid w:val="00EA65AD"/>
    <w:rsid w:val="00EA7FCF"/>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847"/>
    <w:rsid w:val="00EC7DB6"/>
    <w:rsid w:val="00ED162F"/>
    <w:rsid w:val="00ED2E52"/>
    <w:rsid w:val="00ED3024"/>
    <w:rsid w:val="00ED38D0"/>
    <w:rsid w:val="00ED4351"/>
    <w:rsid w:val="00ED5FE4"/>
    <w:rsid w:val="00ED71C5"/>
    <w:rsid w:val="00EE16FA"/>
    <w:rsid w:val="00EE222B"/>
    <w:rsid w:val="00EE3C42"/>
    <w:rsid w:val="00EE3D4F"/>
    <w:rsid w:val="00EE50BA"/>
    <w:rsid w:val="00EE534D"/>
    <w:rsid w:val="00EE5560"/>
    <w:rsid w:val="00EE6F1E"/>
    <w:rsid w:val="00EF0348"/>
    <w:rsid w:val="00EF1F9C"/>
    <w:rsid w:val="00EF4366"/>
    <w:rsid w:val="00EF4CD6"/>
    <w:rsid w:val="00EF55A0"/>
    <w:rsid w:val="00EF63D1"/>
    <w:rsid w:val="00EF6513"/>
    <w:rsid w:val="00EF6683"/>
    <w:rsid w:val="00EF7002"/>
    <w:rsid w:val="00EF769B"/>
    <w:rsid w:val="00F00FC4"/>
    <w:rsid w:val="00F027BA"/>
    <w:rsid w:val="00F03E79"/>
    <w:rsid w:val="00F0628D"/>
    <w:rsid w:val="00F06651"/>
    <w:rsid w:val="00F07DE6"/>
    <w:rsid w:val="00F1056C"/>
    <w:rsid w:val="00F107F1"/>
    <w:rsid w:val="00F10FC1"/>
    <w:rsid w:val="00F112FD"/>
    <w:rsid w:val="00F133A1"/>
    <w:rsid w:val="00F13B01"/>
    <w:rsid w:val="00F13ECD"/>
    <w:rsid w:val="00F155CE"/>
    <w:rsid w:val="00F16BF2"/>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BF4"/>
    <w:rsid w:val="00F54266"/>
    <w:rsid w:val="00F55043"/>
    <w:rsid w:val="00F56DCF"/>
    <w:rsid w:val="00F57034"/>
    <w:rsid w:val="00F57973"/>
    <w:rsid w:val="00F60BE9"/>
    <w:rsid w:val="00F61FD8"/>
    <w:rsid w:val="00F62DBF"/>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874E1"/>
    <w:rsid w:val="00F87C61"/>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1B4"/>
    <w:rsid w:val="00FA27C8"/>
    <w:rsid w:val="00FA3B76"/>
    <w:rsid w:val="00FA3EE2"/>
    <w:rsid w:val="00FA4D66"/>
    <w:rsid w:val="00FA5A4E"/>
    <w:rsid w:val="00FA6CE5"/>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FC2"/>
    <w:rsid w:val="00FC6067"/>
    <w:rsid w:val="00FC6177"/>
    <w:rsid w:val="00FC63D1"/>
    <w:rsid w:val="00FC7528"/>
    <w:rsid w:val="00FD0572"/>
    <w:rsid w:val="00FD1A97"/>
    <w:rsid w:val="00FD2D7B"/>
    <w:rsid w:val="00FD37F6"/>
    <w:rsid w:val="00FD4589"/>
    <w:rsid w:val="00FD473E"/>
    <w:rsid w:val="00FD6C6E"/>
    <w:rsid w:val="00FD7DF9"/>
    <w:rsid w:val="00FE0B51"/>
    <w:rsid w:val="00FE0B78"/>
    <w:rsid w:val="00FE0ED4"/>
    <w:rsid w:val="00FE1EAB"/>
    <w:rsid w:val="00FE3465"/>
    <w:rsid w:val="00FE67CF"/>
    <w:rsid w:val="00FE6D20"/>
    <w:rsid w:val="00FE6FB9"/>
    <w:rsid w:val="00FE7549"/>
    <w:rsid w:val="00FE7BCC"/>
    <w:rsid w:val="00FF0A07"/>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6BBE47"/>
  <w15:docId w15:val="{1D8434A2-4A74-41D5-988D-A87343014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rsid w:val="00703EF9"/>
    <w:pPr>
      <w:keepNext/>
      <w:numPr>
        <w:numId w:val="3"/>
      </w:numPr>
      <w:tabs>
        <w:tab w:val="clear" w:pos="432"/>
      </w:tabs>
      <w:spacing w:before="120"/>
      <w:outlineLvl w:val="0"/>
    </w:pPr>
    <w:rPr>
      <w:b/>
      <w:bCs/>
      <w:sz w:val="28"/>
      <w:szCs w:val="28"/>
    </w:rPr>
  </w:style>
  <w:style w:type="paragraph" w:styleId="2">
    <w:name w:val="heading 2"/>
    <w:basedOn w:val="a"/>
    <w:next w:val="a"/>
    <w:qFormat/>
    <w:rsid w:val="00703EF9"/>
    <w:pPr>
      <w:keepNext/>
      <w:numPr>
        <w:ilvl w:val="1"/>
        <w:numId w:val="3"/>
      </w:numPr>
      <w:tabs>
        <w:tab w:val="clear" w:pos="576"/>
      </w:tabs>
      <w:spacing w:before="120"/>
      <w:outlineLvl w:val="1"/>
    </w:pPr>
    <w:rPr>
      <w:b/>
      <w:bCs/>
      <w:sz w:val="24"/>
    </w:rPr>
  </w:style>
  <w:style w:type="paragraph" w:styleId="3">
    <w:name w:val="heading 3"/>
    <w:basedOn w:val="a"/>
    <w:next w:val="a"/>
    <w:qFormat/>
    <w:rsid w:val="00703EF9"/>
    <w:pPr>
      <w:keepNext/>
      <w:numPr>
        <w:ilvl w:val="2"/>
        <w:numId w:val="3"/>
      </w:numPr>
      <w:tabs>
        <w:tab w:val="clear" w:pos="720"/>
      </w:tabs>
      <w:spacing w:before="120"/>
      <w:outlineLvl w:val="2"/>
    </w:pPr>
    <w:rPr>
      <w:b/>
    </w:rPr>
  </w:style>
  <w:style w:type="paragraph" w:styleId="4">
    <w:name w:val="heading 4"/>
    <w:basedOn w:val="a"/>
    <w:next w:val="a"/>
    <w:qFormat/>
    <w:rsid w:val="00703EF9"/>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rsid w:val="00703EF9"/>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703EF9"/>
    <w:pPr>
      <w:numPr>
        <w:ilvl w:val="5"/>
        <w:numId w:val="3"/>
      </w:numPr>
      <w:spacing w:before="240" w:after="60"/>
      <w:outlineLvl w:val="5"/>
    </w:pPr>
    <w:rPr>
      <w:b/>
      <w:bCs/>
    </w:rPr>
  </w:style>
  <w:style w:type="paragraph" w:styleId="7">
    <w:name w:val="heading 7"/>
    <w:basedOn w:val="a"/>
    <w:next w:val="a"/>
    <w:qFormat/>
    <w:rsid w:val="00703EF9"/>
    <w:pPr>
      <w:numPr>
        <w:ilvl w:val="6"/>
        <w:numId w:val="3"/>
      </w:numPr>
      <w:spacing w:before="240" w:after="60"/>
      <w:outlineLvl w:val="6"/>
    </w:pPr>
    <w:rPr>
      <w:sz w:val="24"/>
      <w:szCs w:val="24"/>
    </w:rPr>
  </w:style>
  <w:style w:type="paragraph" w:styleId="8">
    <w:name w:val="heading 8"/>
    <w:basedOn w:val="a"/>
    <w:next w:val="a"/>
    <w:qFormat/>
    <w:rsid w:val="00703EF9"/>
    <w:pPr>
      <w:numPr>
        <w:ilvl w:val="7"/>
        <w:numId w:val="3"/>
      </w:numPr>
      <w:spacing w:before="240" w:after="60"/>
      <w:outlineLvl w:val="7"/>
    </w:pPr>
    <w:rPr>
      <w:i/>
      <w:iCs/>
      <w:sz w:val="24"/>
      <w:szCs w:val="24"/>
    </w:rPr>
  </w:style>
  <w:style w:type="paragraph" w:styleId="9">
    <w:name w:val="heading 9"/>
    <w:basedOn w:val="a"/>
    <w:next w:val="a"/>
    <w:qFormat/>
    <w:rsid w:val="00703EF9"/>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703EF9"/>
    <w:rPr>
      <w:sz w:val="20"/>
      <w:szCs w:val="20"/>
    </w:rPr>
  </w:style>
  <w:style w:type="character" w:customStyle="1" w:styleId="Char">
    <w:name w:val="正文文本 Char"/>
    <w:basedOn w:val="a0"/>
    <w:link w:val="a3"/>
    <w:rsid w:val="00CF195E"/>
  </w:style>
  <w:style w:type="character" w:styleId="a4">
    <w:name w:val="Hyperlink"/>
    <w:basedOn w:val="a0"/>
    <w:rsid w:val="00703EF9"/>
    <w:rPr>
      <w:color w:val="0000FF"/>
      <w:u w:val="single"/>
    </w:rPr>
  </w:style>
  <w:style w:type="paragraph" w:styleId="a5">
    <w:name w:val="caption"/>
    <w:aliases w:val="cap"/>
    <w:basedOn w:val="a"/>
    <w:next w:val="a"/>
    <w:link w:val="Char0"/>
    <w:qFormat/>
    <w:rsid w:val="00703EF9"/>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703EF9"/>
    <w:pPr>
      <w:autoSpaceDE/>
      <w:autoSpaceDN/>
      <w:adjustRightInd/>
      <w:spacing w:after="180"/>
      <w:ind w:left="568" w:hanging="284"/>
      <w:jc w:val="left"/>
    </w:pPr>
    <w:rPr>
      <w:sz w:val="20"/>
      <w:szCs w:val="20"/>
      <w:lang w:val="en-GB"/>
    </w:rPr>
  </w:style>
  <w:style w:type="paragraph" w:styleId="a7">
    <w:name w:val="List"/>
    <w:basedOn w:val="a"/>
    <w:rsid w:val="00703EF9"/>
    <w:pPr>
      <w:ind w:left="360" w:hanging="360"/>
    </w:pPr>
  </w:style>
  <w:style w:type="paragraph" w:styleId="20">
    <w:name w:val="Body Text 2"/>
    <w:basedOn w:val="a"/>
    <w:rsid w:val="00703EF9"/>
    <w:pPr>
      <w:spacing w:after="0"/>
      <w:jc w:val="left"/>
    </w:pPr>
    <w:rPr>
      <w:szCs w:val="20"/>
    </w:rPr>
  </w:style>
  <w:style w:type="paragraph" w:styleId="a8">
    <w:name w:val="Balloon Text"/>
    <w:basedOn w:val="a"/>
    <w:semiHidden/>
    <w:rsid w:val="00703EF9"/>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sid w:val="00703EF9"/>
    <w:rPr>
      <w:color w:val="800080"/>
      <w:u w:val="single"/>
    </w:rPr>
  </w:style>
  <w:style w:type="paragraph" w:styleId="aa">
    <w:name w:val="footnote text"/>
    <w:basedOn w:val="a"/>
    <w:semiHidden/>
    <w:rsid w:val="00703EF9"/>
    <w:rPr>
      <w:sz w:val="20"/>
      <w:szCs w:val="20"/>
    </w:rPr>
  </w:style>
  <w:style w:type="character" w:styleId="ab">
    <w:name w:val="footnote reference"/>
    <w:basedOn w:val="a0"/>
    <w:semiHidden/>
    <w:rsid w:val="00703EF9"/>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character" w:customStyle="1" w:styleId="Doc-text2Char">
    <w:name w:val="Doc-text2 Char"/>
    <w:link w:val="Doc-text2"/>
    <w:locked/>
    <w:rsid w:val="00954516"/>
    <w:rPr>
      <w:rFonts w:ascii="Arial" w:eastAsia="MS Mincho" w:hAnsi="Arial" w:cs="Arial"/>
      <w:szCs w:val="24"/>
      <w:lang w:val="en-GB" w:eastAsia="en-GB"/>
    </w:rPr>
  </w:style>
  <w:style w:type="paragraph" w:customStyle="1" w:styleId="Doc-text2">
    <w:name w:val="Doc-text2"/>
    <w:basedOn w:val="a"/>
    <w:link w:val="Doc-text2Char"/>
    <w:qFormat/>
    <w:rsid w:val="00954516"/>
    <w:pPr>
      <w:tabs>
        <w:tab w:val="left" w:pos="1622"/>
      </w:tabs>
      <w:autoSpaceDE/>
      <w:autoSpaceDN/>
      <w:adjustRightInd/>
      <w:snapToGrid/>
      <w:spacing w:after="0"/>
      <w:ind w:left="1622" w:hanging="363"/>
      <w:jc w:val="left"/>
    </w:pPr>
    <w:rPr>
      <w:rFonts w:ascii="Arial" w:eastAsia="MS Mincho" w:hAnsi="Arial" w:cs="Arial"/>
      <w:sz w:val="20"/>
      <w:szCs w:val="24"/>
      <w:lang w:val="en-GB" w:eastAsia="en-GB"/>
    </w:rPr>
  </w:style>
  <w:style w:type="paragraph" w:customStyle="1" w:styleId="TH">
    <w:name w:val="TH"/>
    <w:basedOn w:val="a"/>
    <w:link w:val="THChar"/>
    <w:rsid w:val="003E2C54"/>
    <w:pPr>
      <w:keepNext/>
      <w:keepLines/>
      <w:autoSpaceDE/>
      <w:autoSpaceDN/>
      <w:adjustRightInd/>
      <w:snapToGrid/>
      <w:spacing w:before="60" w:after="180"/>
      <w:jc w:val="center"/>
    </w:pPr>
    <w:rPr>
      <w:rFonts w:ascii="Arial" w:eastAsia="Malgun Gothic" w:hAnsi="Arial"/>
      <w:b/>
      <w:sz w:val="20"/>
      <w:szCs w:val="20"/>
      <w:lang w:val="en-GB"/>
    </w:rPr>
  </w:style>
  <w:style w:type="paragraph" w:customStyle="1" w:styleId="TF">
    <w:name w:val="TF"/>
    <w:basedOn w:val="TH"/>
    <w:link w:val="TFChar"/>
    <w:rsid w:val="003E2C54"/>
    <w:pPr>
      <w:keepNext w:val="0"/>
      <w:spacing w:before="0" w:after="240"/>
    </w:pPr>
  </w:style>
  <w:style w:type="character" w:customStyle="1" w:styleId="THChar">
    <w:name w:val="TH Char"/>
    <w:link w:val="TH"/>
    <w:rsid w:val="003E2C54"/>
    <w:rPr>
      <w:rFonts w:ascii="Arial" w:eastAsia="Malgun Gothic" w:hAnsi="Arial"/>
      <w:b/>
      <w:lang w:val="en-GB"/>
    </w:rPr>
  </w:style>
  <w:style w:type="character" w:customStyle="1" w:styleId="TFChar">
    <w:name w:val="TF Char"/>
    <w:link w:val="TF"/>
    <w:rsid w:val="003E2C54"/>
    <w:rPr>
      <w:rFonts w:ascii="Arial" w:eastAsia="Malgun Gothic" w:hAnsi="Arial"/>
      <w:b/>
      <w:lang w:val="en-GB"/>
    </w:rPr>
  </w:style>
  <w:style w:type="character" w:styleId="af0">
    <w:name w:val="annotation reference"/>
    <w:basedOn w:val="a0"/>
    <w:semiHidden/>
    <w:unhideWhenUsed/>
    <w:rsid w:val="008B11FA"/>
    <w:rPr>
      <w:sz w:val="16"/>
      <w:szCs w:val="16"/>
    </w:rPr>
  </w:style>
  <w:style w:type="paragraph" w:styleId="af1">
    <w:name w:val="annotation text"/>
    <w:basedOn w:val="a"/>
    <w:link w:val="Char3"/>
    <w:semiHidden/>
    <w:unhideWhenUsed/>
    <w:rsid w:val="008B11FA"/>
    <w:rPr>
      <w:sz w:val="20"/>
      <w:szCs w:val="20"/>
    </w:rPr>
  </w:style>
  <w:style w:type="character" w:customStyle="1" w:styleId="Char3">
    <w:name w:val="批注文字 Char"/>
    <w:basedOn w:val="a0"/>
    <w:link w:val="af1"/>
    <w:semiHidden/>
    <w:rsid w:val="008B11FA"/>
  </w:style>
  <w:style w:type="paragraph" w:styleId="af2">
    <w:name w:val="annotation subject"/>
    <w:basedOn w:val="af1"/>
    <w:next w:val="af1"/>
    <w:link w:val="Char4"/>
    <w:semiHidden/>
    <w:unhideWhenUsed/>
    <w:rsid w:val="008B11FA"/>
    <w:rPr>
      <w:b/>
      <w:bCs/>
    </w:rPr>
  </w:style>
  <w:style w:type="character" w:customStyle="1" w:styleId="Char4">
    <w:name w:val="批注主题 Char"/>
    <w:basedOn w:val="Char3"/>
    <w:link w:val="af2"/>
    <w:semiHidden/>
    <w:rsid w:val="008B11FA"/>
    <w:rPr>
      <w:b/>
      <w:bCs/>
    </w:rPr>
  </w:style>
  <w:style w:type="paragraph" w:styleId="af3">
    <w:name w:val="List Paragraph"/>
    <w:basedOn w:val="a"/>
    <w:uiPriority w:val="34"/>
    <w:qFormat/>
    <w:rsid w:val="00DB6C15"/>
    <w:pPr>
      <w:ind w:left="720"/>
      <w:contextualSpacing/>
    </w:pPr>
  </w:style>
  <w:style w:type="paragraph" w:styleId="af4">
    <w:name w:val="Document Map"/>
    <w:basedOn w:val="a"/>
    <w:link w:val="Char5"/>
    <w:semiHidden/>
    <w:unhideWhenUsed/>
    <w:rsid w:val="00710BE9"/>
    <w:pPr>
      <w:spacing w:after="0"/>
    </w:pPr>
    <w:rPr>
      <w:rFonts w:ascii="Tahoma" w:hAnsi="Tahoma" w:cs="Tahoma"/>
      <w:sz w:val="16"/>
      <w:szCs w:val="16"/>
    </w:rPr>
  </w:style>
  <w:style w:type="character" w:customStyle="1" w:styleId="Char5">
    <w:name w:val="文档结构图 Char"/>
    <w:basedOn w:val="a0"/>
    <w:link w:val="af4"/>
    <w:semiHidden/>
    <w:rsid w:val="00710BE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905C74-7307-4843-B044-2BEDE26A3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4</Pages>
  <Words>1881</Words>
  <Characters>10180</Characters>
  <Application>Microsoft Office Word</Application>
  <DocSecurity>0</DocSecurity>
  <Lines>164</Lines>
  <Paragraphs>60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10</cp:revision>
  <cp:lastPrinted>2007-06-18T22:08:00Z</cp:lastPrinted>
  <dcterms:created xsi:type="dcterms:W3CDTF">2019-02-15T20:58:00Z</dcterms:created>
  <dcterms:modified xsi:type="dcterms:W3CDTF">2019-02-16T02:33:00Z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(3)6t0a4D626OS3kjrYHtBS7FQ8Z4irJzuckbOmnpaG0RXTg+HKqEOdC+RVMPN+KMrR58PlNio7
lefdvLELQv3OwDxxWFGJ9V35Opj6CLFcw/sx0AuaH7sjgqrwK/1LN0vJhq7GYPeHttnyqq6B
ImrNfUnGhuypOzJvuQnhKJKFKYVRQ2RUPxLwYIKuj5BHqzL8VkGjCrW2OJ6+DyKqjoHtBGKL
/5JHG3CNjXlorYL0Hd</vt:lpwstr>
  </property>
  <property fmtid="{D5CDD505-2E9C-101B-9397-08002B2CF9AE}" pid="13" name="_2015_ms_pID_725343_00">
    <vt:lpwstr>_2015_ms_pID_725343</vt:lpwstr>
  </property>
  <property fmtid="{D5CDD505-2E9C-101B-9397-08002B2CF9AE}" pid="14" name="_2015_ms_pID_7253431">
    <vt:lpwstr>Wxbo4yT206EZuZQOTZKAcJlRbE1iwhcvm1Jsw6M/A6/7S+bD2Ia5/u
GmZc5vXpCy0Kxgt4/YMY1V8PSoJs2VDfVHg5Vxjrs1YiKTDfmhMBSCvaRqBDp7q9vruVpUwt
JHdCtp5+Pmn3k18e6bmgbWoKKKuB4/ly7reHxUNPCjSZXrThwyBKPBRXeytAsYP6pHz71Mop
+TTf3ZseMTsU061g+5ZDLhdrPpK89hX+ze9K</vt:lpwstr>
  </property>
  <property fmtid="{D5CDD505-2E9C-101B-9397-08002B2CF9AE}" pid="15" name="_2015_ms_pID_7253431_00">
    <vt:lpwstr>_2015_ms_pID_7253431</vt:lpwstr>
  </property>
  <property fmtid="{D5CDD505-2E9C-101B-9397-08002B2CF9AE}" pid="16" name="_2015_ms_pID_7253432">
    <vt:lpwstr>1Iivl++kOG4sc4uflEGtljaMaRcZZM3W2ElD
Bvqcw6h9X3bS56fc18ZXvj62r4XGKg==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1550280688</vt:lpwstr>
  </property>
</Properties>
</file>