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AA6B6" w14:textId="79C7C4CC" w:rsidR="006A1A84" w:rsidRPr="007C1B33" w:rsidRDefault="006A1A84" w:rsidP="006A1A84">
      <w:pPr>
        <w:pStyle w:val="TdocHeader2"/>
        <w:jc w:val="left"/>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 xml:space="preserve">3GPP TSG RAN WG1 Meeting </w:t>
      </w:r>
      <w:r w:rsidR="00F14C53">
        <w:rPr>
          <w:rFonts w:eastAsia="Times New Roman" w:cs="Arial"/>
          <w:bCs/>
          <w:noProof/>
          <w:sz w:val="20"/>
          <w:szCs w:val="18"/>
          <w:lang w:val="en-US" w:eastAsia="zh-CN"/>
        </w:rPr>
        <w:t>#</w:t>
      </w:r>
      <w:r w:rsidR="00F73CCF">
        <w:rPr>
          <w:rFonts w:eastAsia="Times New Roman" w:cs="Arial"/>
          <w:bCs/>
          <w:noProof/>
          <w:sz w:val="20"/>
          <w:szCs w:val="18"/>
          <w:lang w:val="en-US" w:eastAsia="zh-CN"/>
        </w:rPr>
        <w:t>96</w:t>
      </w:r>
      <w:r w:rsidR="00EA18C4">
        <w:rPr>
          <w:rFonts w:eastAsia="Times New Roman" w:cs="Arial"/>
          <w:bCs/>
          <w:noProof/>
          <w:sz w:val="20"/>
          <w:szCs w:val="18"/>
          <w:lang w:val="en-US" w:eastAsia="zh-CN"/>
        </w:rPr>
        <w:t xml:space="preserve">                                             </w:t>
      </w:r>
      <w:r>
        <w:rPr>
          <w:rFonts w:eastAsia="Times New Roman" w:cs="Arial"/>
          <w:bCs/>
          <w:noProof/>
          <w:sz w:val="20"/>
          <w:szCs w:val="18"/>
          <w:lang w:val="en-US" w:eastAsia="zh-CN"/>
        </w:rPr>
        <w:tab/>
      </w:r>
      <w:r w:rsidR="0097517E" w:rsidRPr="00D447BA">
        <w:rPr>
          <w:rFonts w:eastAsia="Times New Roman" w:cs="Arial"/>
          <w:bCs/>
          <w:noProof/>
          <w:sz w:val="20"/>
          <w:szCs w:val="18"/>
          <w:lang w:val="en-US" w:eastAsia="zh-CN"/>
        </w:rPr>
        <w:t>R1-1902554</w:t>
      </w:r>
    </w:p>
    <w:p w14:paraId="7FEA676F" w14:textId="52ABD002" w:rsidR="00E12BE8" w:rsidRDefault="00F73CCF" w:rsidP="00E12BE8">
      <w:pPr>
        <w:pStyle w:val="TdocHeader2"/>
        <w:rPr>
          <w:sz w:val="20"/>
          <w:lang w:val="en-US"/>
        </w:rPr>
      </w:pPr>
      <w:r>
        <w:rPr>
          <w:rFonts w:eastAsia="Times New Roman" w:cs="Arial"/>
          <w:bCs/>
          <w:noProof/>
          <w:sz w:val="20"/>
          <w:szCs w:val="18"/>
          <w:lang w:val="en-US" w:eastAsia="zh-CN"/>
        </w:rPr>
        <w:t>Athens</w:t>
      </w:r>
      <w:r w:rsidR="00E12BE8">
        <w:rPr>
          <w:rFonts w:eastAsia="Times New Roman" w:cs="Arial"/>
          <w:bCs/>
          <w:noProof/>
          <w:sz w:val="20"/>
          <w:szCs w:val="18"/>
          <w:lang w:val="en-US" w:eastAsia="zh-CN"/>
        </w:rPr>
        <w:t xml:space="preserve">, </w:t>
      </w:r>
      <w:r>
        <w:rPr>
          <w:rFonts w:eastAsia="Times New Roman" w:cs="Arial"/>
          <w:bCs/>
          <w:noProof/>
          <w:sz w:val="20"/>
          <w:szCs w:val="18"/>
          <w:lang w:val="en-US" w:eastAsia="zh-CN"/>
        </w:rPr>
        <w:t>Greece</w:t>
      </w:r>
      <w:r w:rsidR="00E12BE8">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February </w:t>
      </w:r>
      <w:r w:rsidR="00532094">
        <w:rPr>
          <w:rFonts w:eastAsia="Times New Roman" w:cs="Arial"/>
          <w:bCs/>
          <w:noProof/>
          <w:sz w:val="20"/>
          <w:szCs w:val="18"/>
          <w:lang w:val="en-US" w:eastAsia="zh-CN"/>
        </w:rPr>
        <w:t>25</w:t>
      </w:r>
      <w:r w:rsidR="00F14C53" w:rsidRPr="00F85CF4">
        <w:rPr>
          <w:rFonts w:eastAsia="Times New Roman" w:cs="Arial"/>
          <w:bCs/>
          <w:noProof/>
          <w:sz w:val="20"/>
          <w:szCs w:val="18"/>
          <w:vertAlign w:val="superscript"/>
          <w:lang w:val="en-US" w:eastAsia="zh-CN"/>
        </w:rPr>
        <w:t>th</w:t>
      </w:r>
      <w:r w:rsidR="00F14C53">
        <w:rPr>
          <w:rFonts w:eastAsia="Times New Roman" w:cs="Arial"/>
          <w:bCs/>
          <w:noProof/>
          <w:sz w:val="20"/>
          <w:szCs w:val="18"/>
          <w:lang w:val="en-US" w:eastAsia="zh-CN"/>
        </w:rPr>
        <w:t xml:space="preserve"> </w:t>
      </w:r>
      <w:r>
        <w:rPr>
          <w:rFonts w:eastAsia="Times New Roman" w:cs="Arial"/>
          <w:bCs/>
          <w:noProof/>
          <w:sz w:val="20"/>
          <w:szCs w:val="18"/>
          <w:lang w:val="en-US" w:eastAsia="zh-CN"/>
        </w:rPr>
        <w:t>– March 1</w:t>
      </w:r>
      <w:r w:rsidRPr="009F17B3">
        <w:rPr>
          <w:rFonts w:eastAsia="Times New Roman" w:cs="Arial"/>
          <w:bCs/>
          <w:noProof/>
          <w:sz w:val="20"/>
          <w:szCs w:val="18"/>
          <w:vertAlign w:val="superscript"/>
          <w:lang w:val="en-US" w:eastAsia="zh-CN"/>
        </w:rPr>
        <w:t>st</w:t>
      </w:r>
      <w:r>
        <w:rPr>
          <w:rFonts w:eastAsia="Times New Roman" w:cs="Arial"/>
          <w:bCs/>
          <w:noProof/>
          <w:sz w:val="20"/>
          <w:szCs w:val="18"/>
          <w:lang w:val="en-US" w:eastAsia="zh-CN"/>
        </w:rPr>
        <w:t xml:space="preserve"> </w:t>
      </w:r>
      <w:r w:rsidR="00E12BE8">
        <w:rPr>
          <w:rFonts w:eastAsia="Times New Roman" w:cs="Arial"/>
          <w:bCs/>
          <w:noProof/>
          <w:sz w:val="20"/>
          <w:szCs w:val="18"/>
          <w:lang w:val="en-US" w:eastAsia="zh-CN"/>
        </w:rPr>
        <w:t>201</w:t>
      </w:r>
      <w:r w:rsidR="00532094">
        <w:rPr>
          <w:rFonts w:eastAsia="Times New Roman" w:cs="Arial"/>
          <w:bCs/>
          <w:noProof/>
          <w:sz w:val="20"/>
          <w:szCs w:val="18"/>
          <w:lang w:val="en-US" w:eastAsia="zh-CN"/>
        </w:rPr>
        <w:t>9</w:t>
      </w:r>
    </w:p>
    <w:p w14:paraId="5E8F0CED" w14:textId="77777777" w:rsidR="00F85CF4" w:rsidRDefault="00F85CF4" w:rsidP="006A1A84">
      <w:pPr>
        <w:pStyle w:val="TdocHeader2"/>
        <w:rPr>
          <w:sz w:val="20"/>
          <w:lang w:val="en-US"/>
        </w:rPr>
      </w:pPr>
    </w:p>
    <w:p w14:paraId="30EFC6D3" w14:textId="0DD99E99" w:rsidR="006A1A84" w:rsidRPr="008979AC" w:rsidRDefault="006A1A84" w:rsidP="006A1A84">
      <w:pPr>
        <w:pStyle w:val="TdocHeader2"/>
        <w:rPr>
          <w:sz w:val="20"/>
          <w:lang w:val="en-US"/>
        </w:rPr>
      </w:pPr>
      <w:r w:rsidRPr="008979AC">
        <w:rPr>
          <w:sz w:val="20"/>
          <w:lang w:val="en-US"/>
        </w:rPr>
        <w:t xml:space="preserve">Source: </w:t>
      </w:r>
      <w:r w:rsidRPr="008979AC">
        <w:rPr>
          <w:sz w:val="20"/>
          <w:lang w:val="en-US"/>
        </w:rPr>
        <w:tab/>
      </w:r>
      <w:r>
        <w:rPr>
          <w:sz w:val="20"/>
          <w:lang w:val="en-US"/>
        </w:rPr>
        <w:t>DISH Network</w:t>
      </w:r>
      <w:r w:rsidR="0051573A">
        <w:rPr>
          <w:sz w:val="20"/>
          <w:lang w:val="en-US"/>
        </w:rPr>
        <w:t xml:space="preserve"> </w:t>
      </w:r>
    </w:p>
    <w:p w14:paraId="79AB679D" w14:textId="50845FE6" w:rsidR="006A1A84" w:rsidRPr="0027658D" w:rsidRDefault="006A1A84" w:rsidP="006A1A84">
      <w:pPr>
        <w:pStyle w:val="TdocHeader2"/>
        <w:rPr>
          <w:sz w:val="20"/>
          <w:lang w:val="en-US"/>
        </w:rPr>
      </w:pPr>
      <w:r w:rsidRPr="008979AC">
        <w:rPr>
          <w:sz w:val="20"/>
          <w:lang w:val="en-US"/>
        </w:rPr>
        <w:t>Title:</w:t>
      </w:r>
      <w:bookmarkStart w:id="2" w:name="Title"/>
      <w:bookmarkEnd w:id="2"/>
      <w:r w:rsidRPr="008979AC">
        <w:rPr>
          <w:sz w:val="20"/>
          <w:lang w:val="en-US"/>
        </w:rPr>
        <w:tab/>
      </w:r>
      <w:r w:rsidR="0051573A">
        <w:rPr>
          <w:sz w:val="20"/>
          <w:lang w:val="en-US"/>
        </w:rPr>
        <w:t xml:space="preserve">On </w:t>
      </w:r>
      <w:r w:rsidR="00155D5F">
        <w:rPr>
          <w:sz w:val="20"/>
          <w:lang w:val="en-US"/>
        </w:rPr>
        <w:t>Coexistence Between LTE and NR Side-links</w:t>
      </w:r>
      <w:r w:rsidR="00736C70">
        <w:rPr>
          <w:sz w:val="20"/>
          <w:lang w:val="en-US"/>
        </w:rPr>
        <w:t xml:space="preserve"> </w:t>
      </w:r>
    </w:p>
    <w:p w14:paraId="3FB2DF81" w14:textId="015FD2E6" w:rsidR="006A1A84" w:rsidRPr="002D72B0" w:rsidRDefault="006A1A84" w:rsidP="006A1A84">
      <w:pPr>
        <w:pStyle w:val="TdocHeader2"/>
        <w:rPr>
          <w:sz w:val="20"/>
          <w:lang w:val="en-US"/>
        </w:rPr>
      </w:pPr>
      <w:r w:rsidRPr="002D72B0">
        <w:rPr>
          <w:sz w:val="20"/>
          <w:lang w:val="en-US"/>
        </w:rPr>
        <w:t>Agenda Item:</w:t>
      </w:r>
      <w:r w:rsidRPr="002D72B0">
        <w:rPr>
          <w:sz w:val="20"/>
          <w:lang w:val="en-US"/>
        </w:rPr>
        <w:tab/>
      </w:r>
      <w:r w:rsidR="00533953">
        <w:rPr>
          <w:sz w:val="20"/>
          <w:lang w:val="en-US"/>
        </w:rPr>
        <w:t>7.2.</w:t>
      </w:r>
      <w:r w:rsidR="00155D5F">
        <w:rPr>
          <w:sz w:val="20"/>
          <w:lang w:val="en-US"/>
        </w:rPr>
        <w:t>4.</w:t>
      </w:r>
      <w:r w:rsidR="001661EA">
        <w:rPr>
          <w:sz w:val="20"/>
          <w:lang w:val="en-US"/>
        </w:rPr>
        <w:t>6</w:t>
      </w:r>
    </w:p>
    <w:p w14:paraId="4C35403D" w14:textId="77777777" w:rsidR="006A1A84" w:rsidRDefault="006A1A84" w:rsidP="006A1A84">
      <w:pPr>
        <w:pStyle w:val="TdocHeader2"/>
        <w:rPr>
          <w:sz w:val="20"/>
          <w:lang w:val="en-US"/>
        </w:rPr>
      </w:pPr>
      <w:r>
        <w:rPr>
          <w:sz w:val="20"/>
          <w:lang w:val="en-US"/>
        </w:rPr>
        <w:t>Document for:</w:t>
      </w:r>
      <w:r>
        <w:rPr>
          <w:sz w:val="20"/>
          <w:lang w:val="en-US"/>
        </w:rPr>
        <w:tab/>
        <w:t>Discussion</w:t>
      </w:r>
    </w:p>
    <w:p w14:paraId="1BF2B5FE" w14:textId="77777777" w:rsidR="006A1A84" w:rsidRDefault="006A1A84" w:rsidP="006A1A84">
      <w:pPr>
        <w:pStyle w:val="TdocHeader2"/>
        <w:rPr>
          <w:sz w:val="20"/>
          <w:lang w:val="en-US"/>
        </w:rPr>
      </w:pPr>
    </w:p>
    <w:p w14:paraId="493C9B74" w14:textId="77777777" w:rsidR="006A1A84" w:rsidRPr="00A41759" w:rsidRDefault="006A1A84" w:rsidP="006A1A84">
      <w:pPr>
        <w:pStyle w:val="Heading1"/>
        <w:numPr>
          <w:ilvl w:val="0"/>
          <w:numId w:val="4"/>
        </w:numPr>
        <w:textAlignment w:val="auto"/>
        <w:rPr>
          <w:sz w:val="32"/>
          <w:lang w:val="en-US"/>
        </w:rPr>
      </w:pPr>
      <w:bookmarkStart w:id="3" w:name="_Ref298777854"/>
      <w:bookmarkStart w:id="4" w:name="_GoBack"/>
      <w:bookmarkEnd w:id="0"/>
      <w:bookmarkEnd w:id="1"/>
      <w:r w:rsidRPr="00A41759">
        <w:rPr>
          <w:sz w:val="32"/>
          <w:lang w:val="en-US"/>
        </w:rPr>
        <w:t>Introduction</w:t>
      </w:r>
      <w:bookmarkEnd w:id="3"/>
    </w:p>
    <w:bookmarkEnd w:id="4"/>
    <w:p w14:paraId="40F27DF5" w14:textId="799B1857" w:rsidR="00785385" w:rsidRPr="00BF33E3" w:rsidRDefault="00785385">
      <w:pPr>
        <w:jc w:val="both"/>
      </w:pPr>
      <w:r w:rsidRPr="00BF33E3">
        <w:t xml:space="preserve">3GPP has approved the following objective for coexistence between LTE and NR V2X </w:t>
      </w:r>
      <w:r w:rsidRPr="00BF33E3">
        <w:fldChar w:fldCharType="begin"/>
      </w:r>
      <w:r w:rsidRPr="00BF33E3">
        <w:instrText xml:space="preserve"> </w:instrText>
      </w:r>
      <w:r w:rsidRPr="00BF33E3">
        <w:rPr>
          <w:rFonts w:hint="eastAsia"/>
        </w:rPr>
        <w:instrText>REF _Ref521501348 \n \h</w:instrText>
      </w:r>
      <w:r w:rsidRPr="00BF33E3">
        <w:instrText xml:space="preserve">  \* MERGEFORMAT </w:instrText>
      </w:r>
      <w:r w:rsidRPr="00BF33E3">
        <w:fldChar w:fldCharType="separate"/>
      </w:r>
      <w:r w:rsidRPr="00BF33E3">
        <w:t>[1]</w:t>
      </w:r>
      <w:r w:rsidRPr="00BF33E3">
        <w:fldChar w:fldCharType="end"/>
      </w:r>
      <w:r w:rsidRPr="00BF33E3">
        <w:t xml:space="preserve">: </w:t>
      </w:r>
    </w:p>
    <w:p w14:paraId="009FADAE" w14:textId="20145629" w:rsidR="0080138D" w:rsidRPr="00BF33E3" w:rsidRDefault="0080138D" w:rsidP="00155D5F">
      <w:pPr>
        <w:jc w:val="both"/>
        <w:rPr>
          <w:lang w:eastAsia="ko-KR"/>
        </w:rPr>
      </w:pPr>
      <w:r w:rsidRPr="00BF33E3">
        <w:rPr>
          <w:b/>
        </w:rPr>
        <w:t>6:  Coexistence [RAN1]: </w:t>
      </w:r>
    </w:p>
    <w:p w14:paraId="23938AA4" w14:textId="77777777" w:rsidR="0080138D" w:rsidRPr="00BF33E3" w:rsidRDefault="0080138D" w:rsidP="00155D5F">
      <w:pPr>
        <w:pStyle w:val="ListParagraph"/>
        <w:numPr>
          <w:ilvl w:val="0"/>
          <w:numId w:val="34"/>
        </w:numPr>
        <w:spacing w:after="0" w:line="240" w:lineRule="auto"/>
        <w:contextualSpacing w:val="0"/>
        <w:jc w:val="both"/>
        <w:rPr>
          <w:i/>
        </w:rPr>
      </w:pPr>
      <w:r w:rsidRPr="00BF33E3">
        <w:rPr>
          <w:i/>
        </w:rPr>
        <w:t xml:space="preserve">In-device coexistence: Study the feasibility of the coexistence mechanisms when NR side-link and LTE side-link technologies are equipped in the same vehicle for the ‘not co-channel’ scenario: </w:t>
      </w:r>
    </w:p>
    <w:p w14:paraId="5EAD3D81" w14:textId="5546E871" w:rsidR="0080138D" w:rsidRPr="00BF33E3" w:rsidRDefault="0080138D" w:rsidP="00B154A6">
      <w:pPr>
        <w:pStyle w:val="ListParagraph"/>
        <w:numPr>
          <w:ilvl w:val="0"/>
          <w:numId w:val="34"/>
        </w:numPr>
        <w:spacing w:after="0" w:line="240" w:lineRule="auto"/>
        <w:contextualSpacing w:val="0"/>
        <w:jc w:val="both"/>
        <w:rPr>
          <w:i/>
        </w:rPr>
      </w:pPr>
      <w:r w:rsidRPr="00BF33E3">
        <w:rPr>
          <w:i/>
        </w:rPr>
        <w:t>Advanced V2X services provided by NR side-link coexisting with V2X service provided by LTE side-link in different channels (i.e., not co-channel).  Not co-channel could include both adjacent channel and channels that are sufficiently far apart.</w:t>
      </w:r>
    </w:p>
    <w:p w14:paraId="25C30914" w14:textId="77777777" w:rsidR="0080138D" w:rsidRPr="00BF33E3" w:rsidRDefault="0080138D" w:rsidP="00155D5F">
      <w:pPr>
        <w:jc w:val="both"/>
      </w:pPr>
    </w:p>
    <w:p w14:paraId="31501829" w14:textId="53CD2219" w:rsidR="00785385" w:rsidRPr="00BF33E3" w:rsidRDefault="0080138D" w:rsidP="00B154A6">
      <w:pPr>
        <w:jc w:val="both"/>
      </w:pPr>
      <w:r w:rsidRPr="00BF33E3">
        <w:rPr>
          <w:b/>
        </w:rPr>
        <w:t>NOTE:</w:t>
      </w:r>
      <w:r w:rsidRPr="00BF33E3">
        <w:t xml:space="preserve"> It is assumed that any coexistence requirements and mechanisms of NR side-link with non-3GPP technologies will not be defined by 3GPP.</w:t>
      </w:r>
      <w:r w:rsidR="00FE2B03" w:rsidRPr="00BF33E3">
        <w:t xml:space="preserve"> </w:t>
      </w:r>
    </w:p>
    <w:p w14:paraId="2DE3BA82" w14:textId="1E67CD34" w:rsidR="004F48EF" w:rsidRPr="00BF33E3" w:rsidRDefault="004F48EF" w:rsidP="00B154A6">
      <w:pPr>
        <w:spacing w:line="240" w:lineRule="auto"/>
        <w:jc w:val="both"/>
      </w:pPr>
      <w:r w:rsidRPr="00BF33E3">
        <w:t>In RAN1#9</w:t>
      </w:r>
      <w:r w:rsidR="00155D5F" w:rsidRPr="00BF33E3">
        <w:t>5</w:t>
      </w:r>
      <w:r w:rsidRPr="00BF33E3">
        <w:t xml:space="preserve"> meeting, the </w:t>
      </w:r>
      <w:r w:rsidR="00290546" w:rsidRPr="00BF33E3">
        <w:t xml:space="preserve">RAN1 Group made the </w:t>
      </w:r>
      <w:r w:rsidRPr="00BF33E3">
        <w:t xml:space="preserve">following agreements </w:t>
      </w:r>
      <w:r w:rsidR="00290546" w:rsidRPr="00BF33E3">
        <w:t xml:space="preserve">on </w:t>
      </w:r>
      <w:r w:rsidR="00155D5F" w:rsidRPr="00BF33E3">
        <w:t xml:space="preserve">the coexistence between LTE and </w:t>
      </w:r>
      <w:r w:rsidR="00531354" w:rsidRPr="00BF33E3">
        <w:t xml:space="preserve">NR </w:t>
      </w:r>
      <w:r w:rsidR="00155D5F" w:rsidRPr="00BF33E3">
        <w:t>side-links</w:t>
      </w:r>
      <w:r w:rsidRPr="00BF33E3">
        <w:t xml:space="preserve"> [2]:</w:t>
      </w:r>
    </w:p>
    <w:p w14:paraId="04DCB7FC" w14:textId="77777777" w:rsidR="0080138D" w:rsidRPr="00BF33E3" w:rsidRDefault="0080138D" w:rsidP="0080138D">
      <w:pPr>
        <w:rPr>
          <w:b/>
        </w:rPr>
      </w:pPr>
      <w:r w:rsidRPr="00BF33E3">
        <w:rPr>
          <w:b/>
          <w:highlight w:val="green"/>
        </w:rPr>
        <w:t>Agreements</w:t>
      </w:r>
      <w:r w:rsidRPr="00BF33E3">
        <w:rPr>
          <w:b/>
        </w:rPr>
        <w:t>:</w:t>
      </w:r>
    </w:p>
    <w:p w14:paraId="228AEEBA" w14:textId="35959D10" w:rsidR="0080138D" w:rsidRPr="00BF33E3" w:rsidRDefault="0080138D" w:rsidP="0080138D">
      <w:pPr>
        <w:numPr>
          <w:ilvl w:val="0"/>
          <w:numId w:val="35"/>
        </w:numPr>
        <w:spacing w:after="0" w:line="240" w:lineRule="auto"/>
        <w:rPr>
          <w:i/>
        </w:rPr>
      </w:pPr>
      <w:r w:rsidRPr="00BF33E3">
        <w:rPr>
          <w:i/>
        </w:rPr>
        <w:t xml:space="preserve">Consider solutions for side-link coexistence for the following: </w:t>
      </w:r>
    </w:p>
    <w:p w14:paraId="46F5278B" w14:textId="77777777" w:rsidR="0080138D" w:rsidRPr="00BF33E3" w:rsidRDefault="0080138D" w:rsidP="0080138D">
      <w:pPr>
        <w:numPr>
          <w:ilvl w:val="1"/>
          <w:numId w:val="35"/>
        </w:numPr>
        <w:spacing w:after="0" w:line="240" w:lineRule="auto"/>
        <w:rPr>
          <w:i/>
        </w:rPr>
      </w:pPr>
      <w:r w:rsidRPr="00BF33E3">
        <w:rPr>
          <w:i/>
        </w:rPr>
        <w:t>Potential LTE V2X Tx and NR V2X Tx</w:t>
      </w:r>
    </w:p>
    <w:p w14:paraId="45FACE65" w14:textId="77777777" w:rsidR="0080138D" w:rsidRPr="00BF33E3" w:rsidRDefault="0080138D" w:rsidP="0080138D">
      <w:pPr>
        <w:numPr>
          <w:ilvl w:val="1"/>
          <w:numId w:val="35"/>
        </w:numPr>
        <w:spacing w:after="0" w:line="240" w:lineRule="auto"/>
        <w:rPr>
          <w:i/>
        </w:rPr>
      </w:pPr>
      <w:r w:rsidRPr="00BF33E3">
        <w:rPr>
          <w:i/>
        </w:rPr>
        <w:t>Potential LTE V2X Tx and NR V2X Rx</w:t>
      </w:r>
    </w:p>
    <w:p w14:paraId="41CCDCCC" w14:textId="77777777" w:rsidR="0080138D" w:rsidRPr="00BF33E3" w:rsidRDefault="0080138D" w:rsidP="0080138D">
      <w:pPr>
        <w:numPr>
          <w:ilvl w:val="1"/>
          <w:numId w:val="35"/>
        </w:numPr>
        <w:spacing w:after="0" w:line="240" w:lineRule="auto"/>
        <w:rPr>
          <w:i/>
        </w:rPr>
      </w:pPr>
      <w:r w:rsidRPr="00BF33E3">
        <w:rPr>
          <w:i/>
        </w:rPr>
        <w:t>Potential LTE V2X Rx and NR V2X Tx</w:t>
      </w:r>
    </w:p>
    <w:p w14:paraId="763AECAC" w14:textId="28C55689" w:rsidR="0080138D" w:rsidRPr="00BF33E3" w:rsidRDefault="0080138D" w:rsidP="00B154A6">
      <w:pPr>
        <w:numPr>
          <w:ilvl w:val="0"/>
          <w:numId w:val="35"/>
        </w:numPr>
        <w:spacing w:after="0" w:line="240" w:lineRule="auto"/>
        <w:rPr>
          <w:i/>
        </w:rPr>
      </w:pPr>
      <w:r w:rsidRPr="00BF33E3">
        <w:rPr>
          <w:i/>
        </w:rPr>
        <w:t xml:space="preserve">FFS the case of potential LTE V2X Rx and NR V2X Rx, e.g., </w:t>
      </w:r>
      <w:proofErr w:type="gramStart"/>
      <w:r w:rsidRPr="00BF33E3">
        <w:rPr>
          <w:i/>
        </w:rPr>
        <w:t>whether or not</w:t>
      </w:r>
      <w:proofErr w:type="gramEnd"/>
      <w:r w:rsidRPr="00BF33E3">
        <w:rPr>
          <w:i/>
        </w:rPr>
        <w:t xml:space="preserve"> it can be handled implementation</w:t>
      </w:r>
    </w:p>
    <w:p w14:paraId="4D96842F" w14:textId="77777777" w:rsidR="0080138D" w:rsidRPr="00BF33E3" w:rsidRDefault="0080138D" w:rsidP="0080138D">
      <w:pPr>
        <w:rPr>
          <w:lang w:eastAsia="x-none"/>
        </w:rPr>
      </w:pPr>
    </w:p>
    <w:p w14:paraId="2259E91A" w14:textId="77777777" w:rsidR="0080138D" w:rsidRPr="00BF33E3" w:rsidRDefault="0080138D" w:rsidP="0080138D">
      <w:pPr>
        <w:rPr>
          <w:b/>
          <w:lang w:eastAsia="x-none"/>
        </w:rPr>
      </w:pPr>
      <w:r w:rsidRPr="00BF33E3">
        <w:rPr>
          <w:b/>
          <w:highlight w:val="green"/>
          <w:lang w:eastAsia="x-none"/>
        </w:rPr>
        <w:t>Agreements</w:t>
      </w:r>
      <w:r w:rsidRPr="00BF33E3">
        <w:rPr>
          <w:b/>
          <w:lang w:eastAsia="x-none"/>
        </w:rPr>
        <w:t>:</w:t>
      </w:r>
    </w:p>
    <w:p w14:paraId="6E503EBE" w14:textId="77777777" w:rsidR="0080138D" w:rsidRPr="00BF33E3" w:rsidRDefault="0080138D" w:rsidP="0080138D">
      <w:pPr>
        <w:rPr>
          <w:i/>
          <w:lang w:eastAsia="zh-CN"/>
        </w:rPr>
      </w:pPr>
      <w:r w:rsidRPr="00BF33E3">
        <w:rPr>
          <w:i/>
          <w:lang w:eastAsia="zh-CN"/>
        </w:rPr>
        <w:t>RAN1 will identify both TDM and FDM solutions for coexistence. The specific support for each solution is FFS.</w:t>
      </w:r>
    </w:p>
    <w:p w14:paraId="1783F6FD" w14:textId="77777777" w:rsidR="0080138D" w:rsidRPr="00BF33E3" w:rsidRDefault="0080138D" w:rsidP="0080138D">
      <w:pPr>
        <w:rPr>
          <w:i/>
          <w:lang w:eastAsia="zh-CN"/>
        </w:rPr>
      </w:pPr>
      <w:r w:rsidRPr="00BF33E3">
        <w:rPr>
          <w:i/>
          <w:lang w:eastAsia="zh-CN"/>
        </w:rPr>
        <w:t xml:space="preserve">For FDM solutions: </w:t>
      </w:r>
    </w:p>
    <w:p w14:paraId="3CA6F40B" w14:textId="5CE8362F" w:rsidR="0080138D" w:rsidRPr="00BF33E3" w:rsidRDefault="0080138D" w:rsidP="0080138D">
      <w:pPr>
        <w:pStyle w:val="ListParagraph"/>
        <w:numPr>
          <w:ilvl w:val="0"/>
          <w:numId w:val="36"/>
        </w:numPr>
        <w:spacing w:after="180" w:line="240" w:lineRule="auto"/>
        <w:rPr>
          <w:i/>
        </w:rPr>
      </w:pPr>
      <w:r w:rsidRPr="00BF33E3">
        <w:rPr>
          <w:i/>
        </w:rPr>
        <w:t>For both dynamic and semi-static power allocation solutions, RAN1 assumes synchronization between NR and LTE V2X side-links, for a NR V2X UE when NR and LTE V2X side-links are intra-band</w:t>
      </w:r>
    </w:p>
    <w:p w14:paraId="6BED234F" w14:textId="77777777" w:rsidR="0080138D" w:rsidRPr="00BF33E3" w:rsidRDefault="0080138D" w:rsidP="0080138D">
      <w:pPr>
        <w:pStyle w:val="ListParagraph"/>
        <w:numPr>
          <w:ilvl w:val="0"/>
          <w:numId w:val="36"/>
        </w:numPr>
        <w:spacing w:after="180" w:line="240" w:lineRule="auto"/>
        <w:rPr>
          <w:i/>
        </w:rPr>
      </w:pPr>
      <w:r w:rsidRPr="00BF33E3">
        <w:rPr>
          <w:i/>
        </w:rPr>
        <w:t>The case of inter-band is FFS</w:t>
      </w:r>
    </w:p>
    <w:p w14:paraId="6C90C18E" w14:textId="050B60E5" w:rsidR="001721F6" w:rsidRPr="00BF33E3" w:rsidRDefault="0080138D" w:rsidP="006958E9">
      <w:r w:rsidRPr="00BF33E3">
        <w:rPr>
          <w:b/>
        </w:rPr>
        <w:t>Note:</w:t>
      </w:r>
      <w:r w:rsidRPr="00BF33E3">
        <w:t xml:space="preserve"> If the identified solutions can be applied to systems that are not synchronized, then RAN1 may revisit this assumption.</w:t>
      </w:r>
    </w:p>
    <w:p w14:paraId="74DAE2D2" w14:textId="57F8D2D7" w:rsidR="00BF6416" w:rsidRPr="00BF33E3" w:rsidRDefault="00BF6416" w:rsidP="006958E9">
      <w:r w:rsidRPr="00BF33E3">
        <w:lastRenderedPageBreak/>
        <w:t>Also, RAN1 #95 made the following agreement on the NR side-links [2]:</w:t>
      </w:r>
    </w:p>
    <w:p w14:paraId="4DAC8463" w14:textId="77777777" w:rsidR="00BB1E73" w:rsidRPr="00BF33E3" w:rsidRDefault="00BB1E73" w:rsidP="00B154A6">
      <w:pPr>
        <w:jc w:val="both"/>
        <w:rPr>
          <w:b/>
          <w:lang w:eastAsia="x-none"/>
        </w:rPr>
      </w:pPr>
      <w:r w:rsidRPr="00BF33E3">
        <w:rPr>
          <w:b/>
          <w:highlight w:val="green"/>
          <w:lang w:eastAsia="x-none"/>
        </w:rPr>
        <w:t>Agreements</w:t>
      </w:r>
      <w:r w:rsidRPr="00BF33E3">
        <w:rPr>
          <w:b/>
          <w:lang w:eastAsia="x-none"/>
        </w:rPr>
        <w:t>:</w:t>
      </w:r>
    </w:p>
    <w:p w14:paraId="6E5FB03D" w14:textId="77777777" w:rsidR="00BB1E73" w:rsidRPr="00BF33E3" w:rsidRDefault="00BB1E73">
      <w:pPr>
        <w:numPr>
          <w:ilvl w:val="0"/>
          <w:numId w:val="39"/>
        </w:numPr>
        <w:spacing w:before="120" w:after="60" w:line="240" w:lineRule="auto"/>
        <w:jc w:val="both"/>
        <w:rPr>
          <w:i/>
          <w:lang w:eastAsia="ko-KR"/>
        </w:rPr>
      </w:pPr>
      <w:r w:rsidRPr="00BF33E3">
        <w:rPr>
          <w:i/>
          <w:lang w:eastAsia="ko-KR"/>
        </w:rPr>
        <w:t>For PSCCH/PSSCH in FR1, NR V2X supports normal CP for 15kHz, 30kHz, 60kHz, and extended CP for 60kHz.</w:t>
      </w:r>
    </w:p>
    <w:p w14:paraId="67F9120A" w14:textId="77777777" w:rsidR="00BB1E73" w:rsidRPr="00BF33E3" w:rsidRDefault="00BB1E73">
      <w:pPr>
        <w:numPr>
          <w:ilvl w:val="1"/>
          <w:numId w:val="39"/>
        </w:numPr>
        <w:spacing w:before="120" w:after="60" w:line="240" w:lineRule="auto"/>
        <w:jc w:val="both"/>
        <w:rPr>
          <w:i/>
          <w:lang w:eastAsia="ko-KR"/>
        </w:rPr>
      </w:pPr>
      <w:r w:rsidRPr="00BF33E3">
        <w:rPr>
          <w:i/>
          <w:lang w:eastAsia="ko-KR"/>
        </w:rPr>
        <w:t>FFS extended CP for 30 kHz in FR1.</w:t>
      </w:r>
    </w:p>
    <w:p w14:paraId="5935E977" w14:textId="77777777" w:rsidR="00BB1E73" w:rsidRPr="00BF33E3" w:rsidRDefault="00BB1E73">
      <w:pPr>
        <w:numPr>
          <w:ilvl w:val="0"/>
          <w:numId w:val="39"/>
        </w:numPr>
        <w:spacing w:before="120" w:after="60" w:line="240" w:lineRule="auto"/>
        <w:jc w:val="both"/>
        <w:rPr>
          <w:i/>
          <w:lang w:eastAsia="ko-KR"/>
        </w:rPr>
      </w:pPr>
      <w:r w:rsidRPr="00BF33E3">
        <w:rPr>
          <w:i/>
          <w:lang w:eastAsia="ko-KR"/>
        </w:rPr>
        <w:t>FFS CP for PSCCH/PSSCH in FR2</w:t>
      </w:r>
    </w:p>
    <w:p w14:paraId="044A6049" w14:textId="77777777" w:rsidR="00BB1E73" w:rsidRPr="00BF33E3" w:rsidRDefault="00BB1E73">
      <w:pPr>
        <w:numPr>
          <w:ilvl w:val="1"/>
          <w:numId w:val="39"/>
        </w:numPr>
        <w:spacing w:before="120" w:after="60" w:line="240" w:lineRule="auto"/>
        <w:jc w:val="both"/>
        <w:rPr>
          <w:i/>
          <w:lang w:eastAsia="ko-KR"/>
        </w:rPr>
      </w:pPr>
      <w:r w:rsidRPr="00BF33E3">
        <w:rPr>
          <w:i/>
          <w:lang w:eastAsia="ko-KR"/>
        </w:rPr>
        <w:t>E.g., NR V2X supports normal CP for 60kHz and 120kHz, and extended CP for 60kHz</w:t>
      </w:r>
    </w:p>
    <w:p w14:paraId="345C9322" w14:textId="77777777" w:rsidR="00BB1E73" w:rsidRPr="00BF33E3" w:rsidRDefault="00BB1E73">
      <w:pPr>
        <w:numPr>
          <w:ilvl w:val="2"/>
          <w:numId w:val="39"/>
        </w:numPr>
        <w:spacing w:before="120" w:after="60" w:line="240" w:lineRule="auto"/>
        <w:jc w:val="both"/>
        <w:rPr>
          <w:i/>
          <w:lang w:eastAsia="ko-KR"/>
        </w:rPr>
      </w:pPr>
      <w:r w:rsidRPr="00BF33E3">
        <w:rPr>
          <w:i/>
          <w:lang w:eastAsia="ko-KR"/>
        </w:rPr>
        <w:t>FFS extended CP for 120 kHz in FR2.</w:t>
      </w:r>
    </w:p>
    <w:p w14:paraId="5822E4B3" w14:textId="0732F9A7" w:rsidR="00BB1E73" w:rsidRPr="00BF33E3" w:rsidRDefault="00BB1E73">
      <w:pPr>
        <w:numPr>
          <w:ilvl w:val="0"/>
          <w:numId w:val="39"/>
        </w:numPr>
        <w:spacing w:before="120" w:after="60" w:line="240" w:lineRule="auto"/>
        <w:jc w:val="both"/>
        <w:rPr>
          <w:i/>
          <w:lang w:eastAsia="ko-KR"/>
        </w:rPr>
      </w:pPr>
      <w:r w:rsidRPr="00BF33E3">
        <w:rPr>
          <w:i/>
          <w:lang w:eastAsia="ko-KR"/>
        </w:rPr>
        <w:t>Only one combination of CP length and SCS is used in a carrier at a given time for NR V2X UEs communicating with each other using SL</w:t>
      </w:r>
    </w:p>
    <w:p w14:paraId="49A02E65" w14:textId="77777777" w:rsidR="00BB1E73" w:rsidRPr="00BF33E3" w:rsidRDefault="00BB1E73" w:rsidP="00B154A6">
      <w:pPr>
        <w:spacing w:before="120" w:after="60" w:line="240" w:lineRule="auto"/>
        <w:jc w:val="both"/>
        <w:rPr>
          <w:lang w:eastAsia="ko-KR"/>
        </w:rPr>
      </w:pPr>
    </w:p>
    <w:p w14:paraId="18E54F68" w14:textId="77777777" w:rsidR="00BF6416" w:rsidRPr="00BF33E3" w:rsidRDefault="00BF6416" w:rsidP="00BF6416">
      <w:pPr>
        <w:rPr>
          <w:b/>
        </w:rPr>
      </w:pPr>
      <w:r w:rsidRPr="00BF33E3">
        <w:rPr>
          <w:b/>
          <w:highlight w:val="green"/>
        </w:rPr>
        <w:t>Agreements</w:t>
      </w:r>
      <w:r w:rsidRPr="00BF33E3">
        <w:rPr>
          <w:b/>
        </w:rPr>
        <w:t>:</w:t>
      </w:r>
    </w:p>
    <w:p w14:paraId="30240866" w14:textId="0EFEFAA4" w:rsidR="00BF6416" w:rsidRPr="00BF33E3" w:rsidRDefault="00BF6416" w:rsidP="00BF6416">
      <w:pPr>
        <w:numPr>
          <w:ilvl w:val="0"/>
          <w:numId w:val="37"/>
        </w:numPr>
        <w:spacing w:before="120" w:after="60" w:line="240" w:lineRule="auto"/>
        <w:jc w:val="both"/>
        <w:rPr>
          <w:i/>
          <w:lang w:eastAsia="ko-KR"/>
        </w:rPr>
      </w:pPr>
      <w:r w:rsidRPr="00BF33E3">
        <w:rPr>
          <w:i/>
          <w:lang w:eastAsia="ko-KR"/>
        </w:rPr>
        <w:t>BWP is defined for NR side</w:t>
      </w:r>
      <w:r w:rsidR="008A4A1D" w:rsidRPr="00BF33E3">
        <w:rPr>
          <w:i/>
          <w:lang w:eastAsia="ko-KR"/>
        </w:rPr>
        <w:t>-</w:t>
      </w:r>
      <w:r w:rsidRPr="00BF33E3">
        <w:rPr>
          <w:i/>
          <w:lang w:eastAsia="ko-KR"/>
        </w:rPr>
        <w:t>link.</w:t>
      </w:r>
    </w:p>
    <w:p w14:paraId="7162ECB2" w14:textId="77777777" w:rsidR="00BF6416" w:rsidRPr="00BF33E3" w:rsidRDefault="00BF6416" w:rsidP="00BF6416">
      <w:pPr>
        <w:numPr>
          <w:ilvl w:val="1"/>
          <w:numId w:val="37"/>
        </w:numPr>
        <w:spacing w:before="120" w:after="60" w:line="240" w:lineRule="auto"/>
        <w:jc w:val="both"/>
        <w:rPr>
          <w:i/>
          <w:lang w:eastAsia="ko-KR"/>
        </w:rPr>
      </w:pPr>
      <w:r w:rsidRPr="00BF33E3">
        <w:rPr>
          <w:i/>
          <w:lang w:eastAsia="ko-KR"/>
        </w:rPr>
        <w:t xml:space="preserve">In a licensed carrier, SL BWP is defined separately from BWP for </w:t>
      </w:r>
      <w:proofErr w:type="spellStart"/>
      <w:r w:rsidRPr="00BF33E3">
        <w:rPr>
          <w:i/>
          <w:lang w:eastAsia="ko-KR"/>
        </w:rPr>
        <w:t>Uu</w:t>
      </w:r>
      <w:proofErr w:type="spellEnd"/>
      <w:r w:rsidRPr="00BF33E3">
        <w:rPr>
          <w:i/>
          <w:lang w:eastAsia="ko-KR"/>
        </w:rPr>
        <w:t xml:space="preserve"> from the specification perspective.</w:t>
      </w:r>
    </w:p>
    <w:p w14:paraId="7B1F58FA" w14:textId="77777777" w:rsidR="00BF6416" w:rsidRPr="00BF33E3" w:rsidRDefault="00BF6416" w:rsidP="00BF6416">
      <w:pPr>
        <w:numPr>
          <w:ilvl w:val="2"/>
          <w:numId w:val="37"/>
        </w:numPr>
        <w:spacing w:before="120" w:after="60" w:line="240" w:lineRule="auto"/>
        <w:jc w:val="both"/>
        <w:rPr>
          <w:i/>
          <w:lang w:eastAsia="ko-KR"/>
        </w:rPr>
      </w:pPr>
      <w:r w:rsidRPr="00BF33E3">
        <w:rPr>
          <w:i/>
          <w:lang w:eastAsia="ko-KR"/>
        </w:rPr>
        <w:t xml:space="preserve">FFS the relation with </w:t>
      </w:r>
      <w:proofErr w:type="spellStart"/>
      <w:r w:rsidRPr="00BF33E3">
        <w:rPr>
          <w:i/>
          <w:lang w:eastAsia="ko-KR"/>
        </w:rPr>
        <w:t>Uu</w:t>
      </w:r>
      <w:proofErr w:type="spellEnd"/>
      <w:r w:rsidRPr="00BF33E3">
        <w:rPr>
          <w:i/>
          <w:lang w:eastAsia="ko-KR"/>
        </w:rPr>
        <w:t xml:space="preserve"> BWP.</w:t>
      </w:r>
    </w:p>
    <w:p w14:paraId="7CA579CF" w14:textId="77777777" w:rsidR="00BF6416" w:rsidRPr="00BF33E3" w:rsidRDefault="00BF6416" w:rsidP="00BF6416">
      <w:pPr>
        <w:numPr>
          <w:ilvl w:val="1"/>
          <w:numId w:val="37"/>
        </w:numPr>
        <w:spacing w:before="120" w:after="60" w:line="240" w:lineRule="auto"/>
        <w:jc w:val="both"/>
        <w:rPr>
          <w:i/>
          <w:lang w:eastAsia="ko-KR"/>
        </w:rPr>
      </w:pPr>
      <w:r w:rsidRPr="00BF33E3">
        <w:rPr>
          <w:i/>
          <w:lang w:eastAsia="ko-KR"/>
        </w:rPr>
        <w:t>The same SL BWP is used for both Tx and Rx.</w:t>
      </w:r>
    </w:p>
    <w:p w14:paraId="733EF84D" w14:textId="77777777" w:rsidR="00BF6416" w:rsidRPr="00BF33E3" w:rsidRDefault="00BF6416" w:rsidP="00BF6416">
      <w:pPr>
        <w:numPr>
          <w:ilvl w:val="1"/>
          <w:numId w:val="37"/>
        </w:numPr>
        <w:spacing w:before="120" w:after="60" w:line="240" w:lineRule="auto"/>
        <w:jc w:val="both"/>
        <w:rPr>
          <w:i/>
          <w:lang w:eastAsia="ko-KR"/>
        </w:rPr>
      </w:pPr>
      <w:r w:rsidRPr="00BF33E3">
        <w:rPr>
          <w:i/>
          <w:lang w:eastAsia="ko-KR"/>
        </w:rPr>
        <w:t xml:space="preserve">Each resource pool is (pre)configured within a SL BWP. </w:t>
      </w:r>
    </w:p>
    <w:p w14:paraId="51C896C9" w14:textId="77777777" w:rsidR="00BF6416" w:rsidRPr="00BF33E3" w:rsidRDefault="00BF6416" w:rsidP="00BF6416">
      <w:pPr>
        <w:numPr>
          <w:ilvl w:val="1"/>
          <w:numId w:val="37"/>
        </w:numPr>
        <w:spacing w:before="120" w:after="60" w:line="240" w:lineRule="auto"/>
        <w:jc w:val="both"/>
        <w:rPr>
          <w:i/>
          <w:lang w:eastAsia="ko-KR"/>
        </w:rPr>
      </w:pPr>
      <w:r w:rsidRPr="00BF33E3">
        <w:rPr>
          <w:i/>
          <w:lang w:eastAsia="ko-KR"/>
        </w:rPr>
        <w:t xml:space="preserve">Only one SL BWP is (pre)configured for RRC idle or out of coverage NR V2X UEs in a carrier. </w:t>
      </w:r>
    </w:p>
    <w:p w14:paraId="174D7DC1" w14:textId="5FFD80EC" w:rsidR="00BF6416" w:rsidRPr="00BF33E3" w:rsidRDefault="00BF6416" w:rsidP="00BF6416">
      <w:pPr>
        <w:numPr>
          <w:ilvl w:val="1"/>
          <w:numId w:val="37"/>
        </w:numPr>
        <w:spacing w:before="120" w:after="60" w:line="240" w:lineRule="auto"/>
        <w:jc w:val="both"/>
        <w:rPr>
          <w:i/>
          <w:lang w:eastAsia="ko-KR"/>
        </w:rPr>
      </w:pPr>
      <w:r w:rsidRPr="00BF33E3">
        <w:rPr>
          <w:i/>
          <w:lang w:eastAsia="ko-KR"/>
        </w:rPr>
        <w:t>For RRC connected UEs, only one SL BWP is active in a carrier. No signaling is exchanged in side</w:t>
      </w:r>
      <w:r w:rsidR="008A4A1D" w:rsidRPr="00BF33E3">
        <w:rPr>
          <w:i/>
          <w:lang w:eastAsia="ko-KR"/>
        </w:rPr>
        <w:t>-</w:t>
      </w:r>
      <w:r w:rsidRPr="00BF33E3">
        <w:rPr>
          <w:i/>
          <w:lang w:eastAsia="ko-KR"/>
        </w:rPr>
        <w:t>link for activation and deactivation of SL BWP.</w:t>
      </w:r>
    </w:p>
    <w:p w14:paraId="12DE1BB3" w14:textId="77777777" w:rsidR="00BF6416" w:rsidRPr="00BF33E3" w:rsidRDefault="00BF6416" w:rsidP="00BF6416">
      <w:pPr>
        <w:numPr>
          <w:ilvl w:val="2"/>
          <w:numId w:val="37"/>
        </w:numPr>
        <w:spacing w:before="120" w:after="60" w:line="240" w:lineRule="auto"/>
        <w:jc w:val="both"/>
        <w:rPr>
          <w:i/>
          <w:lang w:eastAsia="ko-KR"/>
        </w:rPr>
      </w:pPr>
      <w:r w:rsidRPr="00BF33E3">
        <w:rPr>
          <w:i/>
          <w:highlight w:val="darkYellow"/>
          <w:lang w:eastAsia="ko-KR"/>
        </w:rPr>
        <w:t>Working assumption</w:t>
      </w:r>
      <w:r w:rsidRPr="00BF33E3">
        <w:rPr>
          <w:i/>
          <w:lang w:eastAsia="ko-KR"/>
        </w:rPr>
        <w:t>: only one SL BWP is configured in a carrier for a NR V2X UE</w:t>
      </w:r>
    </w:p>
    <w:p w14:paraId="6DD9598C" w14:textId="77777777" w:rsidR="00BF6416" w:rsidRPr="00BF33E3" w:rsidRDefault="00BF6416" w:rsidP="00BF6416">
      <w:pPr>
        <w:numPr>
          <w:ilvl w:val="3"/>
          <w:numId w:val="37"/>
        </w:numPr>
        <w:spacing w:before="120" w:after="60" w:line="240" w:lineRule="auto"/>
        <w:jc w:val="both"/>
        <w:rPr>
          <w:i/>
          <w:lang w:eastAsia="ko-KR"/>
        </w:rPr>
      </w:pPr>
      <w:r w:rsidRPr="00BF33E3">
        <w:rPr>
          <w:i/>
          <w:lang w:eastAsia="ko-KR"/>
        </w:rPr>
        <w:t>Revisit in the next meeting if significant issues are found</w:t>
      </w:r>
    </w:p>
    <w:p w14:paraId="464D408D" w14:textId="77777777" w:rsidR="00BF6416" w:rsidRPr="00BF33E3" w:rsidRDefault="00BF6416" w:rsidP="00BF6416">
      <w:pPr>
        <w:numPr>
          <w:ilvl w:val="1"/>
          <w:numId w:val="37"/>
        </w:numPr>
        <w:spacing w:before="120" w:after="60" w:line="240" w:lineRule="auto"/>
        <w:jc w:val="both"/>
        <w:rPr>
          <w:i/>
          <w:lang w:eastAsia="ko-KR"/>
        </w:rPr>
      </w:pPr>
      <w:r w:rsidRPr="00BF33E3">
        <w:rPr>
          <w:i/>
          <w:lang w:eastAsia="ko-KR"/>
        </w:rPr>
        <w:t xml:space="preserve">Numerology is a part of SL BWP configuration. </w:t>
      </w:r>
    </w:p>
    <w:p w14:paraId="1CB24242" w14:textId="09DF8BA9" w:rsidR="00BF6416" w:rsidRPr="00BF33E3" w:rsidRDefault="00BF6416" w:rsidP="00BF6416">
      <w:pPr>
        <w:spacing w:before="120" w:after="60"/>
        <w:rPr>
          <w:lang w:val="x-none" w:eastAsia="ko-KR"/>
        </w:rPr>
      </w:pPr>
      <w:r w:rsidRPr="00BF33E3">
        <w:rPr>
          <w:b/>
          <w:lang w:val="x-none" w:eastAsia="ko-KR"/>
        </w:rPr>
        <w:t>Note:</w:t>
      </w:r>
      <w:r w:rsidRPr="00BF33E3">
        <w:rPr>
          <w:lang w:val="x-none" w:eastAsia="ko-KR"/>
        </w:rPr>
        <w:t xml:space="preserve"> This does not intend to make restriction in designing the side</w:t>
      </w:r>
      <w:r w:rsidR="008A4A1D" w:rsidRPr="00BF33E3">
        <w:rPr>
          <w:lang w:eastAsia="ko-KR"/>
        </w:rPr>
        <w:t>-</w:t>
      </w:r>
      <w:r w:rsidRPr="00BF33E3">
        <w:rPr>
          <w:lang w:val="x-none" w:eastAsia="ko-KR"/>
        </w:rPr>
        <w:t xml:space="preserve">link aspects related to </w:t>
      </w:r>
      <w:r w:rsidRPr="00BF33E3">
        <w:rPr>
          <w:lang w:eastAsia="ko-KR"/>
        </w:rPr>
        <w:t xml:space="preserve">SL </w:t>
      </w:r>
      <w:r w:rsidRPr="00BF33E3">
        <w:rPr>
          <w:lang w:val="x-none" w:eastAsia="ko-KR"/>
        </w:rPr>
        <w:t>BWP.</w:t>
      </w:r>
    </w:p>
    <w:p w14:paraId="0A9BDFCC" w14:textId="7DA49A11" w:rsidR="00BF6416" w:rsidRPr="00BF33E3" w:rsidRDefault="00BF6416" w:rsidP="00B154A6">
      <w:r w:rsidRPr="00BF33E3">
        <w:rPr>
          <w:b/>
          <w:lang w:val="x-none" w:eastAsia="ko-KR"/>
        </w:rPr>
        <w:t>Note:</w:t>
      </w:r>
      <w:r w:rsidRPr="00BF33E3">
        <w:rPr>
          <w:lang w:val="x-none" w:eastAsia="ko-KR"/>
        </w:rPr>
        <w:t xml:space="preserve"> This does not preclude the possibility where a</w:t>
      </w:r>
      <w:r w:rsidRPr="00BF33E3">
        <w:rPr>
          <w:lang w:eastAsia="ko-KR"/>
        </w:rPr>
        <w:t xml:space="preserve"> NR V2X</w:t>
      </w:r>
      <w:r w:rsidRPr="00BF33E3">
        <w:rPr>
          <w:lang w:val="x-none" w:eastAsia="ko-KR"/>
        </w:rPr>
        <w:t xml:space="preserve"> UE uses a Tx RF bandwidth </w:t>
      </w:r>
      <w:r w:rsidRPr="00BF33E3">
        <w:rPr>
          <w:lang w:eastAsia="ko-KR"/>
        </w:rPr>
        <w:t>the same as or different than</w:t>
      </w:r>
      <w:r w:rsidRPr="00BF33E3">
        <w:rPr>
          <w:lang w:val="x-none" w:eastAsia="ko-KR"/>
        </w:rPr>
        <w:t xml:space="preserve"> the SL BWP.</w:t>
      </w:r>
    </w:p>
    <w:p w14:paraId="261724AF" w14:textId="5C159723" w:rsidR="001721F6" w:rsidRPr="00BF33E3" w:rsidRDefault="001721F6" w:rsidP="00C13609">
      <w:pPr>
        <w:jc w:val="both"/>
        <w:rPr>
          <w:lang w:eastAsia="zh-CN"/>
        </w:rPr>
      </w:pPr>
      <w:r w:rsidRPr="00BF33E3">
        <w:rPr>
          <w:lang w:eastAsia="zh-CN"/>
        </w:rPr>
        <w:t xml:space="preserve">Also, RAN1 made the following agreements in RAN1 </w:t>
      </w:r>
      <w:bookmarkStart w:id="5" w:name="R1-ah-32820"/>
      <w:r w:rsidRPr="00BF33E3">
        <w:rPr>
          <w:lang w:eastAsia="zh-CN"/>
        </w:rPr>
        <w:t>#</w:t>
      </w:r>
      <w:hyperlink r:id="rId8" w:tgtFrame="_blank" w:history="1">
        <w:r w:rsidRPr="00BF33E3">
          <w:rPr>
            <w:lang w:eastAsia="zh-CN"/>
          </w:rPr>
          <w:t>Ah-32820</w:t>
        </w:r>
      </w:hyperlink>
      <w:bookmarkEnd w:id="5"/>
      <w:r w:rsidRPr="00BF33E3">
        <w:rPr>
          <w:lang w:eastAsia="zh-CN"/>
        </w:rPr>
        <w:t>:</w:t>
      </w:r>
    </w:p>
    <w:p w14:paraId="05B5B90D" w14:textId="77777777" w:rsidR="001721F6" w:rsidRPr="00BF33E3" w:rsidRDefault="001721F6" w:rsidP="001721F6">
      <w:pPr>
        <w:rPr>
          <w:b/>
          <w:lang w:eastAsia="x-none"/>
        </w:rPr>
      </w:pPr>
      <w:r w:rsidRPr="00BF33E3">
        <w:rPr>
          <w:b/>
          <w:highlight w:val="green"/>
          <w:lang w:eastAsia="x-none"/>
        </w:rPr>
        <w:t>Agreements</w:t>
      </w:r>
      <w:r w:rsidRPr="00BF33E3">
        <w:rPr>
          <w:b/>
          <w:lang w:eastAsia="x-none"/>
        </w:rPr>
        <w:t>:</w:t>
      </w:r>
    </w:p>
    <w:p w14:paraId="2788D1D6" w14:textId="77777777" w:rsidR="001721F6" w:rsidRPr="00BF33E3" w:rsidRDefault="001721F6" w:rsidP="001721F6">
      <w:pPr>
        <w:pStyle w:val="ListParagraph"/>
        <w:numPr>
          <w:ilvl w:val="0"/>
          <w:numId w:val="41"/>
        </w:numPr>
        <w:spacing w:after="180" w:line="240" w:lineRule="auto"/>
        <w:rPr>
          <w:i/>
          <w:color w:val="000000"/>
        </w:rPr>
      </w:pPr>
      <w:r w:rsidRPr="00BF33E3">
        <w:rPr>
          <w:i/>
          <w:color w:val="000000"/>
        </w:rPr>
        <w:t>For TDM solutions for in-device coexistence between LTE and NR V2X:</w:t>
      </w:r>
    </w:p>
    <w:p w14:paraId="46E6B55D" w14:textId="77777777" w:rsidR="001721F6" w:rsidRPr="00BF33E3" w:rsidRDefault="001721F6" w:rsidP="001721F6">
      <w:pPr>
        <w:pStyle w:val="ListParagraph"/>
        <w:numPr>
          <w:ilvl w:val="1"/>
          <w:numId w:val="41"/>
        </w:numPr>
        <w:spacing w:after="180" w:line="240" w:lineRule="auto"/>
        <w:rPr>
          <w:i/>
          <w:color w:val="000000"/>
        </w:rPr>
      </w:pPr>
      <w:r w:rsidRPr="00BF33E3">
        <w:rPr>
          <w:i/>
          <w:color w:val="000000"/>
        </w:rPr>
        <w:t>Time Alignment</w:t>
      </w:r>
    </w:p>
    <w:p w14:paraId="1BC89A96" w14:textId="77777777" w:rsidR="001721F6" w:rsidRPr="00BF33E3" w:rsidRDefault="001721F6" w:rsidP="001721F6">
      <w:pPr>
        <w:pStyle w:val="ListParagraph"/>
        <w:numPr>
          <w:ilvl w:val="2"/>
          <w:numId w:val="41"/>
        </w:numPr>
        <w:spacing w:after="180" w:line="240" w:lineRule="auto"/>
        <w:rPr>
          <w:rFonts w:eastAsia="SimSun"/>
          <w:i/>
          <w:color w:val="000000"/>
        </w:rPr>
      </w:pPr>
      <w:r w:rsidRPr="00BF33E3">
        <w:rPr>
          <w:rFonts w:eastAsia="DengXian"/>
          <w:i/>
          <w:lang w:eastAsia="zh-CN"/>
        </w:rPr>
        <w:t xml:space="preserve">Subframe boundary </w:t>
      </w:r>
      <w:r w:rsidRPr="00BF33E3">
        <w:rPr>
          <w:rFonts w:eastAsia="DengXian" w:hint="eastAsia"/>
          <w:i/>
          <w:lang w:eastAsia="zh-CN"/>
        </w:rPr>
        <w:t>alignment</w:t>
      </w:r>
      <w:r w:rsidRPr="00BF33E3">
        <w:rPr>
          <w:rFonts w:eastAsia="DengXian"/>
          <w:i/>
          <w:lang w:eastAsia="zh-CN"/>
        </w:rPr>
        <w:t xml:space="preserve"> is required between LTE and NR V2X </w:t>
      </w:r>
      <w:proofErr w:type="spellStart"/>
      <w:r w:rsidRPr="00BF33E3">
        <w:rPr>
          <w:rFonts w:eastAsia="DengXian"/>
          <w:i/>
          <w:lang w:eastAsia="zh-CN"/>
        </w:rPr>
        <w:t>sidelinks</w:t>
      </w:r>
      <w:proofErr w:type="spellEnd"/>
    </w:p>
    <w:p w14:paraId="79DF323F" w14:textId="77777777" w:rsidR="001721F6" w:rsidRPr="00BF33E3" w:rsidRDefault="001721F6" w:rsidP="001721F6">
      <w:pPr>
        <w:pStyle w:val="ListParagraph"/>
        <w:numPr>
          <w:ilvl w:val="2"/>
          <w:numId w:val="41"/>
        </w:numPr>
        <w:spacing w:after="180" w:line="240" w:lineRule="auto"/>
        <w:rPr>
          <w:i/>
          <w:color w:val="000000"/>
        </w:rPr>
      </w:pPr>
      <w:r w:rsidRPr="00BF33E3">
        <w:rPr>
          <w:rFonts w:eastAsia="DengXian"/>
          <w:i/>
          <w:lang w:eastAsia="zh-CN"/>
        </w:rPr>
        <w:t xml:space="preserve">Both LTE and NR V2X </w:t>
      </w:r>
      <w:proofErr w:type="spellStart"/>
      <w:r w:rsidRPr="00BF33E3">
        <w:rPr>
          <w:rFonts w:eastAsia="DengXian"/>
          <w:i/>
          <w:lang w:eastAsia="zh-CN"/>
        </w:rPr>
        <w:t>sidelinks</w:t>
      </w:r>
      <w:proofErr w:type="spellEnd"/>
      <w:r w:rsidRPr="00BF33E3">
        <w:rPr>
          <w:rFonts w:eastAsia="DengXian"/>
          <w:i/>
          <w:lang w:eastAsia="zh-CN"/>
        </w:rPr>
        <w:t xml:space="preserve"> are aware of the time resource index (e.g., DFN for LTE) in both carriers</w:t>
      </w:r>
    </w:p>
    <w:p w14:paraId="0DC3AC11" w14:textId="77777777" w:rsidR="001721F6" w:rsidRPr="00BF33E3" w:rsidRDefault="001721F6" w:rsidP="001721F6">
      <w:pPr>
        <w:rPr>
          <w:b/>
          <w:lang w:eastAsia="x-none"/>
        </w:rPr>
      </w:pPr>
      <w:r w:rsidRPr="00BF33E3">
        <w:rPr>
          <w:b/>
          <w:highlight w:val="green"/>
          <w:lang w:eastAsia="x-none"/>
        </w:rPr>
        <w:t>Agreements</w:t>
      </w:r>
      <w:r w:rsidRPr="00BF33E3">
        <w:rPr>
          <w:b/>
          <w:lang w:eastAsia="x-none"/>
        </w:rPr>
        <w:t>:</w:t>
      </w:r>
    </w:p>
    <w:p w14:paraId="26ACCCAA" w14:textId="77777777" w:rsidR="001721F6" w:rsidRPr="00BF33E3" w:rsidRDefault="001721F6" w:rsidP="001721F6">
      <w:pPr>
        <w:pStyle w:val="ListParagraph"/>
        <w:numPr>
          <w:ilvl w:val="0"/>
          <w:numId w:val="41"/>
        </w:numPr>
        <w:spacing w:after="180" w:line="240" w:lineRule="auto"/>
        <w:rPr>
          <w:i/>
          <w:color w:val="000000"/>
        </w:rPr>
      </w:pPr>
      <w:r w:rsidRPr="00BF33E3">
        <w:rPr>
          <w:i/>
          <w:color w:val="000000"/>
        </w:rPr>
        <w:t>For long term time scale TDM solutions for in-device coexistence between LTE and NR V2X:</w:t>
      </w:r>
    </w:p>
    <w:p w14:paraId="4E3460FC" w14:textId="77777777" w:rsidR="001721F6" w:rsidRPr="00BF33E3" w:rsidRDefault="001721F6" w:rsidP="001721F6">
      <w:pPr>
        <w:pStyle w:val="ListParagraph"/>
        <w:numPr>
          <w:ilvl w:val="1"/>
          <w:numId w:val="42"/>
        </w:numPr>
        <w:spacing w:after="180" w:line="240" w:lineRule="auto"/>
        <w:rPr>
          <w:i/>
          <w:lang w:eastAsia="zh-CN"/>
        </w:rPr>
      </w:pPr>
      <w:r w:rsidRPr="00BF33E3">
        <w:rPr>
          <w:i/>
          <w:color w:val="000000"/>
        </w:rPr>
        <w:t>For a UE with coexistence impact, non-overlapping</w:t>
      </w:r>
      <w:r w:rsidRPr="00BF33E3">
        <w:rPr>
          <w:i/>
          <w:lang w:eastAsia="zh-CN"/>
        </w:rPr>
        <w:t xml:space="preserve"> (in time domain) resource pools are (pre-)configured for NR V2X and LTE V2X </w:t>
      </w:r>
      <w:proofErr w:type="spellStart"/>
      <w:r w:rsidRPr="00BF33E3">
        <w:rPr>
          <w:i/>
          <w:lang w:eastAsia="zh-CN"/>
        </w:rPr>
        <w:t>sidelinks</w:t>
      </w:r>
      <w:proofErr w:type="spellEnd"/>
    </w:p>
    <w:p w14:paraId="4A798B79" w14:textId="77777777" w:rsidR="001721F6" w:rsidRPr="00BF33E3" w:rsidRDefault="001721F6" w:rsidP="001721F6">
      <w:pPr>
        <w:pStyle w:val="ListParagraph"/>
        <w:numPr>
          <w:ilvl w:val="2"/>
          <w:numId w:val="41"/>
        </w:numPr>
        <w:spacing w:after="180" w:line="240" w:lineRule="auto"/>
        <w:rPr>
          <w:i/>
          <w:lang w:eastAsia="zh-CN"/>
        </w:rPr>
      </w:pPr>
      <w:r w:rsidRPr="00BF33E3">
        <w:rPr>
          <w:i/>
        </w:rPr>
        <w:t xml:space="preserve">No information is exchanged between LTE and NR </w:t>
      </w:r>
      <w:proofErr w:type="spellStart"/>
      <w:r w:rsidRPr="00BF33E3">
        <w:rPr>
          <w:i/>
        </w:rPr>
        <w:t>sidelinks</w:t>
      </w:r>
      <w:proofErr w:type="spellEnd"/>
      <w:r w:rsidRPr="00BF33E3">
        <w:rPr>
          <w:i/>
        </w:rPr>
        <w:t xml:space="preserve"> within the UE</w:t>
      </w:r>
    </w:p>
    <w:p w14:paraId="33E87853" w14:textId="77777777" w:rsidR="001721F6" w:rsidRPr="00BF33E3" w:rsidRDefault="001721F6" w:rsidP="001721F6">
      <w:pPr>
        <w:pStyle w:val="ListParagraph"/>
        <w:numPr>
          <w:ilvl w:val="0"/>
          <w:numId w:val="41"/>
        </w:numPr>
        <w:spacing w:after="180" w:line="240" w:lineRule="auto"/>
        <w:rPr>
          <w:i/>
        </w:rPr>
      </w:pPr>
      <w:r w:rsidRPr="00BF33E3">
        <w:rPr>
          <w:i/>
        </w:rPr>
        <w:t>Long term time scale TDM solution is feasible from RAN1 point of view</w:t>
      </w:r>
    </w:p>
    <w:p w14:paraId="785CDA0C" w14:textId="77777777" w:rsidR="001721F6" w:rsidRPr="00BF33E3" w:rsidRDefault="001721F6" w:rsidP="001721F6">
      <w:pPr>
        <w:pStyle w:val="ListParagraph"/>
        <w:numPr>
          <w:ilvl w:val="1"/>
          <w:numId w:val="41"/>
        </w:numPr>
        <w:spacing w:after="180" w:line="240" w:lineRule="auto"/>
        <w:rPr>
          <w:i/>
        </w:rPr>
      </w:pPr>
      <w:r w:rsidRPr="00BF33E3">
        <w:rPr>
          <w:i/>
        </w:rPr>
        <w:t xml:space="preserve">Note: although feasible, it is expected that such a solution may have impact on latency, reliability and data rate requirements for some applications </w:t>
      </w:r>
    </w:p>
    <w:p w14:paraId="1D25ECA8" w14:textId="77777777" w:rsidR="001721F6" w:rsidRPr="00BF33E3" w:rsidRDefault="001721F6" w:rsidP="001721F6">
      <w:pPr>
        <w:pStyle w:val="ListParagraph"/>
        <w:numPr>
          <w:ilvl w:val="1"/>
          <w:numId w:val="41"/>
        </w:numPr>
        <w:spacing w:after="180" w:line="240" w:lineRule="auto"/>
      </w:pPr>
      <w:r w:rsidRPr="00BF33E3">
        <w:rPr>
          <w:i/>
        </w:rPr>
        <w:t>No additional modifications to LTE specifications are needed</w:t>
      </w:r>
    </w:p>
    <w:p w14:paraId="3C980D58" w14:textId="72E1519B" w:rsidR="00AF284D" w:rsidRPr="00BF33E3" w:rsidRDefault="00AF284D" w:rsidP="00C13609">
      <w:pPr>
        <w:jc w:val="both"/>
        <w:rPr>
          <w:lang w:eastAsia="zh-CN"/>
        </w:rPr>
      </w:pPr>
      <w:r w:rsidRPr="00BF33E3">
        <w:rPr>
          <w:lang w:eastAsia="zh-CN"/>
        </w:rPr>
        <w:t xml:space="preserve">RAN1 is </w:t>
      </w:r>
      <w:r w:rsidR="0001019A" w:rsidRPr="00BF33E3">
        <w:rPr>
          <w:lang w:eastAsia="zh-CN"/>
        </w:rPr>
        <w:t xml:space="preserve">also </w:t>
      </w:r>
      <w:r w:rsidRPr="00BF33E3">
        <w:rPr>
          <w:lang w:eastAsia="zh-CN"/>
        </w:rPr>
        <w:t xml:space="preserve">discussing that for TDM coexistence of LTE and NR side-links, how to prioritize one RAT over another when Tx/Tx or Tx/Rx overlap occurs. </w:t>
      </w:r>
      <w:r w:rsidR="0001019A" w:rsidRPr="00BF33E3">
        <w:rPr>
          <w:lang w:eastAsia="zh-CN"/>
        </w:rPr>
        <w:t xml:space="preserve">This prioritization may require some information exchange between LTE and NR side-links within the UE. </w:t>
      </w:r>
    </w:p>
    <w:p w14:paraId="6D3B3F9B" w14:textId="66BB1090" w:rsidR="00FE2B03" w:rsidRPr="00BF33E3" w:rsidRDefault="005222CE" w:rsidP="00C13609">
      <w:pPr>
        <w:jc w:val="both"/>
        <w:rPr>
          <w:lang w:eastAsia="zh-CN"/>
        </w:rPr>
      </w:pPr>
      <w:r w:rsidRPr="00BF33E3">
        <w:rPr>
          <w:lang w:eastAsia="zh-CN"/>
        </w:rPr>
        <w:t xml:space="preserve">3GPP is limiting the scope of coexistence of LTE and NR side-links for different channels and not for </w:t>
      </w:r>
      <w:r w:rsidR="002622D4" w:rsidRPr="00BF33E3">
        <w:rPr>
          <w:lang w:eastAsia="zh-CN"/>
        </w:rPr>
        <w:t xml:space="preserve">a </w:t>
      </w:r>
      <w:r w:rsidRPr="00BF33E3">
        <w:rPr>
          <w:lang w:eastAsia="zh-CN"/>
        </w:rPr>
        <w:t xml:space="preserve">co-channel scenario. </w:t>
      </w:r>
      <w:r w:rsidR="00FE2B03" w:rsidRPr="00BF33E3">
        <w:t>However, an operator may ask whether it is possible to have LTE side-links and NR side-links on the same channel</w:t>
      </w:r>
      <w:r w:rsidR="00116383" w:rsidRPr="00BF33E3">
        <w:t xml:space="preserve"> (TDM or FDM)</w:t>
      </w:r>
      <w:r w:rsidR="00FE2B03" w:rsidRPr="00BF33E3">
        <w:t xml:space="preserve">? </w:t>
      </w:r>
      <w:r w:rsidR="00AF284D" w:rsidRPr="00BF33E3">
        <w:t xml:space="preserve">Is it possible </w:t>
      </w:r>
      <w:r w:rsidR="00AF284D" w:rsidRPr="00BF33E3">
        <w:rPr>
          <w:lang w:eastAsia="zh-CN"/>
        </w:rPr>
        <w:t xml:space="preserve">to support the co-channel scenario for the coexistence between LTE and NR side-links (with different numerologies) using a configuration only? </w:t>
      </w:r>
      <w:r w:rsidR="00FE2B03" w:rsidRPr="00BF33E3">
        <w:t xml:space="preserve">Another question: is it possible to have FDM coexistence between LTE side-links and NR side-links (with higher numerologies) on adjacent channels? </w:t>
      </w:r>
    </w:p>
    <w:p w14:paraId="7D221A1F" w14:textId="50C4E38A" w:rsidR="00C13609" w:rsidRPr="006A1A84" w:rsidRDefault="00A63DCD" w:rsidP="00C13609">
      <w:pPr>
        <w:pStyle w:val="Heading1"/>
        <w:numPr>
          <w:ilvl w:val="0"/>
          <w:numId w:val="4"/>
        </w:numPr>
        <w:textAlignment w:val="auto"/>
        <w:rPr>
          <w:lang w:val="en-US"/>
        </w:rPr>
      </w:pPr>
      <w:r w:rsidRPr="00A41759">
        <w:rPr>
          <w:sz w:val="32"/>
          <w:lang w:val="en-US"/>
        </w:rPr>
        <w:t xml:space="preserve">The Coexistence Between LTE and </w:t>
      </w:r>
      <w:r w:rsidR="008A4A1D" w:rsidRPr="00A41759">
        <w:rPr>
          <w:sz w:val="32"/>
          <w:lang w:val="en-US"/>
        </w:rPr>
        <w:t xml:space="preserve">NR </w:t>
      </w:r>
      <w:r w:rsidRPr="00A41759">
        <w:rPr>
          <w:sz w:val="32"/>
          <w:lang w:val="en-US"/>
        </w:rPr>
        <w:t>Side-links</w:t>
      </w:r>
    </w:p>
    <w:p w14:paraId="568A237B" w14:textId="20B19AD8" w:rsidR="00E67C1E" w:rsidRPr="00BF33E3" w:rsidRDefault="001306D1" w:rsidP="00B154A6">
      <w:pPr>
        <w:spacing w:after="0" w:line="288" w:lineRule="auto"/>
        <w:jc w:val="both"/>
      </w:pPr>
      <w:r w:rsidRPr="00BF33E3">
        <w:t>3GPP NR V2X sh</w:t>
      </w:r>
      <w:r w:rsidR="001802B3" w:rsidRPr="00BF33E3">
        <w:t>all</w:t>
      </w:r>
      <w:r w:rsidRPr="00BF33E3">
        <w:t xml:space="preserve"> support coexistence between LTE and NR side-links</w:t>
      </w:r>
      <w:r w:rsidR="001802B3" w:rsidRPr="00BF33E3">
        <w:t>,</w:t>
      </w:r>
      <w:r w:rsidRPr="00BF33E3">
        <w:t xml:space="preserve"> </w:t>
      </w:r>
      <w:r w:rsidR="001802B3" w:rsidRPr="00BF33E3">
        <w:t xml:space="preserve">so </w:t>
      </w:r>
      <w:r w:rsidR="00E67C1E" w:rsidRPr="00BF33E3">
        <w:t xml:space="preserve">an </w:t>
      </w:r>
      <w:r w:rsidR="001802B3" w:rsidRPr="00BF33E3">
        <w:t xml:space="preserve">NR </w:t>
      </w:r>
      <w:r w:rsidR="00B9346C" w:rsidRPr="00BF33E3">
        <w:t xml:space="preserve">vehicle </w:t>
      </w:r>
      <w:r w:rsidR="001802B3" w:rsidRPr="00BF33E3">
        <w:t xml:space="preserve">can communicate the basic safety messages (BSM) with </w:t>
      </w:r>
      <w:r w:rsidR="00E67C1E" w:rsidRPr="00BF33E3">
        <w:t xml:space="preserve">an </w:t>
      </w:r>
      <w:r w:rsidR="001802B3" w:rsidRPr="00BF33E3">
        <w:t>LTE vehicle</w:t>
      </w:r>
      <w:r w:rsidR="00E67C1E" w:rsidRPr="00BF33E3">
        <w:t xml:space="preserve"> to avoid collision</w:t>
      </w:r>
      <w:r w:rsidR="008E5B9A" w:rsidRPr="00BF33E3">
        <w:t>s</w:t>
      </w:r>
      <w:r w:rsidR="00E67C1E" w:rsidRPr="00BF33E3">
        <w:t>, and communicate advanced messaging (e.g., advanced video data) or BSM with an NR vehicle, at the same time</w:t>
      </w:r>
      <w:r w:rsidR="001802B3" w:rsidRPr="00BF33E3">
        <w:t xml:space="preserve">. </w:t>
      </w:r>
      <w:r w:rsidR="00D87E69" w:rsidRPr="00BF33E3">
        <w:t xml:space="preserve">Although, RAN1 is discussing some issues regarding the coexistence such as the hardware implementations will not allow for simultaneous transmission on LTE and reception on NR or vise versa. </w:t>
      </w:r>
      <w:r w:rsidR="00E67C1E" w:rsidRPr="00BF33E3">
        <w:t xml:space="preserve">In RAN1 #95, the Group discussed both “TDM” as well as “FDM” solutions for coexistence of LTE and NR side-links. </w:t>
      </w:r>
    </w:p>
    <w:p w14:paraId="6A20C463" w14:textId="310D166E" w:rsidR="00E67C1E" w:rsidRPr="00BF33E3" w:rsidRDefault="00E67C1E" w:rsidP="00B9346C">
      <w:pPr>
        <w:spacing w:after="0" w:line="288" w:lineRule="auto"/>
        <w:jc w:val="both"/>
      </w:pPr>
    </w:p>
    <w:p w14:paraId="0A1854C5" w14:textId="075EE8A4" w:rsidR="008E5B9A" w:rsidRPr="00BF33E3" w:rsidRDefault="00E67C1E" w:rsidP="00B154A6">
      <w:pPr>
        <w:spacing w:after="0" w:line="288" w:lineRule="auto"/>
        <w:jc w:val="both"/>
      </w:pPr>
      <w:r w:rsidRPr="00BF33E3">
        <w:t xml:space="preserve">A summary of coexistence </w:t>
      </w:r>
      <w:r w:rsidR="00D87E69" w:rsidRPr="00BF33E3">
        <w:t>a</w:t>
      </w:r>
      <w:r w:rsidRPr="00BF33E3">
        <w:t xml:space="preserve">spects of NR-V2X is presented in [3]. Based on [3]: </w:t>
      </w:r>
    </w:p>
    <w:p w14:paraId="4754AAB7" w14:textId="278B3E9C" w:rsidR="00E67C1E" w:rsidRPr="00BF33E3" w:rsidRDefault="00E67C1E" w:rsidP="00B154A6">
      <w:pPr>
        <w:pStyle w:val="ListParagraph"/>
        <w:numPr>
          <w:ilvl w:val="0"/>
          <w:numId w:val="38"/>
        </w:numPr>
        <w:jc w:val="both"/>
        <w:rPr>
          <w:i/>
        </w:rPr>
      </w:pPr>
      <w:r w:rsidRPr="00BF33E3">
        <w:rPr>
          <w:i/>
        </w:rPr>
        <w:t xml:space="preserve">“The majority of companies proposed to consider only TDM solutions for coexistence. A few companies did propose to also consider FDM solutions. Therefore, we need to agree on whether further study of FDM solutions is needed. The details of FDM solutions need to be identified if we decide to proceed with studying these solutions as well.” </w:t>
      </w:r>
    </w:p>
    <w:p w14:paraId="1490569F" w14:textId="1B6C4550" w:rsidR="00095F23" w:rsidRPr="00BF33E3" w:rsidRDefault="00095F23" w:rsidP="00B154A6">
      <w:pPr>
        <w:pStyle w:val="ListParagraph"/>
        <w:numPr>
          <w:ilvl w:val="0"/>
          <w:numId w:val="38"/>
        </w:numPr>
        <w:jc w:val="both"/>
        <w:rPr>
          <w:i/>
        </w:rPr>
      </w:pPr>
      <w:r w:rsidRPr="00BF33E3">
        <w:rPr>
          <w:i/>
        </w:rPr>
        <w:t>“Companies also discussed the details of the TDM solutions on top of agreements in previous meeting including long term and short-term coordination between the two modules. It was considered that short term coordination required a lot of information exchanges between the modes but provided some benefits in managing the coexistence. On the other hand, while long term coordination is simpler for implementation, it had limited benefits in minimizing the impact and effects of coexistence.”</w:t>
      </w:r>
    </w:p>
    <w:p w14:paraId="15D12474" w14:textId="66D05D0F" w:rsidR="0001019A" w:rsidRPr="00BF33E3" w:rsidRDefault="00095F23" w:rsidP="0001019A">
      <w:pPr>
        <w:spacing w:after="0" w:line="288" w:lineRule="auto"/>
        <w:jc w:val="both"/>
      </w:pPr>
      <w:r w:rsidRPr="00BF33E3">
        <w:t xml:space="preserve">Another aspect of the design of NR side-link that was discussed in RAN1 #95 was allowing different numerologies </w:t>
      </w:r>
      <w:r w:rsidR="008E5B9A" w:rsidRPr="00BF33E3">
        <w:t xml:space="preserve">such as </w:t>
      </w:r>
      <w:r w:rsidRPr="00BF33E3">
        <w:t xml:space="preserve">higher sub-carrier spacings (SCS) </w:t>
      </w:r>
      <w:r w:rsidR="008E5B9A" w:rsidRPr="00BF33E3">
        <w:t xml:space="preserve">such as 30 </w:t>
      </w:r>
      <w:proofErr w:type="spellStart"/>
      <w:r w:rsidR="008E5B9A" w:rsidRPr="00BF33E3">
        <w:t>KHz</w:t>
      </w:r>
      <w:proofErr w:type="spellEnd"/>
      <w:r w:rsidR="008E5B9A" w:rsidRPr="00BF33E3">
        <w:t xml:space="preserve"> and 60 </w:t>
      </w:r>
      <w:proofErr w:type="spellStart"/>
      <w:r w:rsidR="008E5B9A" w:rsidRPr="00BF33E3">
        <w:t>KHz</w:t>
      </w:r>
      <w:proofErr w:type="spellEnd"/>
      <w:r w:rsidR="008E5B9A" w:rsidRPr="00BF33E3">
        <w:t xml:space="preserve"> </w:t>
      </w:r>
      <w:r w:rsidRPr="00BF33E3">
        <w:t>and defining different bandwidth parts (BWPs)</w:t>
      </w:r>
      <w:r w:rsidR="008E5B9A" w:rsidRPr="00BF33E3">
        <w:t xml:space="preserve"> for NR side-links</w:t>
      </w:r>
      <w:r w:rsidRPr="00BF33E3">
        <w:t xml:space="preserve">. </w:t>
      </w:r>
      <w:r w:rsidR="008E5B9A" w:rsidRPr="00BF33E3">
        <w:t>Supporting</w:t>
      </w:r>
      <w:r w:rsidR="00DD5C62" w:rsidRPr="00BF33E3">
        <w:t xml:space="preserve"> of higher SCS </w:t>
      </w:r>
      <w:r w:rsidR="008E5B9A" w:rsidRPr="00BF33E3">
        <w:t>allows</w:t>
      </w:r>
      <w:r w:rsidR="00DD5C62" w:rsidRPr="00BF33E3">
        <w:t xml:space="preserve"> NR </w:t>
      </w:r>
      <w:r w:rsidR="008E5B9A" w:rsidRPr="00BF33E3">
        <w:t>to enhance</w:t>
      </w:r>
      <w:r w:rsidR="00DD5C62" w:rsidRPr="00BF33E3">
        <w:t xml:space="preserve"> the performance of NR V2X</w:t>
      </w:r>
      <w:r w:rsidR="008E5B9A" w:rsidRPr="00BF33E3">
        <w:t xml:space="preserve"> air-interface latency</w:t>
      </w:r>
      <w:r w:rsidR="00DD5C62" w:rsidRPr="00BF33E3">
        <w:t xml:space="preserve">. </w:t>
      </w:r>
      <w:r w:rsidR="0001019A" w:rsidRPr="00BF33E3">
        <w:t xml:space="preserve">Both TDM and FDM solutions for coexistence are agreed in RAN1. </w:t>
      </w:r>
    </w:p>
    <w:p w14:paraId="137037C8" w14:textId="0D11F322" w:rsidR="0001019A" w:rsidRPr="00A41759" w:rsidRDefault="0001019A" w:rsidP="0001019A">
      <w:pPr>
        <w:pStyle w:val="Heading1"/>
        <w:numPr>
          <w:ilvl w:val="0"/>
          <w:numId w:val="4"/>
        </w:numPr>
        <w:textAlignment w:val="auto"/>
        <w:rPr>
          <w:sz w:val="32"/>
          <w:lang w:val="en-US"/>
        </w:rPr>
      </w:pPr>
      <w:r w:rsidRPr="00A41759">
        <w:rPr>
          <w:sz w:val="32"/>
          <w:lang w:val="en-US"/>
        </w:rPr>
        <w:t xml:space="preserve">On TDM Coexistence of LTE and NR Side-links </w:t>
      </w:r>
    </w:p>
    <w:p w14:paraId="57C6239A" w14:textId="77777777" w:rsidR="008F0378" w:rsidRPr="00BF33E3" w:rsidRDefault="008F0378" w:rsidP="008F0378">
      <w:pPr>
        <w:spacing w:after="0" w:line="288" w:lineRule="auto"/>
        <w:jc w:val="both"/>
      </w:pPr>
      <w:r w:rsidRPr="00BF33E3">
        <w:t xml:space="preserve">The NR V2X TR 38.885 defines the resource pool for the V2X side-link communications as follows: </w:t>
      </w:r>
      <w:r w:rsidRPr="00BF33E3">
        <w:rPr>
          <w:i/>
        </w:rPr>
        <w:t>“A resource pool is a set of time-frequency resources that can be used for side-link transmission and/or reception. From the UE point of view, a resource pool is inside the UE’s bandwidth, within a side-link bandwidth part and has a single numerology. Multiple resource pools can be (pre-) configured to a UE in a carrier.”</w:t>
      </w:r>
      <w:r w:rsidRPr="00BF33E3">
        <w:t xml:space="preserve"> By defining different resource pools for LTE side-links and NR side-links in TDM fashion and not simultaneous, the LTE and NR side-link messaging do not occur at the same time, so can this resolve the </w:t>
      </w:r>
      <w:r w:rsidRPr="00BF33E3">
        <w:rPr>
          <w:lang w:eastAsia="zh-CN"/>
        </w:rPr>
        <w:t xml:space="preserve">TDM coexistence of LTE and NR side-links without prioritization of one RAT over another? Since the NR vehicles support both LTE side-links and NR side-links, an NR vehicle is still capable to transmit “BSM” during LTE resource pool, using LTE technology. </w:t>
      </w:r>
    </w:p>
    <w:p w14:paraId="54B8FCC6" w14:textId="77777777" w:rsidR="008F0378" w:rsidRPr="00BF33E3" w:rsidRDefault="008F0378" w:rsidP="0001019A">
      <w:pPr>
        <w:spacing w:after="0" w:line="288" w:lineRule="auto"/>
        <w:jc w:val="both"/>
      </w:pPr>
    </w:p>
    <w:p w14:paraId="5318ABA0" w14:textId="3453D062" w:rsidR="0001019A" w:rsidRPr="00BF33E3" w:rsidRDefault="008F0378" w:rsidP="0001019A">
      <w:pPr>
        <w:spacing w:after="0" w:line="288" w:lineRule="auto"/>
        <w:jc w:val="both"/>
      </w:pPr>
      <w:r w:rsidRPr="00BF33E3">
        <w:t xml:space="preserve">Currently, the scope of this coexistence between LTE and NR side-links is limited to non-co-channel scenarios. One question for a wireless operator could be: </w:t>
      </w:r>
      <w:r w:rsidRPr="00BF33E3">
        <w:rPr>
          <w:i/>
        </w:rPr>
        <w:t xml:space="preserve">“how a wireless operator can deploy both LTE side-links and NR side-links on the same channel (co-channel)?” </w:t>
      </w:r>
      <w:r w:rsidRPr="00BF33E3">
        <w:t xml:space="preserve"> </w:t>
      </w:r>
    </w:p>
    <w:p w14:paraId="71EBE79D" w14:textId="77777777" w:rsidR="0001019A" w:rsidRPr="00BF33E3" w:rsidRDefault="0001019A">
      <w:pPr>
        <w:spacing w:after="0" w:line="288" w:lineRule="auto"/>
        <w:jc w:val="both"/>
      </w:pPr>
    </w:p>
    <w:p w14:paraId="06768055" w14:textId="580B899E" w:rsidR="00552D83" w:rsidRPr="00A41759" w:rsidRDefault="00552D83" w:rsidP="00552D83">
      <w:pPr>
        <w:pStyle w:val="Heading1"/>
        <w:numPr>
          <w:ilvl w:val="0"/>
          <w:numId w:val="4"/>
        </w:numPr>
        <w:textAlignment w:val="auto"/>
        <w:rPr>
          <w:sz w:val="32"/>
          <w:lang w:val="en-US"/>
        </w:rPr>
      </w:pPr>
      <w:r w:rsidRPr="00A41759">
        <w:rPr>
          <w:sz w:val="32"/>
          <w:lang w:val="en-US"/>
        </w:rPr>
        <w:t>Co-Channel Deployment of LTE and NR Side-links</w:t>
      </w:r>
    </w:p>
    <w:p w14:paraId="0FC937A5" w14:textId="5C7E4C26" w:rsidR="008F0378" w:rsidRPr="00BF33E3" w:rsidRDefault="008F0378" w:rsidP="00552D83">
      <w:pPr>
        <w:spacing w:after="0" w:line="288" w:lineRule="auto"/>
        <w:jc w:val="both"/>
      </w:pPr>
      <w:r w:rsidRPr="00BF33E3">
        <w:t xml:space="preserve">For a 5G wireless operator intending deployment of NR side-links and LTE side-links on the same channel, question is how this can be done. </w:t>
      </w:r>
      <w:r w:rsidR="006A08FC" w:rsidRPr="00BF33E3">
        <w:t xml:space="preserve">Can this be done by defining different resource pools for LTE side-links and NR side-links, in a TDM fashion (not simultaneously)? </w:t>
      </w:r>
      <w:proofErr w:type="gramStart"/>
      <w:r w:rsidR="000E1BEE" w:rsidRPr="00BF33E3">
        <w:t>Assuming that</w:t>
      </w:r>
      <w:proofErr w:type="gramEnd"/>
      <w:r w:rsidR="000E1BEE" w:rsidRPr="00BF33E3">
        <w:t xml:space="preserve"> the multiple resource pools are appropriately defined that split the resources </w:t>
      </w:r>
      <w:r w:rsidR="006A08FC" w:rsidRPr="00BF33E3">
        <w:t xml:space="preserve">of one channel </w:t>
      </w:r>
      <w:r w:rsidR="000E1BEE" w:rsidRPr="00BF33E3">
        <w:t xml:space="preserve">TDM in time, it is expected the NR side-links and LTE side-links to exist on the same channel (co-channel).  </w:t>
      </w:r>
    </w:p>
    <w:p w14:paraId="02AB54D7" w14:textId="77777777" w:rsidR="008F0378" w:rsidRPr="00BF33E3" w:rsidRDefault="008F0378" w:rsidP="00552D83">
      <w:pPr>
        <w:spacing w:after="0" w:line="288" w:lineRule="auto"/>
        <w:jc w:val="both"/>
      </w:pPr>
    </w:p>
    <w:p w14:paraId="6605ED3E" w14:textId="564B4CC9" w:rsidR="00552D83" w:rsidRDefault="000E1BEE" w:rsidP="009174C9">
      <w:pPr>
        <w:spacing w:after="0" w:line="288" w:lineRule="auto"/>
        <w:jc w:val="center"/>
        <w:rPr>
          <w:sz w:val="24"/>
          <w:szCs w:val="24"/>
        </w:rPr>
      </w:pPr>
      <w:r>
        <w:rPr>
          <w:noProof/>
          <w:sz w:val="24"/>
          <w:szCs w:val="24"/>
        </w:rPr>
        <w:drawing>
          <wp:inline distT="0" distB="0" distL="0" distR="0" wp14:anchorId="217FF7B1" wp14:editId="397A07F5">
            <wp:extent cx="2222500" cy="2132270"/>
            <wp:effectExtent l="0" t="0" r="635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6398" cy="2155198"/>
                    </a:xfrm>
                    <a:prstGeom prst="rect">
                      <a:avLst/>
                    </a:prstGeom>
                    <a:noFill/>
                  </pic:spPr>
                </pic:pic>
              </a:graphicData>
            </a:graphic>
          </wp:inline>
        </w:drawing>
      </w:r>
    </w:p>
    <w:p w14:paraId="40678885" w14:textId="334978CD" w:rsidR="00552D83" w:rsidRPr="00BF33E3" w:rsidRDefault="007A5BC3" w:rsidP="009174C9">
      <w:pPr>
        <w:spacing w:after="0" w:line="288" w:lineRule="auto"/>
        <w:jc w:val="center"/>
        <w:rPr>
          <w:b/>
        </w:rPr>
      </w:pPr>
      <w:r w:rsidRPr="00BF33E3">
        <w:rPr>
          <w:b/>
        </w:rPr>
        <w:t>Figure 1 – Defining LTE and NR side-link</w:t>
      </w:r>
      <w:r w:rsidR="006A08FC" w:rsidRPr="00BF33E3">
        <w:rPr>
          <w:b/>
        </w:rPr>
        <w:t>s</w:t>
      </w:r>
      <w:r w:rsidRPr="00BF33E3">
        <w:rPr>
          <w:b/>
        </w:rPr>
        <w:t xml:space="preserve"> resource</w:t>
      </w:r>
      <w:r w:rsidR="006A08FC" w:rsidRPr="00BF33E3">
        <w:rPr>
          <w:b/>
        </w:rPr>
        <w:t xml:space="preserve"> pools</w:t>
      </w:r>
      <w:r w:rsidRPr="00BF33E3">
        <w:rPr>
          <w:b/>
        </w:rPr>
        <w:t xml:space="preserve"> in TDM fashion</w:t>
      </w:r>
      <w:r w:rsidR="006A08FC" w:rsidRPr="00BF33E3">
        <w:rPr>
          <w:b/>
        </w:rPr>
        <w:t xml:space="preserve"> on the same channel</w:t>
      </w:r>
    </w:p>
    <w:p w14:paraId="61FF8679" w14:textId="3583CE80" w:rsidR="00552D83" w:rsidRPr="00BF33E3" w:rsidRDefault="00552D83" w:rsidP="00552D83">
      <w:pPr>
        <w:spacing w:after="0" w:line="288" w:lineRule="auto"/>
        <w:jc w:val="both"/>
      </w:pPr>
    </w:p>
    <w:p w14:paraId="1C95E190" w14:textId="782E5B48" w:rsidR="007A5BC3" w:rsidRPr="00BF33E3" w:rsidRDefault="006A08FC" w:rsidP="009174C9">
      <w:pPr>
        <w:jc w:val="both"/>
      </w:pPr>
      <w:r w:rsidRPr="00BF33E3">
        <w:rPr>
          <w:b/>
          <w:i/>
        </w:rPr>
        <w:t xml:space="preserve">Observation </w:t>
      </w:r>
      <w:r w:rsidR="007A5BC3" w:rsidRPr="00BF33E3">
        <w:rPr>
          <w:b/>
          <w:i/>
        </w:rPr>
        <w:t>1:</w:t>
      </w:r>
      <w:r w:rsidR="007A5BC3" w:rsidRPr="00BF33E3">
        <w:rPr>
          <w:i/>
        </w:rPr>
        <w:t xml:space="preserve"> Study is needed to check the feasibility of </w:t>
      </w:r>
      <w:r w:rsidRPr="00BF33E3">
        <w:rPr>
          <w:i/>
        </w:rPr>
        <w:t xml:space="preserve">coexistence between </w:t>
      </w:r>
      <w:r w:rsidR="007A5BC3" w:rsidRPr="00BF33E3">
        <w:rPr>
          <w:i/>
        </w:rPr>
        <w:t xml:space="preserve">NR side-links and LTE side-links on the same channel </w:t>
      </w:r>
      <w:r w:rsidR="00695F83" w:rsidRPr="00BF33E3">
        <w:rPr>
          <w:i/>
        </w:rPr>
        <w:t xml:space="preserve">(co-channel) </w:t>
      </w:r>
      <w:r w:rsidR="007A5BC3" w:rsidRPr="00BF33E3">
        <w:rPr>
          <w:i/>
        </w:rPr>
        <w:t xml:space="preserve">by defining the resource pools for each one appropriately in the TDM fashion. </w:t>
      </w:r>
    </w:p>
    <w:p w14:paraId="0F4FE22E" w14:textId="7F6BEB18" w:rsidR="00A16005" w:rsidRPr="00BF33E3" w:rsidRDefault="00A16005" w:rsidP="009174C9">
      <w:pPr>
        <w:jc w:val="both"/>
      </w:pPr>
      <w:r w:rsidRPr="00BF33E3">
        <w:t xml:space="preserve">If this is possible, since an NR vehicle has both NR UE as well as LTE UE, it can transmit/receive NR SL messages during the NR pool and LTE SL messages during the LTE pool. </w:t>
      </w:r>
    </w:p>
    <w:p w14:paraId="5424260F" w14:textId="1747DD58" w:rsidR="00A63DCD" w:rsidRPr="00A41759" w:rsidRDefault="002F02FD" w:rsidP="00A63DCD">
      <w:pPr>
        <w:pStyle w:val="Heading1"/>
        <w:numPr>
          <w:ilvl w:val="0"/>
          <w:numId w:val="4"/>
        </w:numPr>
        <w:textAlignment w:val="auto"/>
        <w:rPr>
          <w:sz w:val="32"/>
          <w:lang w:val="en-US"/>
        </w:rPr>
      </w:pPr>
      <w:r w:rsidRPr="00A41759">
        <w:rPr>
          <w:sz w:val="32"/>
          <w:lang w:val="en-US"/>
        </w:rPr>
        <w:t xml:space="preserve">On LTE and </w:t>
      </w:r>
      <w:r w:rsidR="00A63DCD" w:rsidRPr="00A41759">
        <w:rPr>
          <w:sz w:val="32"/>
          <w:lang w:val="en-US"/>
        </w:rPr>
        <w:t xml:space="preserve">NR </w:t>
      </w:r>
      <w:r w:rsidRPr="00A41759">
        <w:rPr>
          <w:sz w:val="32"/>
          <w:lang w:val="en-US"/>
        </w:rPr>
        <w:t xml:space="preserve">Coexistence of Adjacent Channels </w:t>
      </w:r>
      <w:proofErr w:type="gramStart"/>
      <w:r w:rsidRPr="00A41759">
        <w:rPr>
          <w:sz w:val="32"/>
          <w:lang w:val="en-US"/>
        </w:rPr>
        <w:t>-  NR</w:t>
      </w:r>
      <w:proofErr w:type="gramEnd"/>
      <w:r w:rsidRPr="00A41759">
        <w:rPr>
          <w:sz w:val="32"/>
          <w:lang w:val="en-US"/>
        </w:rPr>
        <w:t xml:space="preserve"> Using Higher </w:t>
      </w:r>
      <w:r w:rsidR="00A63DCD" w:rsidRPr="00A41759">
        <w:rPr>
          <w:sz w:val="32"/>
          <w:lang w:val="en-US"/>
        </w:rPr>
        <w:t>Numerologies</w:t>
      </w:r>
    </w:p>
    <w:p w14:paraId="591F1DD7" w14:textId="4C99290D" w:rsidR="005F5427" w:rsidRPr="00BF33E3" w:rsidRDefault="00475A5C" w:rsidP="00A63DCD">
      <w:pPr>
        <w:pStyle w:val="ListParagraph"/>
        <w:autoSpaceDE w:val="0"/>
        <w:autoSpaceDN w:val="0"/>
        <w:adjustRightInd w:val="0"/>
        <w:spacing w:after="0" w:line="240" w:lineRule="auto"/>
        <w:ind w:left="0"/>
        <w:contextualSpacing w:val="0"/>
        <w:jc w:val="both"/>
      </w:pPr>
      <w:r w:rsidRPr="00BF33E3">
        <w:t xml:space="preserve">Support of LTE and NR side-links for intra-band, </w:t>
      </w:r>
      <w:proofErr w:type="spellStart"/>
      <w:r w:rsidRPr="00BF33E3">
        <w:t>specially</w:t>
      </w:r>
      <w:proofErr w:type="spellEnd"/>
      <w:r w:rsidRPr="00BF33E3">
        <w:t xml:space="preserve"> for adjacent channels is within the scope of 3GPP. </w:t>
      </w:r>
      <w:r w:rsidR="00A454EE" w:rsidRPr="00BF33E3">
        <w:t xml:space="preserve">NR supports several numerologies </w:t>
      </w:r>
      <w:r w:rsidR="00E06A8A" w:rsidRPr="00BF33E3">
        <w:t>and SCSs for different</w:t>
      </w:r>
      <w:r w:rsidR="00A454EE" w:rsidRPr="00BF33E3">
        <w:t xml:space="preserve"> frequency band</w:t>
      </w:r>
      <w:r w:rsidR="00E06A8A" w:rsidRPr="00BF33E3">
        <w:t>s</w:t>
      </w:r>
      <w:r w:rsidR="00A454EE" w:rsidRPr="00BF33E3">
        <w:t xml:space="preserve"> and </w:t>
      </w:r>
      <w:r w:rsidR="00E06A8A" w:rsidRPr="00BF33E3">
        <w:t xml:space="preserve">appropriate for different </w:t>
      </w:r>
      <w:r w:rsidR="00A454EE" w:rsidRPr="00BF33E3">
        <w:t>deployment</w:t>
      </w:r>
      <w:r w:rsidR="00E06A8A" w:rsidRPr="00BF33E3">
        <w:t>s</w:t>
      </w:r>
      <w:r w:rsidR="00A454EE" w:rsidRPr="00BF33E3">
        <w:t>. One important advantage of the higher SCSs is supporting shorter latencies due to shorter OFDM symbol durations. This advantage could help NR V2X to position itself compared to LTE V2X.</w:t>
      </w:r>
      <w:r w:rsidR="00552D83" w:rsidRPr="00BF33E3">
        <w:t xml:space="preserve"> However, LTE always uses 15 </w:t>
      </w:r>
      <w:proofErr w:type="spellStart"/>
      <w:r w:rsidR="00552D83" w:rsidRPr="00BF33E3">
        <w:t>KHz</w:t>
      </w:r>
      <w:proofErr w:type="spellEnd"/>
      <w:r w:rsidR="00552D83" w:rsidRPr="00BF33E3">
        <w:t xml:space="preserve"> SCS. </w:t>
      </w:r>
    </w:p>
    <w:p w14:paraId="62B4DEA3" w14:textId="4FCE0614" w:rsidR="00475A5C" w:rsidRPr="00BF33E3" w:rsidRDefault="00475A5C" w:rsidP="00A63DCD">
      <w:pPr>
        <w:pStyle w:val="ListParagraph"/>
        <w:autoSpaceDE w:val="0"/>
        <w:autoSpaceDN w:val="0"/>
        <w:adjustRightInd w:val="0"/>
        <w:spacing w:after="0" w:line="240" w:lineRule="auto"/>
        <w:ind w:left="0"/>
        <w:contextualSpacing w:val="0"/>
        <w:jc w:val="both"/>
      </w:pPr>
    </w:p>
    <w:p w14:paraId="2DCC1890" w14:textId="6C74B6A0" w:rsidR="00475A5C" w:rsidRPr="00BF33E3" w:rsidRDefault="00475A5C" w:rsidP="00A63DCD">
      <w:pPr>
        <w:pStyle w:val="ListParagraph"/>
        <w:autoSpaceDE w:val="0"/>
        <w:autoSpaceDN w:val="0"/>
        <w:adjustRightInd w:val="0"/>
        <w:spacing w:after="0" w:line="240" w:lineRule="auto"/>
        <w:ind w:left="0"/>
        <w:contextualSpacing w:val="0"/>
        <w:jc w:val="both"/>
      </w:pPr>
      <w:r w:rsidRPr="00BF33E3">
        <w:t xml:space="preserve">For inter-band FDM solutions for coexistence of LTE and NR side-links, no synchronizations are assumed. For LTE and NR coexistence on adjacent channels, other than Tx/Tx and Tx/Rx issues, is any time and frequency synchronization required? The LTE 15 </w:t>
      </w:r>
      <w:proofErr w:type="spellStart"/>
      <w:r w:rsidRPr="00BF33E3">
        <w:t>KHz</w:t>
      </w:r>
      <w:proofErr w:type="spellEnd"/>
      <w:r w:rsidRPr="00BF33E3">
        <w:t xml:space="preserve"> SCS is not orthogonal with the NR 30 </w:t>
      </w:r>
      <w:proofErr w:type="spellStart"/>
      <w:r w:rsidRPr="00BF33E3">
        <w:t>KHz</w:t>
      </w:r>
      <w:proofErr w:type="spellEnd"/>
      <w:r w:rsidRPr="00BF33E3">
        <w:t xml:space="preserve"> or 60 </w:t>
      </w:r>
      <w:proofErr w:type="spellStart"/>
      <w:r w:rsidRPr="00BF33E3">
        <w:t>KHz</w:t>
      </w:r>
      <w:proofErr w:type="spellEnd"/>
      <w:r w:rsidRPr="00BF33E3">
        <w:t xml:space="preserve"> SCS, and this may require guard-band to avoid inter-numerology interference, between the side-links unless NR uses 15 </w:t>
      </w:r>
      <w:proofErr w:type="spellStart"/>
      <w:r w:rsidRPr="00BF33E3">
        <w:t>KHz</w:t>
      </w:r>
      <w:proofErr w:type="spellEnd"/>
      <w:r w:rsidRPr="00BF33E3">
        <w:t xml:space="preserve"> SCS, as well.</w:t>
      </w:r>
      <w:r w:rsidR="00C6254B" w:rsidRPr="00BF33E3">
        <w:t xml:space="preserve"> Can this be resolved by appropriately partitioning the NR band by defining different bandwidth parts for NR side-links? The study of FDM coexistence of LTE and NR side-links should also cover the intra-band </w:t>
      </w:r>
      <w:proofErr w:type="gramStart"/>
      <w:r w:rsidR="00C6254B" w:rsidRPr="00BF33E3">
        <w:t>and also</w:t>
      </w:r>
      <w:proofErr w:type="gramEnd"/>
      <w:r w:rsidR="00C6254B" w:rsidRPr="00BF33E3">
        <w:t xml:space="preserve"> adjacent-channel scenario. </w:t>
      </w:r>
    </w:p>
    <w:p w14:paraId="2F2D6EB1" w14:textId="2FC44328" w:rsidR="00F76C3F" w:rsidRPr="00BF33E3" w:rsidRDefault="00F76C3F" w:rsidP="00A63DCD">
      <w:pPr>
        <w:pStyle w:val="ListParagraph"/>
        <w:autoSpaceDE w:val="0"/>
        <w:autoSpaceDN w:val="0"/>
        <w:adjustRightInd w:val="0"/>
        <w:spacing w:after="0" w:line="240" w:lineRule="auto"/>
        <w:ind w:left="0"/>
        <w:contextualSpacing w:val="0"/>
        <w:jc w:val="both"/>
      </w:pPr>
    </w:p>
    <w:p w14:paraId="2E6B0F3C" w14:textId="2424F862" w:rsidR="002152ED" w:rsidRPr="00BF33E3" w:rsidRDefault="00C6254B" w:rsidP="00B154A6">
      <w:pPr>
        <w:jc w:val="both"/>
        <w:rPr>
          <w:i/>
        </w:rPr>
      </w:pPr>
      <w:r w:rsidRPr="00BF33E3">
        <w:rPr>
          <w:b/>
          <w:i/>
        </w:rPr>
        <w:t>Observation</w:t>
      </w:r>
      <w:r w:rsidR="002152ED" w:rsidRPr="00BF33E3">
        <w:rPr>
          <w:b/>
          <w:i/>
        </w:rPr>
        <w:t xml:space="preserve"> </w:t>
      </w:r>
      <w:r w:rsidR="00B42113" w:rsidRPr="00BF33E3">
        <w:rPr>
          <w:b/>
          <w:i/>
        </w:rPr>
        <w:t>2</w:t>
      </w:r>
      <w:r w:rsidR="002152ED" w:rsidRPr="00BF33E3">
        <w:rPr>
          <w:b/>
          <w:i/>
        </w:rPr>
        <w:t>:</w:t>
      </w:r>
      <w:r w:rsidR="002152ED" w:rsidRPr="00BF33E3">
        <w:rPr>
          <w:i/>
        </w:rPr>
        <w:t xml:space="preserve"> </w:t>
      </w:r>
      <w:r w:rsidR="00B42113" w:rsidRPr="00BF33E3">
        <w:rPr>
          <w:i/>
        </w:rPr>
        <w:t>St</w:t>
      </w:r>
      <w:r w:rsidR="002152ED" w:rsidRPr="00BF33E3">
        <w:rPr>
          <w:i/>
        </w:rPr>
        <w:t xml:space="preserve">udy </w:t>
      </w:r>
      <w:r w:rsidR="00B42113" w:rsidRPr="00BF33E3">
        <w:rPr>
          <w:i/>
        </w:rPr>
        <w:t xml:space="preserve">should be performed for </w:t>
      </w:r>
      <w:r w:rsidR="002152ED" w:rsidRPr="00BF33E3">
        <w:rPr>
          <w:i/>
        </w:rPr>
        <w:t xml:space="preserve">the </w:t>
      </w:r>
      <w:r w:rsidRPr="00BF33E3">
        <w:rPr>
          <w:i/>
        </w:rPr>
        <w:t xml:space="preserve">coexistence of LTE and NR side-links for intra-band and specially the adjacent-bands scenarios. </w:t>
      </w:r>
    </w:p>
    <w:p w14:paraId="1B1CD053" w14:textId="77777777" w:rsidR="00F95EFB" w:rsidRPr="00A41759" w:rsidRDefault="00F95EFB" w:rsidP="006A1A84">
      <w:pPr>
        <w:pStyle w:val="Heading1"/>
        <w:numPr>
          <w:ilvl w:val="0"/>
          <w:numId w:val="4"/>
        </w:numPr>
        <w:textAlignment w:val="auto"/>
        <w:rPr>
          <w:sz w:val="32"/>
          <w:lang w:val="en-US"/>
        </w:rPr>
      </w:pPr>
      <w:r w:rsidRPr="00A41759">
        <w:rPr>
          <w:sz w:val="32"/>
          <w:lang w:val="en-US"/>
        </w:rPr>
        <w:t>Summary</w:t>
      </w:r>
    </w:p>
    <w:p w14:paraId="68908121" w14:textId="2095ACA6" w:rsidR="00810E7B" w:rsidRPr="00BF33E3" w:rsidRDefault="001E374F" w:rsidP="00057E33">
      <w:pPr>
        <w:autoSpaceDE w:val="0"/>
        <w:autoSpaceDN w:val="0"/>
        <w:adjustRightInd w:val="0"/>
        <w:jc w:val="both"/>
      </w:pPr>
      <w:r w:rsidRPr="00BF33E3">
        <w:t xml:space="preserve">This contribution </w:t>
      </w:r>
      <w:r w:rsidR="00810E7B" w:rsidRPr="00BF33E3">
        <w:t xml:space="preserve">is </w:t>
      </w:r>
      <w:r w:rsidR="00D03867" w:rsidRPr="00BF33E3">
        <w:t>discussing</w:t>
      </w:r>
      <w:r w:rsidR="00810E7B" w:rsidRPr="00BF33E3">
        <w:t xml:space="preserve"> the coexistence between </w:t>
      </w:r>
      <w:r w:rsidR="00D03867" w:rsidRPr="00BF33E3">
        <w:t xml:space="preserve">NR side-links and </w:t>
      </w:r>
      <w:r w:rsidR="00810E7B" w:rsidRPr="00BF33E3">
        <w:t xml:space="preserve">LTE </w:t>
      </w:r>
      <w:r w:rsidR="00D03867" w:rsidRPr="00BF33E3">
        <w:t>side-</w:t>
      </w:r>
      <w:r w:rsidR="00810E7B" w:rsidRPr="00BF33E3">
        <w:t xml:space="preserve">links </w:t>
      </w:r>
      <w:r w:rsidR="00702BA1" w:rsidRPr="00BF33E3">
        <w:t xml:space="preserve">and raising questions how </w:t>
      </w:r>
      <w:r w:rsidR="00810E7B" w:rsidRPr="00BF33E3">
        <w:t xml:space="preserve">can </w:t>
      </w:r>
      <w:r w:rsidR="00702BA1" w:rsidRPr="00BF33E3">
        <w:t xml:space="preserve">this </w:t>
      </w:r>
      <w:r w:rsidR="00810E7B" w:rsidRPr="00BF33E3">
        <w:t xml:space="preserve">be supported </w:t>
      </w:r>
      <w:r w:rsidR="00D03867" w:rsidRPr="00BF33E3">
        <w:t xml:space="preserve">on co-channel </w:t>
      </w:r>
      <w:r w:rsidR="00702BA1" w:rsidRPr="00BF33E3">
        <w:t xml:space="preserve">or intra-band (adjacent-channel) </w:t>
      </w:r>
      <w:r w:rsidR="00D03867" w:rsidRPr="00BF33E3">
        <w:t>deployment</w:t>
      </w:r>
      <w:r w:rsidR="00702BA1" w:rsidRPr="00BF33E3">
        <w:t>s</w:t>
      </w:r>
      <w:r w:rsidR="00425067">
        <w:t>?</w:t>
      </w:r>
    </w:p>
    <w:p w14:paraId="7075484B" w14:textId="5C9B4E5A" w:rsidR="007A5BC3" w:rsidRPr="00BF33E3" w:rsidRDefault="006A08FC" w:rsidP="009174C9">
      <w:pPr>
        <w:jc w:val="both"/>
        <w:rPr>
          <w:i/>
        </w:rPr>
      </w:pPr>
      <w:r w:rsidRPr="00BF33E3">
        <w:rPr>
          <w:b/>
          <w:i/>
        </w:rPr>
        <w:t>Observation 1:</w:t>
      </w:r>
      <w:r w:rsidRPr="00BF33E3">
        <w:rPr>
          <w:i/>
        </w:rPr>
        <w:t xml:space="preserve"> Study is needed to check the feasibility of coexistence between NR side-links and LTE side-links on the same channel (co-channel) by defining the resource pools for each one appropriately in the TDM fashion. </w:t>
      </w:r>
    </w:p>
    <w:p w14:paraId="7E515DDB" w14:textId="3B694EAE" w:rsidR="001D6531" w:rsidRPr="00BF33E3" w:rsidRDefault="00C6254B" w:rsidP="003841DC">
      <w:pPr>
        <w:jc w:val="both"/>
        <w:rPr>
          <w:i/>
        </w:rPr>
      </w:pPr>
      <w:r w:rsidRPr="00BF33E3">
        <w:rPr>
          <w:b/>
          <w:i/>
        </w:rPr>
        <w:t>Observation 2:</w:t>
      </w:r>
      <w:r w:rsidRPr="00BF33E3">
        <w:rPr>
          <w:i/>
        </w:rPr>
        <w:t xml:space="preserve"> Study should be performed for the coexistence of LTE and NR side-links for intra-band and specially the adjacent-bands scenarios. </w:t>
      </w:r>
    </w:p>
    <w:p w14:paraId="5DE23902" w14:textId="23E7E8A3" w:rsidR="000663ED" w:rsidRPr="00A41759" w:rsidRDefault="007B6675" w:rsidP="00B154A6">
      <w:pPr>
        <w:pStyle w:val="Heading1"/>
        <w:numPr>
          <w:ilvl w:val="0"/>
          <w:numId w:val="4"/>
        </w:numPr>
        <w:textAlignment w:val="auto"/>
        <w:rPr>
          <w:sz w:val="32"/>
          <w:szCs w:val="32"/>
        </w:rPr>
      </w:pPr>
      <w:r w:rsidRPr="00A41759">
        <w:rPr>
          <w:sz w:val="32"/>
          <w:szCs w:val="32"/>
          <w:lang w:val="en-US"/>
        </w:rPr>
        <w:t>References</w:t>
      </w:r>
    </w:p>
    <w:p w14:paraId="465AA8C5" w14:textId="1F096D1A" w:rsidR="00702783" w:rsidRPr="00BF33E3" w:rsidRDefault="00702783" w:rsidP="001476FA">
      <w:pPr>
        <w:pStyle w:val="References"/>
        <w:numPr>
          <w:ilvl w:val="0"/>
          <w:numId w:val="27"/>
        </w:numPr>
        <w:adjustRightInd w:val="0"/>
        <w:spacing w:after="0"/>
        <w:jc w:val="left"/>
        <w:rPr>
          <w:rFonts w:asciiTheme="minorHAnsi" w:eastAsiaTheme="minorHAnsi" w:hAnsiTheme="minorHAnsi" w:cstheme="minorBidi"/>
          <w:sz w:val="22"/>
          <w:szCs w:val="22"/>
        </w:rPr>
      </w:pPr>
      <w:bookmarkStart w:id="6" w:name="_Ref521501348"/>
      <w:bookmarkStart w:id="7" w:name="_Ref524788910"/>
      <w:r w:rsidRPr="00BF33E3">
        <w:rPr>
          <w:rFonts w:asciiTheme="minorHAnsi" w:eastAsiaTheme="minorHAnsi" w:hAnsiTheme="minorHAnsi" w:cstheme="minorBidi"/>
          <w:sz w:val="22"/>
          <w:szCs w:val="22"/>
        </w:rPr>
        <w:t xml:space="preserve">RP-182111, </w:t>
      </w:r>
      <w:r w:rsidRPr="00BF33E3">
        <w:rPr>
          <w:rFonts w:asciiTheme="minorHAnsi" w:eastAsiaTheme="minorHAnsi" w:hAnsiTheme="minorHAnsi" w:cstheme="minorBidi"/>
          <w:i/>
          <w:sz w:val="22"/>
          <w:szCs w:val="22"/>
        </w:rPr>
        <w:t>“Revised SID: Study on NR V2X”</w:t>
      </w:r>
      <w:bookmarkEnd w:id="6"/>
      <w:r w:rsidRPr="00BF33E3">
        <w:rPr>
          <w:rFonts w:asciiTheme="minorHAnsi" w:eastAsiaTheme="minorHAnsi" w:hAnsiTheme="minorHAnsi" w:cstheme="minorBidi"/>
          <w:sz w:val="22"/>
          <w:szCs w:val="22"/>
        </w:rPr>
        <w:t>, Sept. 2018.</w:t>
      </w:r>
    </w:p>
    <w:p w14:paraId="66C85735" w14:textId="5223B063" w:rsidR="00DE264B" w:rsidRPr="00BF33E3" w:rsidRDefault="00DE264B" w:rsidP="00DE264B">
      <w:pPr>
        <w:pStyle w:val="References"/>
        <w:numPr>
          <w:ilvl w:val="0"/>
          <w:numId w:val="27"/>
        </w:numPr>
        <w:adjustRightInd w:val="0"/>
        <w:spacing w:after="0"/>
        <w:jc w:val="left"/>
        <w:rPr>
          <w:rFonts w:asciiTheme="minorHAnsi" w:eastAsiaTheme="minorHAnsi" w:hAnsiTheme="minorHAnsi" w:cstheme="minorBidi"/>
          <w:sz w:val="22"/>
          <w:szCs w:val="22"/>
        </w:rPr>
      </w:pPr>
      <w:bookmarkStart w:id="8" w:name="_Ref524788917"/>
      <w:bookmarkEnd w:id="7"/>
      <w:r w:rsidRPr="00BF33E3">
        <w:rPr>
          <w:rFonts w:asciiTheme="minorHAnsi" w:eastAsiaTheme="minorHAnsi" w:hAnsiTheme="minorHAnsi" w:cstheme="minorBidi"/>
          <w:sz w:val="22"/>
          <w:szCs w:val="22"/>
        </w:rPr>
        <w:t>RAN1 Chairman’s notes, RAN1#9</w:t>
      </w:r>
      <w:r w:rsidR="00702783" w:rsidRPr="00BF33E3">
        <w:rPr>
          <w:rFonts w:asciiTheme="minorHAnsi" w:eastAsiaTheme="minorHAnsi" w:hAnsiTheme="minorHAnsi" w:cstheme="minorBidi"/>
          <w:sz w:val="22"/>
          <w:szCs w:val="22"/>
        </w:rPr>
        <w:t>5</w:t>
      </w:r>
      <w:r w:rsidRPr="00BF33E3">
        <w:rPr>
          <w:rFonts w:asciiTheme="minorHAnsi" w:eastAsiaTheme="minorHAnsi" w:hAnsiTheme="minorHAnsi" w:cstheme="minorBidi"/>
          <w:sz w:val="22"/>
          <w:szCs w:val="22"/>
        </w:rPr>
        <w:t xml:space="preserve">, </w:t>
      </w:r>
      <w:r w:rsidR="00702783" w:rsidRPr="00BF33E3">
        <w:rPr>
          <w:rFonts w:asciiTheme="minorHAnsi" w:eastAsiaTheme="minorHAnsi" w:hAnsiTheme="minorHAnsi" w:cstheme="minorBidi"/>
          <w:sz w:val="22"/>
          <w:szCs w:val="22"/>
        </w:rPr>
        <w:t>Spokane</w:t>
      </w:r>
      <w:r w:rsidRPr="00BF33E3">
        <w:rPr>
          <w:rFonts w:asciiTheme="minorHAnsi" w:eastAsiaTheme="minorHAnsi" w:hAnsiTheme="minorHAnsi" w:cstheme="minorBidi"/>
          <w:sz w:val="22"/>
          <w:szCs w:val="22"/>
        </w:rPr>
        <w:t xml:space="preserve">, </w:t>
      </w:r>
      <w:r w:rsidR="00702783" w:rsidRPr="00BF33E3">
        <w:rPr>
          <w:rFonts w:asciiTheme="minorHAnsi" w:eastAsiaTheme="minorHAnsi" w:hAnsiTheme="minorHAnsi" w:cstheme="minorBidi"/>
          <w:sz w:val="22"/>
          <w:szCs w:val="22"/>
        </w:rPr>
        <w:t>WA</w:t>
      </w:r>
      <w:r w:rsidRPr="00BF33E3">
        <w:rPr>
          <w:rFonts w:asciiTheme="minorHAnsi" w:eastAsiaTheme="minorHAnsi" w:hAnsiTheme="minorHAnsi" w:cstheme="minorBidi"/>
          <w:sz w:val="22"/>
          <w:szCs w:val="22"/>
        </w:rPr>
        <w:t xml:space="preserve">, </w:t>
      </w:r>
      <w:r w:rsidR="00702783" w:rsidRPr="00BF33E3">
        <w:rPr>
          <w:rFonts w:asciiTheme="minorHAnsi" w:eastAsiaTheme="minorHAnsi" w:hAnsiTheme="minorHAnsi" w:cstheme="minorBidi"/>
          <w:sz w:val="22"/>
          <w:szCs w:val="22"/>
        </w:rPr>
        <w:t>November 12</w:t>
      </w:r>
      <w:r w:rsidR="00702783" w:rsidRPr="00BF33E3">
        <w:rPr>
          <w:rFonts w:asciiTheme="minorHAnsi" w:eastAsiaTheme="minorHAnsi" w:hAnsiTheme="minorHAnsi" w:cstheme="minorBidi"/>
          <w:sz w:val="22"/>
          <w:szCs w:val="22"/>
          <w:vertAlign w:val="superscript"/>
        </w:rPr>
        <w:t>th</w:t>
      </w:r>
      <w:r w:rsidRPr="00BF33E3">
        <w:rPr>
          <w:rFonts w:asciiTheme="minorHAnsi" w:eastAsiaTheme="minorHAnsi" w:hAnsiTheme="minorHAnsi" w:cstheme="minorBidi"/>
          <w:sz w:val="22"/>
          <w:szCs w:val="22"/>
        </w:rPr>
        <w:t xml:space="preserve">– </w:t>
      </w:r>
      <w:r w:rsidR="00702783" w:rsidRPr="00BF33E3">
        <w:rPr>
          <w:rFonts w:asciiTheme="minorHAnsi" w:eastAsiaTheme="minorHAnsi" w:hAnsiTheme="minorHAnsi" w:cstheme="minorBidi"/>
          <w:sz w:val="22"/>
          <w:szCs w:val="22"/>
        </w:rPr>
        <w:t>16</w:t>
      </w:r>
      <w:r w:rsidR="00702783" w:rsidRPr="00BF33E3">
        <w:rPr>
          <w:rFonts w:asciiTheme="minorHAnsi" w:eastAsiaTheme="minorHAnsi" w:hAnsiTheme="minorHAnsi" w:cstheme="minorBidi"/>
          <w:sz w:val="22"/>
          <w:szCs w:val="22"/>
          <w:vertAlign w:val="superscript"/>
        </w:rPr>
        <w:t>th</w:t>
      </w:r>
      <w:r w:rsidRPr="00BF33E3">
        <w:rPr>
          <w:rFonts w:asciiTheme="minorHAnsi" w:eastAsiaTheme="minorHAnsi" w:hAnsiTheme="minorHAnsi" w:cstheme="minorBidi"/>
          <w:sz w:val="22"/>
          <w:szCs w:val="22"/>
        </w:rPr>
        <w:t>, 2018</w:t>
      </w:r>
      <w:r w:rsidRPr="00BF33E3">
        <w:rPr>
          <w:rFonts w:asciiTheme="minorHAnsi" w:eastAsiaTheme="minorHAnsi" w:hAnsiTheme="minorHAnsi" w:cstheme="minorBidi" w:hint="eastAsia"/>
          <w:sz w:val="22"/>
          <w:szCs w:val="22"/>
        </w:rPr>
        <w:t>.</w:t>
      </w:r>
      <w:bookmarkEnd w:id="8"/>
    </w:p>
    <w:p w14:paraId="70A6EAD1" w14:textId="5CEE1A3D" w:rsidR="003948CC" w:rsidRPr="00BF33E3" w:rsidRDefault="00702783" w:rsidP="00B154A6">
      <w:pPr>
        <w:pStyle w:val="References"/>
        <w:numPr>
          <w:ilvl w:val="0"/>
          <w:numId w:val="27"/>
        </w:numPr>
        <w:adjustRightInd w:val="0"/>
        <w:spacing w:after="0"/>
        <w:jc w:val="left"/>
        <w:rPr>
          <w:sz w:val="22"/>
          <w:szCs w:val="22"/>
        </w:rPr>
      </w:pPr>
      <w:r w:rsidRPr="00BF33E3">
        <w:rPr>
          <w:rFonts w:asciiTheme="minorHAnsi" w:eastAsiaTheme="minorHAnsi" w:hAnsiTheme="minorHAnsi" w:cstheme="minorBidi"/>
          <w:sz w:val="22"/>
          <w:szCs w:val="22"/>
        </w:rPr>
        <w:t xml:space="preserve">R1-1814153, </w:t>
      </w:r>
      <w:r w:rsidRPr="00BF33E3">
        <w:rPr>
          <w:i/>
          <w:sz w:val="22"/>
          <w:szCs w:val="22"/>
        </w:rPr>
        <w:t>“</w:t>
      </w:r>
      <w:r w:rsidRPr="00BF33E3">
        <w:rPr>
          <w:rFonts w:asciiTheme="minorHAnsi" w:eastAsiaTheme="minorHAnsi" w:hAnsiTheme="minorHAnsi" w:cstheme="minorBidi"/>
          <w:i/>
          <w:sz w:val="22"/>
          <w:szCs w:val="22"/>
        </w:rPr>
        <w:t>Summary of Coexistence Aspects in NR-V2X Study (AI 7.2.4.5),</w:t>
      </w:r>
      <w:r w:rsidRPr="00BF33E3">
        <w:rPr>
          <w:i/>
          <w:sz w:val="22"/>
          <w:szCs w:val="22"/>
        </w:rPr>
        <w:t xml:space="preserve">” </w:t>
      </w:r>
      <w:r w:rsidRPr="00BF33E3">
        <w:rPr>
          <w:rFonts w:asciiTheme="minorHAnsi" w:eastAsiaTheme="minorHAnsi" w:hAnsiTheme="minorHAnsi" w:cstheme="minorBidi"/>
          <w:sz w:val="22"/>
          <w:szCs w:val="22"/>
        </w:rPr>
        <w:t>Qualcomm Incorporated, 3GPP TSG RAN WG1 Meeting #95, Spokane, USA, November 12</w:t>
      </w:r>
      <w:r w:rsidR="00F244CD" w:rsidRPr="00BF33E3">
        <w:rPr>
          <w:sz w:val="22"/>
          <w:szCs w:val="22"/>
          <w:vertAlign w:val="superscript"/>
        </w:rPr>
        <w:t>th</w:t>
      </w:r>
      <w:r w:rsidRPr="00BF33E3">
        <w:rPr>
          <w:rFonts w:asciiTheme="minorHAnsi" w:eastAsiaTheme="minorHAnsi" w:hAnsiTheme="minorHAnsi" w:cstheme="minorBidi"/>
          <w:sz w:val="22"/>
          <w:szCs w:val="22"/>
        </w:rPr>
        <w:t>– 16</w:t>
      </w:r>
      <w:r w:rsidR="00F244CD" w:rsidRPr="00BF33E3">
        <w:rPr>
          <w:sz w:val="22"/>
          <w:szCs w:val="22"/>
          <w:vertAlign w:val="superscript"/>
        </w:rPr>
        <w:t>th</w:t>
      </w:r>
      <w:r w:rsidRPr="00BF33E3">
        <w:rPr>
          <w:rFonts w:asciiTheme="minorHAnsi" w:eastAsiaTheme="minorHAnsi" w:hAnsiTheme="minorHAnsi" w:cstheme="minorBidi"/>
          <w:sz w:val="22"/>
          <w:szCs w:val="22"/>
        </w:rPr>
        <w:t>, 201</w:t>
      </w:r>
      <w:r w:rsidR="00F244CD" w:rsidRPr="00BF33E3">
        <w:rPr>
          <w:rFonts w:asciiTheme="minorHAnsi" w:eastAsiaTheme="minorHAnsi" w:hAnsiTheme="minorHAnsi" w:cstheme="minorBidi"/>
          <w:sz w:val="22"/>
          <w:szCs w:val="22"/>
        </w:rPr>
        <w:t xml:space="preserve">8. </w:t>
      </w:r>
      <w:bookmarkStart w:id="9" w:name="Source"/>
      <w:bookmarkEnd w:id="9"/>
    </w:p>
    <w:p w14:paraId="357172EC" w14:textId="6E72B543" w:rsidR="00583F5A" w:rsidRPr="00BF33E3" w:rsidRDefault="00583F5A" w:rsidP="00B154A6">
      <w:pPr>
        <w:pStyle w:val="References"/>
        <w:numPr>
          <w:ilvl w:val="0"/>
          <w:numId w:val="27"/>
        </w:numPr>
        <w:adjustRightInd w:val="0"/>
        <w:spacing w:after="0"/>
        <w:jc w:val="left"/>
        <w:rPr>
          <w:rFonts w:asciiTheme="minorHAnsi" w:eastAsiaTheme="minorHAnsi" w:hAnsiTheme="minorHAnsi" w:cstheme="minorBidi"/>
          <w:sz w:val="22"/>
          <w:szCs w:val="22"/>
        </w:rPr>
      </w:pPr>
      <w:r w:rsidRPr="00BF33E3">
        <w:rPr>
          <w:rFonts w:asciiTheme="minorHAnsi" w:eastAsiaTheme="minorHAnsi" w:hAnsiTheme="minorHAnsi" w:cstheme="minorBidi"/>
          <w:sz w:val="22"/>
          <w:szCs w:val="22"/>
        </w:rPr>
        <w:t xml:space="preserve">3GPP TR 38.855, </w:t>
      </w:r>
      <w:r w:rsidRPr="00BF33E3">
        <w:rPr>
          <w:rFonts w:asciiTheme="minorHAnsi" w:eastAsiaTheme="minorHAnsi" w:hAnsiTheme="minorHAnsi" w:cstheme="minorBidi"/>
          <w:i/>
          <w:sz w:val="22"/>
          <w:szCs w:val="22"/>
        </w:rPr>
        <w:t>“NR; Study on Vehicle-to-Everything,”</w:t>
      </w:r>
      <w:r w:rsidRPr="00BF33E3">
        <w:rPr>
          <w:rFonts w:asciiTheme="minorHAnsi" w:eastAsiaTheme="minorHAnsi" w:hAnsiTheme="minorHAnsi" w:cstheme="minorBidi"/>
          <w:sz w:val="22"/>
          <w:szCs w:val="22"/>
        </w:rPr>
        <w:t xml:space="preserve"> Release 16 </w:t>
      </w:r>
    </w:p>
    <w:p w14:paraId="02F953D6" w14:textId="77777777" w:rsidR="00583F5A" w:rsidRPr="00BF33E3" w:rsidRDefault="00583F5A" w:rsidP="00BF33E3">
      <w:pPr>
        <w:pStyle w:val="References"/>
        <w:numPr>
          <w:ilvl w:val="0"/>
          <w:numId w:val="0"/>
        </w:numPr>
        <w:adjustRightInd w:val="0"/>
        <w:spacing w:after="0"/>
        <w:jc w:val="left"/>
        <w:rPr>
          <w:sz w:val="22"/>
          <w:szCs w:val="22"/>
        </w:rPr>
      </w:pPr>
    </w:p>
    <w:sectPr w:rsidR="00583F5A" w:rsidRPr="00BF33E3">
      <w:footerReference w:type="default" r:id="rId10"/>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EC04B" w14:textId="77777777" w:rsidR="001B026D" w:rsidRDefault="001B026D" w:rsidP="000519FA">
      <w:pPr>
        <w:spacing w:after="0" w:line="240" w:lineRule="auto"/>
      </w:pPr>
      <w:r>
        <w:separator/>
      </w:r>
    </w:p>
  </w:endnote>
  <w:endnote w:type="continuationSeparator" w:id="0">
    <w:p w14:paraId="62590D19" w14:textId="77777777" w:rsidR="001B026D" w:rsidRDefault="001B026D"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1537275"/>
      <w:docPartObj>
        <w:docPartGallery w:val="Page Numbers (Bottom of Page)"/>
        <w:docPartUnique/>
      </w:docPartObj>
    </w:sdtPr>
    <w:sdtEndPr>
      <w:rPr>
        <w:noProof/>
      </w:rPr>
    </w:sdtEndPr>
    <w:sdtContent>
      <w:p w14:paraId="3D6D5032" w14:textId="23BEF964" w:rsidR="00474824" w:rsidRDefault="00474824">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5AA5679" w14:textId="77777777" w:rsidR="00474824" w:rsidRDefault="004748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A944A" w14:textId="77777777" w:rsidR="001B026D" w:rsidRDefault="001B026D" w:rsidP="000519FA">
      <w:pPr>
        <w:spacing w:after="0" w:line="240" w:lineRule="auto"/>
      </w:pPr>
      <w:r>
        <w:separator/>
      </w:r>
    </w:p>
  </w:footnote>
  <w:footnote w:type="continuationSeparator" w:id="0">
    <w:p w14:paraId="332C4930" w14:textId="77777777" w:rsidR="001B026D" w:rsidRDefault="001B026D"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22FA4"/>
    <w:multiLevelType w:val="hybridMultilevel"/>
    <w:tmpl w:val="DDAC8818"/>
    <w:lvl w:ilvl="0" w:tplc="777AF890">
      <w:start w:val="1"/>
      <w:numFmt w:val="bullet"/>
      <w:lvlText w:val="•"/>
      <w:lvlJc w:val="left"/>
      <w:pPr>
        <w:tabs>
          <w:tab w:val="num" w:pos="720"/>
        </w:tabs>
        <w:ind w:left="720" w:hanging="360"/>
      </w:pPr>
      <w:rPr>
        <w:rFonts w:ascii="Arial" w:hAnsi="Arial" w:hint="default"/>
      </w:rPr>
    </w:lvl>
    <w:lvl w:ilvl="1" w:tplc="5D8E7E32" w:tentative="1">
      <w:start w:val="1"/>
      <w:numFmt w:val="bullet"/>
      <w:lvlText w:val="•"/>
      <w:lvlJc w:val="left"/>
      <w:pPr>
        <w:tabs>
          <w:tab w:val="num" w:pos="1440"/>
        </w:tabs>
        <w:ind w:left="1440" w:hanging="360"/>
      </w:pPr>
      <w:rPr>
        <w:rFonts w:ascii="Arial" w:hAnsi="Arial" w:hint="default"/>
      </w:rPr>
    </w:lvl>
    <w:lvl w:ilvl="2" w:tplc="B1FA5320">
      <w:start w:val="1"/>
      <w:numFmt w:val="bullet"/>
      <w:lvlText w:val="•"/>
      <w:lvlJc w:val="left"/>
      <w:pPr>
        <w:tabs>
          <w:tab w:val="num" w:pos="2160"/>
        </w:tabs>
        <w:ind w:left="2160" w:hanging="360"/>
      </w:pPr>
      <w:rPr>
        <w:rFonts w:ascii="Arial" w:hAnsi="Arial" w:hint="default"/>
      </w:rPr>
    </w:lvl>
    <w:lvl w:ilvl="3" w:tplc="819A6FD8" w:tentative="1">
      <w:start w:val="1"/>
      <w:numFmt w:val="bullet"/>
      <w:lvlText w:val="•"/>
      <w:lvlJc w:val="left"/>
      <w:pPr>
        <w:tabs>
          <w:tab w:val="num" w:pos="2880"/>
        </w:tabs>
        <w:ind w:left="2880" w:hanging="360"/>
      </w:pPr>
      <w:rPr>
        <w:rFonts w:ascii="Arial" w:hAnsi="Arial" w:hint="default"/>
      </w:rPr>
    </w:lvl>
    <w:lvl w:ilvl="4" w:tplc="551455A8" w:tentative="1">
      <w:start w:val="1"/>
      <w:numFmt w:val="bullet"/>
      <w:lvlText w:val="•"/>
      <w:lvlJc w:val="left"/>
      <w:pPr>
        <w:tabs>
          <w:tab w:val="num" w:pos="3600"/>
        </w:tabs>
        <w:ind w:left="3600" w:hanging="360"/>
      </w:pPr>
      <w:rPr>
        <w:rFonts w:ascii="Arial" w:hAnsi="Arial" w:hint="default"/>
      </w:rPr>
    </w:lvl>
    <w:lvl w:ilvl="5" w:tplc="93BE5242" w:tentative="1">
      <w:start w:val="1"/>
      <w:numFmt w:val="bullet"/>
      <w:lvlText w:val="•"/>
      <w:lvlJc w:val="left"/>
      <w:pPr>
        <w:tabs>
          <w:tab w:val="num" w:pos="4320"/>
        </w:tabs>
        <w:ind w:left="4320" w:hanging="360"/>
      </w:pPr>
      <w:rPr>
        <w:rFonts w:ascii="Arial" w:hAnsi="Arial" w:hint="default"/>
      </w:rPr>
    </w:lvl>
    <w:lvl w:ilvl="6" w:tplc="436CE150" w:tentative="1">
      <w:start w:val="1"/>
      <w:numFmt w:val="bullet"/>
      <w:lvlText w:val="•"/>
      <w:lvlJc w:val="left"/>
      <w:pPr>
        <w:tabs>
          <w:tab w:val="num" w:pos="5040"/>
        </w:tabs>
        <w:ind w:left="5040" w:hanging="360"/>
      </w:pPr>
      <w:rPr>
        <w:rFonts w:ascii="Arial" w:hAnsi="Arial" w:hint="default"/>
      </w:rPr>
    </w:lvl>
    <w:lvl w:ilvl="7" w:tplc="586EEDAE" w:tentative="1">
      <w:start w:val="1"/>
      <w:numFmt w:val="bullet"/>
      <w:lvlText w:val="•"/>
      <w:lvlJc w:val="left"/>
      <w:pPr>
        <w:tabs>
          <w:tab w:val="num" w:pos="5760"/>
        </w:tabs>
        <w:ind w:left="5760" w:hanging="360"/>
      </w:pPr>
      <w:rPr>
        <w:rFonts w:ascii="Arial" w:hAnsi="Arial" w:hint="default"/>
      </w:rPr>
    </w:lvl>
    <w:lvl w:ilvl="8" w:tplc="C896BE0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9D079A"/>
    <w:multiLevelType w:val="hybridMultilevel"/>
    <w:tmpl w:val="F8822DB8"/>
    <w:lvl w:ilvl="0" w:tplc="04090003">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9B79C8"/>
    <w:multiLevelType w:val="multilevel"/>
    <w:tmpl w:val="87985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7B56C2"/>
    <w:multiLevelType w:val="hybridMultilevel"/>
    <w:tmpl w:val="47A61A96"/>
    <w:lvl w:ilvl="0" w:tplc="5E961628">
      <w:start w:val="1"/>
      <w:numFmt w:val="bullet"/>
      <w:lvlText w:val="•"/>
      <w:lvlJc w:val="left"/>
      <w:pPr>
        <w:tabs>
          <w:tab w:val="num" w:pos="360"/>
        </w:tabs>
        <w:ind w:left="360" w:hanging="360"/>
      </w:pPr>
      <w:rPr>
        <w:rFonts w:ascii="Arial" w:hAnsi="Arial" w:hint="default"/>
      </w:rPr>
    </w:lvl>
    <w:lvl w:ilvl="1" w:tplc="5A22459A">
      <w:start w:val="1"/>
      <w:numFmt w:val="bullet"/>
      <w:lvlText w:val="•"/>
      <w:lvlJc w:val="left"/>
      <w:pPr>
        <w:tabs>
          <w:tab w:val="num" w:pos="1080"/>
        </w:tabs>
        <w:ind w:left="1080" w:hanging="360"/>
      </w:pPr>
      <w:rPr>
        <w:rFonts w:ascii="Arial" w:hAnsi="Arial" w:hint="default"/>
      </w:rPr>
    </w:lvl>
    <w:lvl w:ilvl="2" w:tplc="7BA6FCA0">
      <w:start w:val="1354"/>
      <w:numFmt w:val="bullet"/>
      <w:lvlText w:val="−"/>
      <w:lvlJc w:val="left"/>
      <w:pPr>
        <w:tabs>
          <w:tab w:val="num" w:pos="1800"/>
        </w:tabs>
        <w:ind w:left="1800" w:hanging="360"/>
      </w:pPr>
      <w:rPr>
        <w:rFonts w:ascii="Calibri" w:hAnsi="Calibri" w:hint="default"/>
      </w:rPr>
    </w:lvl>
    <w:lvl w:ilvl="3" w:tplc="32880D94">
      <w:start w:val="1354"/>
      <w:numFmt w:val="bullet"/>
      <w:lvlText w:val="−"/>
      <w:lvlJc w:val="left"/>
      <w:pPr>
        <w:tabs>
          <w:tab w:val="num" w:pos="2520"/>
        </w:tabs>
        <w:ind w:left="2520" w:hanging="360"/>
      </w:pPr>
      <w:rPr>
        <w:rFonts w:ascii="Calibri" w:hAnsi="Calibri" w:hint="default"/>
      </w:rPr>
    </w:lvl>
    <w:lvl w:ilvl="4" w:tplc="4F1AF252">
      <w:start w:val="1"/>
      <w:numFmt w:val="bullet"/>
      <w:lvlText w:val="•"/>
      <w:lvlJc w:val="left"/>
      <w:pPr>
        <w:tabs>
          <w:tab w:val="num" w:pos="3240"/>
        </w:tabs>
        <w:ind w:left="3240" w:hanging="360"/>
      </w:pPr>
      <w:rPr>
        <w:rFonts w:ascii="Arial" w:hAnsi="Arial" w:hint="default"/>
      </w:rPr>
    </w:lvl>
    <w:lvl w:ilvl="5" w:tplc="CC542734" w:tentative="1">
      <w:start w:val="1"/>
      <w:numFmt w:val="bullet"/>
      <w:lvlText w:val="•"/>
      <w:lvlJc w:val="left"/>
      <w:pPr>
        <w:tabs>
          <w:tab w:val="num" w:pos="3960"/>
        </w:tabs>
        <w:ind w:left="3960" w:hanging="360"/>
      </w:pPr>
      <w:rPr>
        <w:rFonts w:ascii="Arial" w:hAnsi="Arial" w:hint="default"/>
      </w:rPr>
    </w:lvl>
    <w:lvl w:ilvl="6" w:tplc="7BB0AE40" w:tentative="1">
      <w:start w:val="1"/>
      <w:numFmt w:val="bullet"/>
      <w:lvlText w:val="•"/>
      <w:lvlJc w:val="left"/>
      <w:pPr>
        <w:tabs>
          <w:tab w:val="num" w:pos="4680"/>
        </w:tabs>
        <w:ind w:left="4680" w:hanging="360"/>
      </w:pPr>
      <w:rPr>
        <w:rFonts w:ascii="Arial" w:hAnsi="Arial" w:hint="default"/>
      </w:rPr>
    </w:lvl>
    <w:lvl w:ilvl="7" w:tplc="75DE6014" w:tentative="1">
      <w:start w:val="1"/>
      <w:numFmt w:val="bullet"/>
      <w:lvlText w:val="•"/>
      <w:lvlJc w:val="left"/>
      <w:pPr>
        <w:tabs>
          <w:tab w:val="num" w:pos="5400"/>
        </w:tabs>
        <w:ind w:left="5400" w:hanging="360"/>
      </w:pPr>
      <w:rPr>
        <w:rFonts w:ascii="Arial" w:hAnsi="Arial" w:hint="default"/>
      </w:rPr>
    </w:lvl>
    <w:lvl w:ilvl="8" w:tplc="42C0117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AF5B6C"/>
    <w:multiLevelType w:val="hybridMultilevel"/>
    <w:tmpl w:val="B1C45916"/>
    <w:lvl w:ilvl="0" w:tplc="9BE2BC3A">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BA3C5F"/>
    <w:multiLevelType w:val="hybridMultilevel"/>
    <w:tmpl w:val="B59A6DAC"/>
    <w:lvl w:ilvl="0" w:tplc="F320D254">
      <w:start w:val="1"/>
      <w:numFmt w:val="bullet"/>
      <w:lvlText w:val="•"/>
      <w:lvlJc w:val="left"/>
      <w:pPr>
        <w:tabs>
          <w:tab w:val="num" w:pos="720"/>
        </w:tabs>
        <w:ind w:left="720" w:hanging="360"/>
      </w:pPr>
      <w:rPr>
        <w:rFonts w:ascii="Arial" w:hAnsi="Arial" w:hint="default"/>
      </w:rPr>
    </w:lvl>
    <w:lvl w:ilvl="1" w:tplc="6734ACCC">
      <w:start w:val="278"/>
      <w:numFmt w:val="bullet"/>
      <w:lvlText w:val="•"/>
      <w:lvlJc w:val="left"/>
      <w:pPr>
        <w:tabs>
          <w:tab w:val="num" w:pos="1440"/>
        </w:tabs>
        <w:ind w:left="1440" w:hanging="360"/>
      </w:pPr>
      <w:rPr>
        <w:rFonts w:ascii="Arial" w:hAnsi="Arial" w:hint="default"/>
      </w:rPr>
    </w:lvl>
    <w:lvl w:ilvl="2" w:tplc="91F268D6" w:tentative="1">
      <w:start w:val="1"/>
      <w:numFmt w:val="bullet"/>
      <w:lvlText w:val="•"/>
      <w:lvlJc w:val="left"/>
      <w:pPr>
        <w:tabs>
          <w:tab w:val="num" w:pos="2160"/>
        </w:tabs>
        <w:ind w:left="2160" w:hanging="360"/>
      </w:pPr>
      <w:rPr>
        <w:rFonts w:ascii="Arial" w:hAnsi="Arial" w:hint="default"/>
      </w:rPr>
    </w:lvl>
    <w:lvl w:ilvl="3" w:tplc="47C0FE0E" w:tentative="1">
      <w:start w:val="1"/>
      <w:numFmt w:val="bullet"/>
      <w:lvlText w:val="•"/>
      <w:lvlJc w:val="left"/>
      <w:pPr>
        <w:tabs>
          <w:tab w:val="num" w:pos="2880"/>
        </w:tabs>
        <w:ind w:left="2880" w:hanging="360"/>
      </w:pPr>
      <w:rPr>
        <w:rFonts w:ascii="Arial" w:hAnsi="Arial" w:hint="default"/>
      </w:rPr>
    </w:lvl>
    <w:lvl w:ilvl="4" w:tplc="ED4ACF50" w:tentative="1">
      <w:start w:val="1"/>
      <w:numFmt w:val="bullet"/>
      <w:lvlText w:val="•"/>
      <w:lvlJc w:val="left"/>
      <w:pPr>
        <w:tabs>
          <w:tab w:val="num" w:pos="3600"/>
        </w:tabs>
        <w:ind w:left="3600" w:hanging="360"/>
      </w:pPr>
      <w:rPr>
        <w:rFonts w:ascii="Arial" w:hAnsi="Arial" w:hint="default"/>
      </w:rPr>
    </w:lvl>
    <w:lvl w:ilvl="5" w:tplc="AE9E822A" w:tentative="1">
      <w:start w:val="1"/>
      <w:numFmt w:val="bullet"/>
      <w:lvlText w:val="•"/>
      <w:lvlJc w:val="left"/>
      <w:pPr>
        <w:tabs>
          <w:tab w:val="num" w:pos="4320"/>
        </w:tabs>
        <w:ind w:left="4320" w:hanging="360"/>
      </w:pPr>
      <w:rPr>
        <w:rFonts w:ascii="Arial" w:hAnsi="Arial" w:hint="default"/>
      </w:rPr>
    </w:lvl>
    <w:lvl w:ilvl="6" w:tplc="11E0382A" w:tentative="1">
      <w:start w:val="1"/>
      <w:numFmt w:val="bullet"/>
      <w:lvlText w:val="•"/>
      <w:lvlJc w:val="left"/>
      <w:pPr>
        <w:tabs>
          <w:tab w:val="num" w:pos="5040"/>
        </w:tabs>
        <w:ind w:left="5040" w:hanging="360"/>
      </w:pPr>
      <w:rPr>
        <w:rFonts w:ascii="Arial" w:hAnsi="Arial" w:hint="default"/>
      </w:rPr>
    </w:lvl>
    <w:lvl w:ilvl="7" w:tplc="1FCAC876" w:tentative="1">
      <w:start w:val="1"/>
      <w:numFmt w:val="bullet"/>
      <w:lvlText w:val="•"/>
      <w:lvlJc w:val="left"/>
      <w:pPr>
        <w:tabs>
          <w:tab w:val="num" w:pos="5760"/>
        </w:tabs>
        <w:ind w:left="5760" w:hanging="360"/>
      </w:pPr>
      <w:rPr>
        <w:rFonts w:ascii="Arial" w:hAnsi="Arial" w:hint="default"/>
      </w:rPr>
    </w:lvl>
    <w:lvl w:ilvl="8" w:tplc="C99E37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E86F88"/>
    <w:multiLevelType w:val="hybridMultilevel"/>
    <w:tmpl w:val="F670D9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257243ED"/>
    <w:multiLevelType w:val="hybridMultilevel"/>
    <w:tmpl w:val="5D76E48A"/>
    <w:lvl w:ilvl="0" w:tplc="24505CAC">
      <w:start w:val="1"/>
      <w:numFmt w:val="decimal"/>
      <w:lvlText w:val="[%1]"/>
      <w:lvlJc w:val="left"/>
      <w:pPr>
        <w:ind w:left="1080" w:hanging="360"/>
      </w:pPr>
      <w:rPr>
        <w:rFonts w:cs="Times New Roman" w:hint="eastAsia"/>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15:restartNumberingAfterBreak="0">
    <w:nsid w:val="2FA74594"/>
    <w:multiLevelType w:val="hybridMultilevel"/>
    <w:tmpl w:val="AA6A3B2A"/>
    <w:lvl w:ilvl="0" w:tplc="2FB48284">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4C7E54"/>
    <w:multiLevelType w:val="hybridMultilevel"/>
    <w:tmpl w:val="5550724A"/>
    <w:lvl w:ilvl="0" w:tplc="09A8F1E4">
      <w:start w:val="1"/>
      <w:numFmt w:val="bullet"/>
      <w:lvlText w:val="•"/>
      <w:lvlJc w:val="left"/>
      <w:pPr>
        <w:tabs>
          <w:tab w:val="num" w:pos="360"/>
        </w:tabs>
        <w:ind w:left="360" w:hanging="360"/>
      </w:pPr>
      <w:rPr>
        <w:rFonts w:ascii="Arial" w:hAnsi="Arial" w:hint="default"/>
      </w:rPr>
    </w:lvl>
    <w:lvl w:ilvl="1" w:tplc="42063114">
      <w:start w:val="1"/>
      <w:numFmt w:val="bullet"/>
      <w:lvlText w:val="•"/>
      <w:lvlJc w:val="left"/>
      <w:pPr>
        <w:tabs>
          <w:tab w:val="num" w:pos="1080"/>
        </w:tabs>
        <w:ind w:left="1080" w:hanging="360"/>
      </w:pPr>
      <w:rPr>
        <w:rFonts w:ascii="Arial" w:hAnsi="Arial" w:hint="default"/>
      </w:rPr>
    </w:lvl>
    <w:lvl w:ilvl="2" w:tplc="3D8C8956">
      <w:start w:val="1216"/>
      <w:numFmt w:val="bullet"/>
      <w:lvlText w:val="•"/>
      <w:lvlJc w:val="left"/>
      <w:pPr>
        <w:tabs>
          <w:tab w:val="num" w:pos="1800"/>
        </w:tabs>
        <w:ind w:left="1800" w:hanging="360"/>
      </w:pPr>
      <w:rPr>
        <w:rFonts w:ascii="Arial" w:hAnsi="Arial" w:hint="default"/>
      </w:rPr>
    </w:lvl>
    <w:lvl w:ilvl="3" w:tplc="3ED2481A">
      <w:start w:val="1"/>
      <w:numFmt w:val="bullet"/>
      <w:lvlText w:val="•"/>
      <w:lvlJc w:val="left"/>
      <w:pPr>
        <w:tabs>
          <w:tab w:val="num" w:pos="2520"/>
        </w:tabs>
        <w:ind w:left="2520" w:hanging="360"/>
      </w:pPr>
      <w:rPr>
        <w:rFonts w:ascii="Arial" w:hAnsi="Arial" w:hint="default"/>
      </w:rPr>
    </w:lvl>
    <w:lvl w:ilvl="4" w:tplc="7B6AFAFE">
      <w:start w:val="1"/>
      <w:numFmt w:val="bullet"/>
      <w:lvlText w:val="•"/>
      <w:lvlJc w:val="left"/>
      <w:pPr>
        <w:tabs>
          <w:tab w:val="num" w:pos="3240"/>
        </w:tabs>
        <w:ind w:left="3240" w:hanging="360"/>
      </w:pPr>
      <w:rPr>
        <w:rFonts w:ascii="Arial" w:hAnsi="Arial" w:hint="default"/>
      </w:rPr>
    </w:lvl>
    <w:lvl w:ilvl="5" w:tplc="8AA2E5A0" w:tentative="1">
      <w:start w:val="1"/>
      <w:numFmt w:val="bullet"/>
      <w:lvlText w:val="•"/>
      <w:lvlJc w:val="left"/>
      <w:pPr>
        <w:tabs>
          <w:tab w:val="num" w:pos="3960"/>
        </w:tabs>
        <w:ind w:left="3960" w:hanging="360"/>
      </w:pPr>
      <w:rPr>
        <w:rFonts w:ascii="Arial" w:hAnsi="Arial" w:hint="default"/>
      </w:rPr>
    </w:lvl>
    <w:lvl w:ilvl="6" w:tplc="E4E60B86" w:tentative="1">
      <w:start w:val="1"/>
      <w:numFmt w:val="bullet"/>
      <w:lvlText w:val="•"/>
      <w:lvlJc w:val="left"/>
      <w:pPr>
        <w:tabs>
          <w:tab w:val="num" w:pos="4680"/>
        </w:tabs>
        <w:ind w:left="4680" w:hanging="360"/>
      </w:pPr>
      <w:rPr>
        <w:rFonts w:ascii="Arial" w:hAnsi="Arial" w:hint="default"/>
      </w:rPr>
    </w:lvl>
    <w:lvl w:ilvl="7" w:tplc="805A7F38" w:tentative="1">
      <w:start w:val="1"/>
      <w:numFmt w:val="bullet"/>
      <w:lvlText w:val="•"/>
      <w:lvlJc w:val="left"/>
      <w:pPr>
        <w:tabs>
          <w:tab w:val="num" w:pos="5400"/>
        </w:tabs>
        <w:ind w:left="5400" w:hanging="360"/>
      </w:pPr>
      <w:rPr>
        <w:rFonts w:ascii="Arial" w:hAnsi="Arial" w:hint="default"/>
      </w:rPr>
    </w:lvl>
    <w:lvl w:ilvl="8" w:tplc="E8E40E8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3D4377"/>
    <w:multiLevelType w:val="hybridMultilevel"/>
    <w:tmpl w:val="EE2834A4"/>
    <w:lvl w:ilvl="0" w:tplc="026A1F4E">
      <w:start w:val="1"/>
      <w:numFmt w:val="bullet"/>
      <w:lvlText w:val="•"/>
      <w:lvlJc w:val="left"/>
      <w:pPr>
        <w:tabs>
          <w:tab w:val="num" w:pos="720"/>
        </w:tabs>
        <w:ind w:left="720" w:hanging="360"/>
      </w:pPr>
      <w:rPr>
        <w:rFonts w:ascii="Arial" w:hAnsi="Arial" w:cs="Times New Roman" w:hint="default"/>
      </w:rPr>
    </w:lvl>
    <w:lvl w:ilvl="1" w:tplc="3C064628">
      <w:start w:val="1964"/>
      <w:numFmt w:val="bullet"/>
      <w:lvlText w:val="–"/>
      <w:lvlJc w:val="left"/>
      <w:pPr>
        <w:tabs>
          <w:tab w:val="num" w:pos="1440"/>
        </w:tabs>
        <w:ind w:left="1440" w:hanging="360"/>
      </w:pPr>
      <w:rPr>
        <w:rFonts w:ascii="Arial" w:hAnsi="Arial" w:cs="Times New Roman" w:hint="default"/>
      </w:rPr>
    </w:lvl>
    <w:lvl w:ilvl="2" w:tplc="D4BCBBD2">
      <w:start w:val="1964"/>
      <w:numFmt w:val="bullet"/>
      <w:lvlText w:val="•"/>
      <w:lvlJc w:val="left"/>
      <w:pPr>
        <w:tabs>
          <w:tab w:val="num" w:pos="2160"/>
        </w:tabs>
        <w:ind w:left="2160" w:hanging="360"/>
      </w:pPr>
      <w:rPr>
        <w:rFonts w:ascii="Arial" w:hAnsi="Arial" w:cs="Times New Roman" w:hint="default"/>
      </w:rPr>
    </w:lvl>
    <w:lvl w:ilvl="3" w:tplc="E5F0C896">
      <w:start w:val="1"/>
      <w:numFmt w:val="bullet"/>
      <w:lvlText w:val="•"/>
      <w:lvlJc w:val="left"/>
      <w:pPr>
        <w:tabs>
          <w:tab w:val="num" w:pos="2880"/>
        </w:tabs>
        <w:ind w:left="2880" w:hanging="360"/>
      </w:pPr>
      <w:rPr>
        <w:rFonts w:ascii="Arial" w:hAnsi="Arial" w:cs="Times New Roman" w:hint="default"/>
      </w:rPr>
    </w:lvl>
    <w:lvl w:ilvl="4" w:tplc="C262E352">
      <w:start w:val="1"/>
      <w:numFmt w:val="bullet"/>
      <w:lvlText w:val="•"/>
      <w:lvlJc w:val="left"/>
      <w:pPr>
        <w:tabs>
          <w:tab w:val="num" w:pos="3600"/>
        </w:tabs>
        <w:ind w:left="3600" w:hanging="360"/>
      </w:pPr>
      <w:rPr>
        <w:rFonts w:ascii="Arial" w:hAnsi="Arial" w:cs="Times New Roman" w:hint="default"/>
      </w:rPr>
    </w:lvl>
    <w:lvl w:ilvl="5" w:tplc="6614AE44">
      <w:start w:val="1"/>
      <w:numFmt w:val="bullet"/>
      <w:lvlText w:val="•"/>
      <w:lvlJc w:val="left"/>
      <w:pPr>
        <w:tabs>
          <w:tab w:val="num" w:pos="4320"/>
        </w:tabs>
        <w:ind w:left="4320" w:hanging="360"/>
      </w:pPr>
      <w:rPr>
        <w:rFonts w:ascii="Arial" w:hAnsi="Arial" w:cs="Times New Roman" w:hint="default"/>
      </w:rPr>
    </w:lvl>
    <w:lvl w:ilvl="6" w:tplc="F0A6C77E">
      <w:start w:val="1"/>
      <w:numFmt w:val="bullet"/>
      <w:lvlText w:val="•"/>
      <w:lvlJc w:val="left"/>
      <w:pPr>
        <w:tabs>
          <w:tab w:val="num" w:pos="5040"/>
        </w:tabs>
        <w:ind w:left="5040" w:hanging="360"/>
      </w:pPr>
      <w:rPr>
        <w:rFonts w:ascii="Arial" w:hAnsi="Arial" w:cs="Times New Roman" w:hint="default"/>
      </w:rPr>
    </w:lvl>
    <w:lvl w:ilvl="7" w:tplc="E574408A">
      <w:start w:val="1"/>
      <w:numFmt w:val="bullet"/>
      <w:lvlText w:val="•"/>
      <w:lvlJc w:val="left"/>
      <w:pPr>
        <w:tabs>
          <w:tab w:val="num" w:pos="5760"/>
        </w:tabs>
        <w:ind w:left="5760" w:hanging="360"/>
      </w:pPr>
      <w:rPr>
        <w:rFonts w:ascii="Arial" w:hAnsi="Arial" w:cs="Times New Roman" w:hint="default"/>
      </w:rPr>
    </w:lvl>
    <w:lvl w:ilvl="8" w:tplc="559838C4">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4A7E15B4"/>
    <w:multiLevelType w:val="hybridMultilevel"/>
    <w:tmpl w:val="988A654E"/>
    <w:lvl w:ilvl="0" w:tplc="F782F9AA">
      <w:start w:val="1"/>
      <w:numFmt w:val="bullet"/>
      <w:lvlText w:val="•"/>
      <w:lvlJc w:val="left"/>
      <w:pPr>
        <w:tabs>
          <w:tab w:val="num" w:pos="720"/>
        </w:tabs>
        <w:ind w:left="720" w:hanging="360"/>
      </w:pPr>
      <w:rPr>
        <w:rFonts w:ascii="Arial" w:hAnsi="Arial" w:hint="default"/>
      </w:rPr>
    </w:lvl>
    <w:lvl w:ilvl="1" w:tplc="A10E2938">
      <w:start w:val="278"/>
      <w:numFmt w:val="bullet"/>
      <w:lvlText w:val="•"/>
      <w:lvlJc w:val="left"/>
      <w:pPr>
        <w:tabs>
          <w:tab w:val="num" w:pos="1440"/>
        </w:tabs>
        <w:ind w:left="1440" w:hanging="360"/>
      </w:pPr>
      <w:rPr>
        <w:rFonts w:ascii="Arial" w:hAnsi="Arial" w:hint="default"/>
      </w:rPr>
    </w:lvl>
    <w:lvl w:ilvl="2" w:tplc="C2664260">
      <w:start w:val="278"/>
      <w:numFmt w:val="bullet"/>
      <w:lvlText w:val="•"/>
      <w:lvlJc w:val="left"/>
      <w:pPr>
        <w:tabs>
          <w:tab w:val="num" w:pos="2160"/>
        </w:tabs>
        <w:ind w:left="2160" w:hanging="360"/>
      </w:pPr>
      <w:rPr>
        <w:rFonts w:ascii="Arial" w:hAnsi="Arial" w:hint="default"/>
      </w:rPr>
    </w:lvl>
    <w:lvl w:ilvl="3" w:tplc="D12E4F92" w:tentative="1">
      <w:start w:val="1"/>
      <w:numFmt w:val="bullet"/>
      <w:lvlText w:val="•"/>
      <w:lvlJc w:val="left"/>
      <w:pPr>
        <w:tabs>
          <w:tab w:val="num" w:pos="2880"/>
        </w:tabs>
        <w:ind w:left="2880" w:hanging="360"/>
      </w:pPr>
      <w:rPr>
        <w:rFonts w:ascii="Arial" w:hAnsi="Arial" w:hint="default"/>
      </w:rPr>
    </w:lvl>
    <w:lvl w:ilvl="4" w:tplc="16C6E962" w:tentative="1">
      <w:start w:val="1"/>
      <w:numFmt w:val="bullet"/>
      <w:lvlText w:val="•"/>
      <w:lvlJc w:val="left"/>
      <w:pPr>
        <w:tabs>
          <w:tab w:val="num" w:pos="3600"/>
        </w:tabs>
        <w:ind w:left="3600" w:hanging="360"/>
      </w:pPr>
      <w:rPr>
        <w:rFonts w:ascii="Arial" w:hAnsi="Arial" w:hint="default"/>
      </w:rPr>
    </w:lvl>
    <w:lvl w:ilvl="5" w:tplc="E9C60A0A" w:tentative="1">
      <w:start w:val="1"/>
      <w:numFmt w:val="bullet"/>
      <w:lvlText w:val="•"/>
      <w:lvlJc w:val="left"/>
      <w:pPr>
        <w:tabs>
          <w:tab w:val="num" w:pos="4320"/>
        </w:tabs>
        <w:ind w:left="4320" w:hanging="360"/>
      </w:pPr>
      <w:rPr>
        <w:rFonts w:ascii="Arial" w:hAnsi="Arial" w:hint="default"/>
      </w:rPr>
    </w:lvl>
    <w:lvl w:ilvl="6" w:tplc="9D10E534" w:tentative="1">
      <w:start w:val="1"/>
      <w:numFmt w:val="bullet"/>
      <w:lvlText w:val="•"/>
      <w:lvlJc w:val="left"/>
      <w:pPr>
        <w:tabs>
          <w:tab w:val="num" w:pos="5040"/>
        </w:tabs>
        <w:ind w:left="5040" w:hanging="360"/>
      </w:pPr>
      <w:rPr>
        <w:rFonts w:ascii="Arial" w:hAnsi="Arial" w:hint="default"/>
      </w:rPr>
    </w:lvl>
    <w:lvl w:ilvl="7" w:tplc="8CD44892" w:tentative="1">
      <w:start w:val="1"/>
      <w:numFmt w:val="bullet"/>
      <w:lvlText w:val="•"/>
      <w:lvlJc w:val="left"/>
      <w:pPr>
        <w:tabs>
          <w:tab w:val="num" w:pos="5760"/>
        </w:tabs>
        <w:ind w:left="5760" w:hanging="360"/>
      </w:pPr>
      <w:rPr>
        <w:rFonts w:ascii="Arial" w:hAnsi="Arial" w:hint="default"/>
      </w:rPr>
    </w:lvl>
    <w:lvl w:ilvl="8" w:tplc="98628D0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A73EF"/>
    <w:multiLevelType w:val="hybridMultilevel"/>
    <w:tmpl w:val="ECDC48D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9196019"/>
    <w:multiLevelType w:val="hybridMultilevel"/>
    <w:tmpl w:val="B37AFF5C"/>
    <w:lvl w:ilvl="0" w:tplc="FFDA0510">
      <w:start w:val="1"/>
      <w:numFmt w:val="bullet"/>
      <w:lvlText w:val="•"/>
      <w:lvlJc w:val="left"/>
      <w:pPr>
        <w:tabs>
          <w:tab w:val="num" w:pos="720"/>
        </w:tabs>
        <w:ind w:left="720" w:hanging="360"/>
      </w:pPr>
      <w:rPr>
        <w:rFonts w:ascii="Arial" w:hAnsi="Arial" w:hint="default"/>
      </w:rPr>
    </w:lvl>
    <w:lvl w:ilvl="1" w:tplc="74B819A6">
      <w:start w:val="278"/>
      <w:numFmt w:val="bullet"/>
      <w:lvlText w:val="•"/>
      <w:lvlJc w:val="left"/>
      <w:pPr>
        <w:tabs>
          <w:tab w:val="num" w:pos="1440"/>
        </w:tabs>
        <w:ind w:left="1440" w:hanging="360"/>
      </w:pPr>
      <w:rPr>
        <w:rFonts w:ascii="Arial" w:hAnsi="Arial" w:hint="default"/>
      </w:rPr>
    </w:lvl>
    <w:lvl w:ilvl="2" w:tplc="6BAE872E" w:tentative="1">
      <w:start w:val="1"/>
      <w:numFmt w:val="bullet"/>
      <w:lvlText w:val="•"/>
      <w:lvlJc w:val="left"/>
      <w:pPr>
        <w:tabs>
          <w:tab w:val="num" w:pos="2160"/>
        </w:tabs>
        <w:ind w:left="2160" w:hanging="360"/>
      </w:pPr>
      <w:rPr>
        <w:rFonts w:ascii="Arial" w:hAnsi="Arial" w:hint="default"/>
      </w:rPr>
    </w:lvl>
    <w:lvl w:ilvl="3" w:tplc="531835BA" w:tentative="1">
      <w:start w:val="1"/>
      <w:numFmt w:val="bullet"/>
      <w:lvlText w:val="•"/>
      <w:lvlJc w:val="left"/>
      <w:pPr>
        <w:tabs>
          <w:tab w:val="num" w:pos="2880"/>
        </w:tabs>
        <w:ind w:left="2880" w:hanging="360"/>
      </w:pPr>
      <w:rPr>
        <w:rFonts w:ascii="Arial" w:hAnsi="Arial" w:hint="default"/>
      </w:rPr>
    </w:lvl>
    <w:lvl w:ilvl="4" w:tplc="9E1E7074" w:tentative="1">
      <w:start w:val="1"/>
      <w:numFmt w:val="bullet"/>
      <w:lvlText w:val="•"/>
      <w:lvlJc w:val="left"/>
      <w:pPr>
        <w:tabs>
          <w:tab w:val="num" w:pos="3600"/>
        </w:tabs>
        <w:ind w:left="3600" w:hanging="360"/>
      </w:pPr>
      <w:rPr>
        <w:rFonts w:ascii="Arial" w:hAnsi="Arial" w:hint="default"/>
      </w:rPr>
    </w:lvl>
    <w:lvl w:ilvl="5" w:tplc="888E1DA2" w:tentative="1">
      <w:start w:val="1"/>
      <w:numFmt w:val="bullet"/>
      <w:lvlText w:val="•"/>
      <w:lvlJc w:val="left"/>
      <w:pPr>
        <w:tabs>
          <w:tab w:val="num" w:pos="4320"/>
        </w:tabs>
        <w:ind w:left="4320" w:hanging="360"/>
      </w:pPr>
      <w:rPr>
        <w:rFonts w:ascii="Arial" w:hAnsi="Arial" w:hint="default"/>
      </w:rPr>
    </w:lvl>
    <w:lvl w:ilvl="6" w:tplc="5940798A" w:tentative="1">
      <w:start w:val="1"/>
      <w:numFmt w:val="bullet"/>
      <w:lvlText w:val="•"/>
      <w:lvlJc w:val="left"/>
      <w:pPr>
        <w:tabs>
          <w:tab w:val="num" w:pos="5040"/>
        </w:tabs>
        <w:ind w:left="5040" w:hanging="360"/>
      </w:pPr>
      <w:rPr>
        <w:rFonts w:ascii="Arial" w:hAnsi="Arial" w:hint="default"/>
      </w:rPr>
    </w:lvl>
    <w:lvl w:ilvl="7" w:tplc="233891F2" w:tentative="1">
      <w:start w:val="1"/>
      <w:numFmt w:val="bullet"/>
      <w:lvlText w:val="•"/>
      <w:lvlJc w:val="left"/>
      <w:pPr>
        <w:tabs>
          <w:tab w:val="num" w:pos="5760"/>
        </w:tabs>
        <w:ind w:left="5760" w:hanging="360"/>
      </w:pPr>
      <w:rPr>
        <w:rFonts w:ascii="Arial" w:hAnsi="Arial" w:hint="default"/>
      </w:rPr>
    </w:lvl>
    <w:lvl w:ilvl="8" w:tplc="55E8010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F170B3"/>
    <w:multiLevelType w:val="hybridMultilevel"/>
    <w:tmpl w:val="98CA2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7AE5718"/>
    <w:multiLevelType w:val="hybridMultilevel"/>
    <w:tmpl w:val="403A5A60"/>
    <w:lvl w:ilvl="0" w:tplc="39E8D080">
      <w:start w:val="5"/>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292FC7"/>
    <w:multiLevelType w:val="hybridMultilevel"/>
    <w:tmpl w:val="3E301D3C"/>
    <w:lvl w:ilvl="0" w:tplc="34E8FCF8">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3856DC"/>
    <w:multiLevelType w:val="hybridMultilevel"/>
    <w:tmpl w:val="FD425CAC"/>
    <w:lvl w:ilvl="0" w:tplc="9B8829DE">
      <w:start w:val="1"/>
      <w:numFmt w:val="bullet"/>
      <w:lvlText w:val="•"/>
      <w:lvlJc w:val="left"/>
      <w:pPr>
        <w:tabs>
          <w:tab w:val="num" w:pos="720"/>
        </w:tabs>
        <w:ind w:left="720" w:hanging="360"/>
      </w:pPr>
      <w:rPr>
        <w:rFonts w:ascii="Arial" w:hAnsi="Arial" w:hint="default"/>
      </w:rPr>
    </w:lvl>
    <w:lvl w:ilvl="1" w:tplc="A36AAA70">
      <w:start w:val="278"/>
      <w:numFmt w:val="bullet"/>
      <w:lvlText w:val="•"/>
      <w:lvlJc w:val="left"/>
      <w:pPr>
        <w:tabs>
          <w:tab w:val="num" w:pos="1440"/>
        </w:tabs>
        <w:ind w:left="1440" w:hanging="360"/>
      </w:pPr>
      <w:rPr>
        <w:rFonts w:ascii="Arial" w:hAnsi="Arial" w:hint="default"/>
      </w:rPr>
    </w:lvl>
    <w:lvl w:ilvl="2" w:tplc="31E0E2E6" w:tentative="1">
      <w:start w:val="1"/>
      <w:numFmt w:val="bullet"/>
      <w:lvlText w:val="•"/>
      <w:lvlJc w:val="left"/>
      <w:pPr>
        <w:tabs>
          <w:tab w:val="num" w:pos="2160"/>
        </w:tabs>
        <w:ind w:left="2160" w:hanging="360"/>
      </w:pPr>
      <w:rPr>
        <w:rFonts w:ascii="Arial" w:hAnsi="Arial" w:hint="default"/>
      </w:rPr>
    </w:lvl>
    <w:lvl w:ilvl="3" w:tplc="3FD403FA" w:tentative="1">
      <w:start w:val="1"/>
      <w:numFmt w:val="bullet"/>
      <w:lvlText w:val="•"/>
      <w:lvlJc w:val="left"/>
      <w:pPr>
        <w:tabs>
          <w:tab w:val="num" w:pos="2880"/>
        </w:tabs>
        <w:ind w:left="2880" w:hanging="360"/>
      </w:pPr>
      <w:rPr>
        <w:rFonts w:ascii="Arial" w:hAnsi="Arial" w:hint="default"/>
      </w:rPr>
    </w:lvl>
    <w:lvl w:ilvl="4" w:tplc="FD9044A0" w:tentative="1">
      <w:start w:val="1"/>
      <w:numFmt w:val="bullet"/>
      <w:lvlText w:val="•"/>
      <w:lvlJc w:val="left"/>
      <w:pPr>
        <w:tabs>
          <w:tab w:val="num" w:pos="3600"/>
        </w:tabs>
        <w:ind w:left="3600" w:hanging="360"/>
      </w:pPr>
      <w:rPr>
        <w:rFonts w:ascii="Arial" w:hAnsi="Arial" w:hint="default"/>
      </w:rPr>
    </w:lvl>
    <w:lvl w:ilvl="5" w:tplc="FD5EAD16" w:tentative="1">
      <w:start w:val="1"/>
      <w:numFmt w:val="bullet"/>
      <w:lvlText w:val="•"/>
      <w:lvlJc w:val="left"/>
      <w:pPr>
        <w:tabs>
          <w:tab w:val="num" w:pos="4320"/>
        </w:tabs>
        <w:ind w:left="4320" w:hanging="360"/>
      </w:pPr>
      <w:rPr>
        <w:rFonts w:ascii="Arial" w:hAnsi="Arial" w:hint="default"/>
      </w:rPr>
    </w:lvl>
    <w:lvl w:ilvl="6" w:tplc="C792D5A0" w:tentative="1">
      <w:start w:val="1"/>
      <w:numFmt w:val="bullet"/>
      <w:lvlText w:val="•"/>
      <w:lvlJc w:val="left"/>
      <w:pPr>
        <w:tabs>
          <w:tab w:val="num" w:pos="5040"/>
        </w:tabs>
        <w:ind w:left="5040" w:hanging="360"/>
      </w:pPr>
      <w:rPr>
        <w:rFonts w:ascii="Arial" w:hAnsi="Arial" w:hint="default"/>
      </w:rPr>
    </w:lvl>
    <w:lvl w:ilvl="7" w:tplc="E34EBBB0" w:tentative="1">
      <w:start w:val="1"/>
      <w:numFmt w:val="bullet"/>
      <w:lvlText w:val="•"/>
      <w:lvlJc w:val="left"/>
      <w:pPr>
        <w:tabs>
          <w:tab w:val="num" w:pos="5760"/>
        </w:tabs>
        <w:ind w:left="5760" w:hanging="360"/>
      </w:pPr>
      <w:rPr>
        <w:rFonts w:ascii="Arial" w:hAnsi="Arial" w:hint="default"/>
      </w:rPr>
    </w:lvl>
    <w:lvl w:ilvl="8" w:tplc="F334B9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5F504C2"/>
    <w:multiLevelType w:val="hybridMultilevel"/>
    <w:tmpl w:val="AA3E8E44"/>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A1A0CB2"/>
    <w:multiLevelType w:val="hybridMultilevel"/>
    <w:tmpl w:val="F872B924"/>
    <w:lvl w:ilvl="0" w:tplc="6E0AF3F0">
      <w:start w:val="23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CCC0011"/>
    <w:multiLevelType w:val="hybridMultilevel"/>
    <w:tmpl w:val="84A2B172"/>
    <w:lvl w:ilvl="0" w:tplc="DCF2D8E6">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9"/>
  </w:num>
  <w:num w:numId="2">
    <w:abstractNumId w:val="27"/>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num>
  <w:num w:numId="7">
    <w:abstractNumId w:val="3"/>
  </w:num>
  <w:num w:numId="8">
    <w:abstractNumId w:val="25"/>
  </w:num>
  <w:num w:numId="9">
    <w:abstractNumId w:val="5"/>
  </w:num>
  <w:num w:numId="10">
    <w:abstractNumId w:val="21"/>
  </w:num>
  <w:num w:numId="11">
    <w:abstractNumId w:val="36"/>
  </w:num>
  <w:num w:numId="12">
    <w:abstractNumId w:val="37"/>
  </w:num>
  <w:num w:numId="13">
    <w:abstractNumId w:val="6"/>
  </w:num>
  <w:num w:numId="14">
    <w:abstractNumId w:val="9"/>
  </w:num>
  <w:num w:numId="15">
    <w:abstractNumId w:val="4"/>
  </w:num>
  <w:num w:numId="16">
    <w:abstractNumId w:val="16"/>
  </w:num>
  <w:num w:numId="17">
    <w:abstractNumId w:val="30"/>
  </w:num>
  <w:num w:numId="18">
    <w:abstractNumId w:val="33"/>
  </w:num>
  <w:num w:numId="19">
    <w:abstractNumId w:val="20"/>
  </w:num>
  <w:num w:numId="20">
    <w:abstractNumId w:val="15"/>
  </w:num>
  <w:num w:numId="21">
    <w:abstractNumId w:val="22"/>
  </w:num>
  <w:num w:numId="22">
    <w:abstractNumId w:val="7"/>
  </w:num>
  <w:num w:numId="23">
    <w:abstractNumId w:val="28"/>
  </w:num>
  <w:num w:numId="24">
    <w:abstractNumId w:val="13"/>
  </w:num>
  <w:num w:numId="25">
    <w:abstractNumId w:val="24"/>
  </w:num>
  <w:num w:numId="26">
    <w:abstractNumId w:val="18"/>
  </w:num>
  <w:num w:numId="27">
    <w:abstractNumId w:val="34"/>
  </w:num>
  <w:num w:numId="28">
    <w:abstractNumId w:val="35"/>
  </w:num>
  <w:num w:numId="29">
    <w:abstractNumId w:val="26"/>
  </w:num>
  <w:num w:numId="30">
    <w:abstractNumId w:val="11"/>
  </w:num>
  <w:num w:numId="31">
    <w:abstractNumId w:val="0"/>
  </w:num>
  <w:num w:numId="32">
    <w:abstractNumId w:val="23"/>
  </w:num>
  <w:num w:numId="33">
    <w:abstractNumId w:val="32"/>
  </w:num>
  <w:num w:numId="34">
    <w:abstractNumId w:val="1"/>
  </w:num>
  <w:num w:numId="35">
    <w:abstractNumId w:val="8"/>
  </w:num>
  <w:num w:numId="36">
    <w:abstractNumId w:val="17"/>
  </w:num>
  <w:num w:numId="37">
    <w:abstractNumId w:val="31"/>
  </w:num>
  <w:num w:numId="38">
    <w:abstractNumId w:val="38"/>
  </w:num>
  <w:num w:numId="39">
    <w:abstractNumId w:val="12"/>
  </w:num>
  <w:num w:numId="40">
    <w:abstractNumId w:val="14"/>
  </w:num>
  <w:num w:numId="41">
    <w:abstractNumId w:val="19"/>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trackRevisions/>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C38"/>
    <w:rsid w:val="000035F9"/>
    <w:rsid w:val="00003DB6"/>
    <w:rsid w:val="0001019A"/>
    <w:rsid w:val="00010AA8"/>
    <w:rsid w:val="00012FD4"/>
    <w:rsid w:val="000236DD"/>
    <w:rsid w:val="00027E68"/>
    <w:rsid w:val="000330CB"/>
    <w:rsid w:val="00041657"/>
    <w:rsid w:val="00042C03"/>
    <w:rsid w:val="000436F7"/>
    <w:rsid w:val="00047714"/>
    <w:rsid w:val="000519FA"/>
    <w:rsid w:val="000549D5"/>
    <w:rsid w:val="00056294"/>
    <w:rsid w:val="00057E33"/>
    <w:rsid w:val="00057E68"/>
    <w:rsid w:val="00061AE4"/>
    <w:rsid w:val="000630FE"/>
    <w:rsid w:val="000633AD"/>
    <w:rsid w:val="000648F1"/>
    <w:rsid w:val="000663ED"/>
    <w:rsid w:val="0006788D"/>
    <w:rsid w:val="00072A13"/>
    <w:rsid w:val="0007349B"/>
    <w:rsid w:val="000746F1"/>
    <w:rsid w:val="00074772"/>
    <w:rsid w:val="000747EC"/>
    <w:rsid w:val="00077739"/>
    <w:rsid w:val="00080069"/>
    <w:rsid w:val="000831D4"/>
    <w:rsid w:val="000836E2"/>
    <w:rsid w:val="000852A4"/>
    <w:rsid w:val="00094199"/>
    <w:rsid w:val="000948A2"/>
    <w:rsid w:val="00095F23"/>
    <w:rsid w:val="000A4533"/>
    <w:rsid w:val="000A7AF5"/>
    <w:rsid w:val="000C2C00"/>
    <w:rsid w:val="000C7447"/>
    <w:rsid w:val="000D0D93"/>
    <w:rsid w:val="000D120C"/>
    <w:rsid w:val="000D18B0"/>
    <w:rsid w:val="000D2C69"/>
    <w:rsid w:val="000D403A"/>
    <w:rsid w:val="000D6506"/>
    <w:rsid w:val="000E094F"/>
    <w:rsid w:val="000E1BEE"/>
    <w:rsid w:val="000E20D5"/>
    <w:rsid w:val="000E3A06"/>
    <w:rsid w:val="000E6009"/>
    <w:rsid w:val="000E79B1"/>
    <w:rsid w:val="000E7F24"/>
    <w:rsid w:val="000F05B2"/>
    <w:rsid w:val="000F3099"/>
    <w:rsid w:val="000F63EF"/>
    <w:rsid w:val="000F6B79"/>
    <w:rsid w:val="00102134"/>
    <w:rsid w:val="001030AA"/>
    <w:rsid w:val="0010616A"/>
    <w:rsid w:val="00110759"/>
    <w:rsid w:val="001124E9"/>
    <w:rsid w:val="00116383"/>
    <w:rsid w:val="001250BA"/>
    <w:rsid w:val="0013045B"/>
    <w:rsid w:val="001306D1"/>
    <w:rsid w:val="0013288C"/>
    <w:rsid w:val="00132E99"/>
    <w:rsid w:val="001418C6"/>
    <w:rsid w:val="0014258F"/>
    <w:rsid w:val="00142E3B"/>
    <w:rsid w:val="00144667"/>
    <w:rsid w:val="00147201"/>
    <w:rsid w:val="001476FA"/>
    <w:rsid w:val="00147D27"/>
    <w:rsid w:val="001557C1"/>
    <w:rsid w:val="00155D5F"/>
    <w:rsid w:val="00160717"/>
    <w:rsid w:val="001661EA"/>
    <w:rsid w:val="0016652F"/>
    <w:rsid w:val="00166CA6"/>
    <w:rsid w:val="001712ED"/>
    <w:rsid w:val="001721F6"/>
    <w:rsid w:val="001802B3"/>
    <w:rsid w:val="001866E2"/>
    <w:rsid w:val="00187C6F"/>
    <w:rsid w:val="00193810"/>
    <w:rsid w:val="001972E9"/>
    <w:rsid w:val="001A3BE8"/>
    <w:rsid w:val="001A5D61"/>
    <w:rsid w:val="001A6D9F"/>
    <w:rsid w:val="001B026D"/>
    <w:rsid w:val="001B03CA"/>
    <w:rsid w:val="001B20D7"/>
    <w:rsid w:val="001B30BA"/>
    <w:rsid w:val="001B53EC"/>
    <w:rsid w:val="001C617E"/>
    <w:rsid w:val="001C66D9"/>
    <w:rsid w:val="001D0422"/>
    <w:rsid w:val="001D6531"/>
    <w:rsid w:val="001D7850"/>
    <w:rsid w:val="001D7C16"/>
    <w:rsid w:val="001E085A"/>
    <w:rsid w:val="001E1EC4"/>
    <w:rsid w:val="001E374F"/>
    <w:rsid w:val="001E79CC"/>
    <w:rsid w:val="001F46A7"/>
    <w:rsid w:val="001F7422"/>
    <w:rsid w:val="00203A2D"/>
    <w:rsid w:val="00204116"/>
    <w:rsid w:val="00206E46"/>
    <w:rsid w:val="00211821"/>
    <w:rsid w:val="002152ED"/>
    <w:rsid w:val="0021618C"/>
    <w:rsid w:val="00220897"/>
    <w:rsid w:val="002215FB"/>
    <w:rsid w:val="00225856"/>
    <w:rsid w:val="00226E1C"/>
    <w:rsid w:val="0022777D"/>
    <w:rsid w:val="00231EB5"/>
    <w:rsid w:val="00235B85"/>
    <w:rsid w:val="0023711F"/>
    <w:rsid w:val="00242C21"/>
    <w:rsid w:val="0024363B"/>
    <w:rsid w:val="00253FFC"/>
    <w:rsid w:val="002622D4"/>
    <w:rsid w:val="00264714"/>
    <w:rsid w:val="00264C75"/>
    <w:rsid w:val="00265915"/>
    <w:rsid w:val="002677CE"/>
    <w:rsid w:val="00281A49"/>
    <w:rsid w:val="00290546"/>
    <w:rsid w:val="0029466A"/>
    <w:rsid w:val="00295921"/>
    <w:rsid w:val="002A2635"/>
    <w:rsid w:val="002A5488"/>
    <w:rsid w:val="002B04F1"/>
    <w:rsid w:val="002B0B4B"/>
    <w:rsid w:val="002B0E68"/>
    <w:rsid w:val="002B4623"/>
    <w:rsid w:val="002B5306"/>
    <w:rsid w:val="002C4D5E"/>
    <w:rsid w:val="002D293F"/>
    <w:rsid w:val="002D6E8E"/>
    <w:rsid w:val="002E1513"/>
    <w:rsid w:val="002E777B"/>
    <w:rsid w:val="002F02FD"/>
    <w:rsid w:val="002F465A"/>
    <w:rsid w:val="002F64BF"/>
    <w:rsid w:val="00303ED4"/>
    <w:rsid w:val="003066A9"/>
    <w:rsid w:val="00310BFF"/>
    <w:rsid w:val="00314D86"/>
    <w:rsid w:val="003327A4"/>
    <w:rsid w:val="003367CA"/>
    <w:rsid w:val="00336803"/>
    <w:rsid w:val="00340733"/>
    <w:rsid w:val="00343E11"/>
    <w:rsid w:val="0035022C"/>
    <w:rsid w:val="00354C29"/>
    <w:rsid w:val="00357E1C"/>
    <w:rsid w:val="00360C68"/>
    <w:rsid w:val="00364728"/>
    <w:rsid w:val="00364CD5"/>
    <w:rsid w:val="003701B4"/>
    <w:rsid w:val="0037598E"/>
    <w:rsid w:val="0037633E"/>
    <w:rsid w:val="003810A3"/>
    <w:rsid w:val="0038318A"/>
    <w:rsid w:val="003841DC"/>
    <w:rsid w:val="00391CDC"/>
    <w:rsid w:val="0039273B"/>
    <w:rsid w:val="003939D2"/>
    <w:rsid w:val="003948CC"/>
    <w:rsid w:val="00395995"/>
    <w:rsid w:val="00396DE0"/>
    <w:rsid w:val="003A1E97"/>
    <w:rsid w:val="003A2B71"/>
    <w:rsid w:val="003A3307"/>
    <w:rsid w:val="003B441C"/>
    <w:rsid w:val="003B47A7"/>
    <w:rsid w:val="003B5995"/>
    <w:rsid w:val="003B5B4E"/>
    <w:rsid w:val="003B6225"/>
    <w:rsid w:val="003C0B0D"/>
    <w:rsid w:val="003C61F5"/>
    <w:rsid w:val="003C6BA7"/>
    <w:rsid w:val="003D0B19"/>
    <w:rsid w:val="003D467F"/>
    <w:rsid w:val="003D5B1B"/>
    <w:rsid w:val="003D7128"/>
    <w:rsid w:val="003D7F2C"/>
    <w:rsid w:val="003E1DF8"/>
    <w:rsid w:val="003E7227"/>
    <w:rsid w:val="003E7A77"/>
    <w:rsid w:val="003F44BB"/>
    <w:rsid w:val="003F6482"/>
    <w:rsid w:val="004014BC"/>
    <w:rsid w:val="00402832"/>
    <w:rsid w:val="004032E4"/>
    <w:rsid w:val="0041109B"/>
    <w:rsid w:val="00413E0F"/>
    <w:rsid w:val="00414878"/>
    <w:rsid w:val="00420E1D"/>
    <w:rsid w:val="004226D5"/>
    <w:rsid w:val="004246FC"/>
    <w:rsid w:val="00425067"/>
    <w:rsid w:val="0042619F"/>
    <w:rsid w:val="004277D7"/>
    <w:rsid w:val="004304CE"/>
    <w:rsid w:val="00430BBD"/>
    <w:rsid w:val="00430D3F"/>
    <w:rsid w:val="00431057"/>
    <w:rsid w:val="00431FAC"/>
    <w:rsid w:val="00437422"/>
    <w:rsid w:val="004401EA"/>
    <w:rsid w:val="00441C62"/>
    <w:rsid w:val="00443573"/>
    <w:rsid w:val="004523C6"/>
    <w:rsid w:val="00456005"/>
    <w:rsid w:val="00456552"/>
    <w:rsid w:val="00460E5F"/>
    <w:rsid w:val="00467709"/>
    <w:rsid w:val="00472B55"/>
    <w:rsid w:val="004737DB"/>
    <w:rsid w:val="00474824"/>
    <w:rsid w:val="00475A5C"/>
    <w:rsid w:val="00476993"/>
    <w:rsid w:val="00477824"/>
    <w:rsid w:val="00484AF8"/>
    <w:rsid w:val="004910C5"/>
    <w:rsid w:val="00491475"/>
    <w:rsid w:val="00491B2F"/>
    <w:rsid w:val="00492CF5"/>
    <w:rsid w:val="00493C1E"/>
    <w:rsid w:val="004B513D"/>
    <w:rsid w:val="004B7836"/>
    <w:rsid w:val="004C327F"/>
    <w:rsid w:val="004C5F6D"/>
    <w:rsid w:val="004D136E"/>
    <w:rsid w:val="004D1F8B"/>
    <w:rsid w:val="004E43BB"/>
    <w:rsid w:val="004E544F"/>
    <w:rsid w:val="004F0260"/>
    <w:rsid w:val="004F0DA1"/>
    <w:rsid w:val="004F48EF"/>
    <w:rsid w:val="004F5EF5"/>
    <w:rsid w:val="004F764B"/>
    <w:rsid w:val="00500F37"/>
    <w:rsid w:val="005016E6"/>
    <w:rsid w:val="00502054"/>
    <w:rsid w:val="005031E7"/>
    <w:rsid w:val="00503D18"/>
    <w:rsid w:val="0050412A"/>
    <w:rsid w:val="00504E62"/>
    <w:rsid w:val="0050678E"/>
    <w:rsid w:val="00506B16"/>
    <w:rsid w:val="005150DF"/>
    <w:rsid w:val="0051573A"/>
    <w:rsid w:val="00515E12"/>
    <w:rsid w:val="00520AE8"/>
    <w:rsid w:val="005217AA"/>
    <w:rsid w:val="005222CE"/>
    <w:rsid w:val="005223FB"/>
    <w:rsid w:val="00530DCF"/>
    <w:rsid w:val="00531354"/>
    <w:rsid w:val="00532094"/>
    <w:rsid w:val="00533953"/>
    <w:rsid w:val="0053790E"/>
    <w:rsid w:val="00542429"/>
    <w:rsid w:val="00544162"/>
    <w:rsid w:val="0054571C"/>
    <w:rsid w:val="005457D6"/>
    <w:rsid w:val="00552D83"/>
    <w:rsid w:val="00557C8D"/>
    <w:rsid w:val="00560492"/>
    <w:rsid w:val="00564341"/>
    <w:rsid w:val="00564E20"/>
    <w:rsid w:val="00565A66"/>
    <w:rsid w:val="00571246"/>
    <w:rsid w:val="00580250"/>
    <w:rsid w:val="0058246B"/>
    <w:rsid w:val="0058372F"/>
    <w:rsid w:val="00583F5A"/>
    <w:rsid w:val="00584949"/>
    <w:rsid w:val="00587014"/>
    <w:rsid w:val="005877F4"/>
    <w:rsid w:val="005902A7"/>
    <w:rsid w:val="005918D4"/>
    <w:rsid w:val="00591F38"/>
    <w:rsid w:val="00597582"/>
    <w:rsid w:val="005B0F4D"/>
    <w:rsid w:val="005B4121"/>
    <w:rsid w:val="005B43A0"/>
    <w:rsid w:val="005B54AF"/>
    <w:rsid w:val="005B5E6C"/>
    <w:rsid w:val="005B65CA"/>
    <w:rsid w:val="005C267E"/>
    <w:rsid w:val="005D0E2E"/>
    <w:rsid w:val="005D1725"/>
    <w:rsid w:val="005D3854"/>
    <w:rsid w:val="005D456F"/>
    <w:rsid w:val="005E022E"/>
    <w:rsid w:val="005E1251"/>
    <w:rsid w:val="005E50A6"/>
    <w:rsid w:val="005E5280"/>
    <w:rsid w:val="005E7812"/>
    <w:rsid w:val="005F4680"/>
    <w:rsid w:val="005F51CE"/>
    <w:rsid w:val="005F5427"/>
    <w:rsid w:val="005F5508"/>
    <w:rsid w:val="006025E5"/>
    <w:rsid w:val="00607AC2"/>
    <w:rsid w:val="00611480"/>
    <w:rsid w:val="00612FC9"/>
    <w:rsid w:val="00614238"/>
    <w:rsid w:val="00614777"/>
    <w:rsid w:val="00616E43"/>
    <w:rsid w:val="0062332A"/>
    <w:rsid w:val="00624DF3"/>
    <w:rsid w:val="006253FE"/>
    <w:rsid w:val="00626770"/>
    <w:rsid w:val="00631DC3"/>
    <w:rsid w:val="0063292F"/>
    <w:rsid w:val="00636998"/>
    <w:rsid w:val="006406D8"/>
    <w:rsid w:val="006443E4"/>
    <w:rsid w:val="00651485"/>
    <w:rsid w:val="00654360"/>
    <w:rsid w:val="00654FBC"/>
    <w:rsid w:val="00660063"/>
    <w:rsid w:val="00664BA3"/>
    <w:rsid w:val="00672217"/>
    <w:rsid w:val="0067311C"/>
    <w:rsid w:val="006767C7"/>
    <w:rsid w:val="00680649"/>
    <w:rsid w:val="00685F29"/>
    <w:rsid w:val="00691E55"/>
    <w:rsid w:val="006950E0"/>
    <w:rsid w:val="006958A2"/>
    <w:rsid w:val="006958E9"/>
    <w:rsid w:val="00695F83"/>
    <w:rsid w:val="00697E97"/>
    <w:rsid w:val="006A00C7"/>
    <w:rsid w:val="006A08FC"/>
    <w:rsid w:val="006A1A84"/>
    <w:rsid w:val="006A3712"/>
    <w:rsid w:val="006B0179"/>
    <w:rsid w:val="006B0598"/>
    <w:rsid w:val="006B316C"/>
    <w:rsid w:val="006B7DBC"/>
    <w:rsid w:val="006C64B0"/>
    <w:rsid w:val="006D06E3"/>
    <w:rsid w:val="006D7BD2"/>
    <w:rsid w:val="006D7E73"/>
    <w:rsid w:val="006E0AD7"/>
    <w:rsid w:val="006E0EE4"/>
    <w:rsid w:val="006E7AF2"/>
    <w:rsid w:val="006F02F7"/>
    <w:rsid w:val="006F1B31"/>
    <w:rsid w:val="00702783"/>
    <w:rsid w:val="007028D4"/>
    <w:rsid w:val="00702BA1"/>
    <w:rsid w:val="00706472"/>
    <w:rsid w:val="00706536"/>
    <w:rsid w:val="00707567"/>
    <w:rsid w:val="00714CCC"/>
    <w:rsid w:val="00721283"/>
    <w:rsid w:val="00723CA1"/>
    <w:rsid w:val="0072444E"/>
    <w:rsid w:val="007252BF"/>
    <w:rsid w:val="007346A8"/>
    <w:rsid w:val="00734E52"/>
    <w:rsid w:val="0073591F"/>
    <w:rsid w:val="00736C70"/>
    <w:rsid w:val="00743C85"/>
    <w:rsid w:val="00746BCC"/>
    <w:rsid w:val="00751161"/>
    <w:rsid w:val="00752017"/>
    <w:rsid w:val="00753519"/>
    <w:rsid w:val="0075614D"/>
    <w:rsid w:val="00757CDB"/>
    <w:rsid w:val="00763492"/>
    <w:rsid w:val="007645C3"/>
    <w:rsid w:val="00767BF8"/>
    <w:rsid w:val="00770025"/>
    <w:rsid w:val="007718A9"/>
    <w:rsid w:val="007762C7"/>
    <w:rsid w:val="00777A45"/>
    <w:rsid w:val="00777C69"/>
    <w:rsid w:val="00785385"/>
    <w:rsid w:val="007A1AA8"/>
    <w:rsid w:val="007A5BC3"/>
    <w:rsid w:val="007A7DBF"/>
    <w:rsid w:val="007B0187"/>
    <w:rsid w:val="007B02FF"/>
    <w:rsid w:val="007B3ACC"/>
    <w:rsid w:val="007B5680"/>
    <w:rsid w:val="007B6675"/>
    <w:rsid w:val="007C3153"/>
    <w:rsid w:val="007C3C38"/>
    <w:rsid w:val="007C70C7"/>
    <w:rsid w:val="007C7BF9"/>
    <w:rsid w:val="007D0833"/>
    <w:rsid w:val="007D1D9C"/>
    <w:rsid w:val="007D7E09"/>
    <w:rsid w:val="007E46B1"/>
    <w:rsid w:val="007F1C51"/>
    <w:rsid w:val="007F443B"/>
    <w:rsid w:val="007F5241"/>
    <w:rsid w:val="008001D2"/>
    <w:rsid w:val="0080138D"/>
    <w:rsid w:val="00802E24"/>
    <w:rsid w:val="008038C0"/>
    <w:rsid w:val="00810E7B"/>
    <w:rsid w:val="00814C23"/>
    <w:rsid w:val="0081692E"/>
    <w:rsid w:val="008176AF"/>
    <w:rsid w:val="0082000E"/>
    <w:rsid w:val="008230F0"/>
    <w:rsid w:val="00823AB5"/>
    <w:rsid w:val="00825874"/>
    <w:rsid w:val="008344EF"/>
    <w:rsid w:val="0084609F"/>
    <w:rsid w:val="00851A74"/>
    <w:rsid w:val="00852254"/>
    <w:rsid w:val="00860A0E"/>
    <w:rsid w:val="008620EC"/>
    <w:rsid w:val="008621E8"/>
    <w:rsid w:val="00862CC3"/>
    <w:rsid w:val="0086464C"/>
    <w:rsid w:val="008669C3"/>
    <w:rsid w:val="0087550C"/>
    <w:rsid w:val="008774D9"/>
    <w:rsid w:val="00877AF9"/>
    <w:rsid w:val="00880BAD"/>
    <w:rsid w:val="0088161D"/>
    <w:rsid w:val="00881A84"/>
    <w:rsid w:val="0088279C"/>
    <w:rsid w:val="00883A9D"/>
    <w:rsid w:val="008904E7"/>
    <w:rsid w:val="00891A8D"/>
    <w:rsid w:val="00891CF3"/>
    <w:rsid w:val="0089392D"/>
    <w:rsid w:val="00895E7D"/>
    <w:rsid w:val="0089627D"/>
    <w:rsid w:val="008964B6"/>
    <w:rsid w:val="008964D6"/>
    <w:rsid w:val="00897E23"/>
    <w:rsid w:val="008A495C"/>
    <w:rsid w:val="008A4A1D"/>
    <w:rsid w:val="008A4E94"/>
    <w:rsid w:val="008B75C8"/>
    <w:rsid w:val="008C2A4E"/>
    <w:rsid w:val="008C4DE5"/>
    <w:rsid w:val="008C5086"/>
    <w:rsid w:val="008D2A29"/>
    <w:rsid w:val="008D3E9E"/>
    <w:rsid w:val="008D7280"/>
    <w:rsid w:val="008E04E0"/>
    <w:rsid w:val="008E0CDD"/>
    <w:rsid w:val="008E1265"/>
    <w:rsid w:val="008E3B56"/>
    <w:rsid w:val="008E463A"/>
    <w:rsid w:val="008E4A26"/>
    <w:rsid w:val="008E4FD1"/>
    <w:rsid w:val="008E5B9A"/>
    <w:rsid w:val="008E655B"/>
    <w:rsid w:val="008F0378"/>
    <w:rsid w:val="008F416A"/>
    <w:rsid w:val="008F4D43"/>
    <w:rsid w:val="008F5EDE"/>
    <w:rsid w:val="008F7FBF"/>
    <w:rsid w:val="0091044B"/>
    <w:rsid w:val="00911ADB"/>
    <w:rsid w:val="009137CF"/>
    <w:rsid w:val="0091641D"/>
    <w:rsid w:val="00917303"/>
    <w:rsid w:val="009174C9"/>
    <w:rsid w:val="0092132D"/>
    <w:rsid w:val="00922029"/>
    <w:rsid w:val="00924280"/>
    <w:rsid w:val="0092536C"/>
    <w:rsid w:val="00932DA2"/>
    <w:rsid w:val="009352EF"/>
    <w:rsid w:val="00935B6E"/>
    <w:rsid w:val="00943363"/>
    <w:rsid w:val="009502F0"/>
    <w:rsid w:val="00951F28"/>
    <w:rsid w:val="00956142"/>
    <w:rsid w:val="0096122A"/>
    <w:rsid w:val="00962155"/>
    <w:rsid w:val="00967373"/>
    <w:rsid w:val="0096747B"/>
    <w:rsid w:val="00967F85"/>
    <w:rsid w:val="00971142"/>
    <w:rsid w:val="0097359C"/>
    <w:rsid w:val="0097441C"/>
    <w:rsid w:val="0097517E"/>
    <w:rsid w:val="00976512"/>
    <w:rsid w:val="00981F62"/>
    <w:rsid w:val="009838B8"/>
    <w:rsid w:val="0098573A"/>
    <w:rsid w:val="009919E6"/>
    <w:rsid w:val="00991B97"/>
    <w:rsid w:val="00992673"/>
    <w:rsid w:val="009937F5"/>
    <w:rsid w:val="00997121"/>
    <w:rsid w:val="00997C2D"/>
    <w:rsid w:val="009A1470"/>
    <w:rsid w:val="009A35A8"/>
    <w:rsid w:val="009A4D40"/>
    <w:rsid w:val="009A5150"/>
    <w:rsid w:val="009A661A"/>
    <w:rsid w:val="009A7DF6"/>
    <w:rsid w:val="009B3C9A"/>
    <w:rsid w:val="009B5CF4"/>
    <w:rsid w:val="009B6B19"/>
    <w:rsid w:val="009B79F0"/>
    <w:rsid w:val="009C7F1E"/>
    <w:rsid w:val="009D1C22"/>
    <w:rsid w:val="009D49BC"/>
    <w:rsid w:val="009D528B"/>
    <w:rsid w:val="009D7C0B"/>
    <w:rsid w:val="009E00AC"/>
    <w:rsid w:val="009E01E6"/>
    <w:rsid w:val="009E448C"/>
    <w:rsid w:val="009E6F87"/>
    <w:rsid w:val="009F110A"/>
    <w:rsid w:val="009F17B3"/>
    <w:rsid w:val="009F1F01"/>
    <w:rsid w:val="009F56DA"/>
    <w:rsid w:val="009F5955"/>
    <w:rsid w:val="00A0090A"/>
    <w:rsid w:val="00A03158"/>
    <w:rsid w:val="00A14445"/>
    <w:rsid w:val="00A151E2"/>
    <w:rsid w:val="00A16005"/>
    <w:rsid w:val="00A16970"/>
    <w:rsid w:val="00A16DF0"/>
    <w:rsid w:val="00A201FA"/>
    <w:rsid w:val="00A26DF2"/>
    <w:rsid w:val="00A40BFB"/>
    <w:rsid w:val="00A415B6"/>
    <w:rsid w:val="00A41759"/>
    <w:rsid w:val="00A454EE"/>
    <w:rsid w:val="00A45C80"/>
    <w:rsid w:val="00A4633B"/>
    <w:rsid w:val="00A4783D"/>
    <w:rsid w:val="00A52373"/>
    <w:rsid w:val="00A5286C"/>
    <w:rsid w:val="00A52E93"/>
    <w:rsid w:val="00A54F44"/>
    <w:rsid w:val="00A57CE0"/>
    <w:rsid w:val="00A63DCD"/>
    <w:rsid w:val="00A755FE"/>
    <w:rsid w:val="00A76C80"/>
    <w:rsid w:val="00A80DE2"/>
    <w:rsid w:val="00A82468"/>
    <w:rsid w:val="00A82539"/>
    <w:rsid w:val="00A8793F"/>
    <w:rsid w:val="00A900CC"/>
    <w:rsid w:val="00A900D9"/>
    <w:rsid w:val="00A92C99"/>
    <w:rsid w:val="00A97255"/>
    <w:rsid w:val="00AA10DC"/>
    <w:rsid w:val="00AA5AE5"/>
    <w:rsid w:val="00AA68EC"/>
    <w:rsid w:val="00AB5572"/>
    <w:rsid w:val="00AD179E"/>
    <w:rsid w:val="00AD411B"/>
    <w:rsid w:val="00AD6E30"/>
    <w:rsid w:val="00AD7E4C"/>
    <w:rsid w:val="00AE3206"/>
    <w:rsid w:val="00AE380E"/>
    <w:rsid w:val="00AE4B14"/>
    <w:rsid w:val="00AE73EA"/>
    <w:rsid w:val="00AF284D"/>
    <w:rsid w:val="00AF439F"/>
    <w:rsid w:val="00B00552"/>
    <w:rsid w:val="00B044EA"/>
    <w:rsid w:val="00B06108"/>
    <w:rsid w:val="00B07C17"/>
    <w:rsid w:val="00B11AF5"/>
    <w:rsid w:val="00B13F68"/>
    <w:rsid w:val="00B1454B"/>
    <w:rsid w:val="00B154A6"/>
    <w:rsid w:val="00B16EC1"/>
    <w:rsid w:val="00B17D87"/>
    <w:rsid w:val="00B228AF"/>
    <w:rsid w:val="00B2320A"/>
    <w:rsid w:val="00B24BBE"/>
    <w:rsid w:val="00B33A02"/>
    <w:rsid w:val="00B33CC8"/>
    <w:rsid w:val="00B346E7"/>
    <w:rsid w:val="00B37F08"/>
    <w:rsid w:val="00B40CB0"/>
    <w:rsid w:val="00B415A8"/>
    <w:rsid w:val="00B42113"/>
    <w:rsid w:val="00B45124"/>
    <w:rsid w:val="00B46A9A"/>
    <w:rsid w:val="00B5221A"/>
    <w:rsid w:val="00B600B1"/>
    <w:rsid w:val="00B61BFF"/>
    <w:rsid w:val="00B63744"/>
    <w:rsid w:val="00B640CF"/>
    <w:rsid w:val="00B72414"/>
    <w:rsid w:val="00B72DF0"/>
    <w:rsid w:val="00B73082"/>
    <w:rsid w:val="00B740D5"/>
    <w:rsid w:val="00B8023E"/>
    <w:rsid w:val="00B87EFA"/>
    <w:rsid w:val="00B9346C"/>
    <w:rsid w:val="00B9463F"/>
    <w:rsid w:val="00B953E2"/>
    <w:rsid w:val="00BA208D"/>
    <w:rsid w:val="00BA52D2"/>
    <w:rsid w:val="00BA7BCF"/>
    <w:rsid w:val="00BB1E73"/>
    <w:rsid w:val="00BB2868"/>
    <w:rsid w:val="00BB5D3D"/>
    <w:rsid w:val="00BB7706"/>
    <w:rsid w:val="00BB7A4A"/>
    <w:rsid w:val="00BC109C"/>
    <w:rsid w:val="00BC30F0"/>
    <w:rsid w:val="00BC3340"/>
    <w:rsid w:val="00BC4042"/>
    <w:rsid w:val="00BD1557"/>
    <w:rsid w:val="00BD3AF8"/>
    <w:rsid w:val="00BF33E3"/>
    <w:rsid w:val="00BF489E"/>
    <w:rsid w:val="00BF550E"/>
    <w:rsid w:val="00BF6416"/>
    <w:rsid w:val="00BF7226"/>
    <w:rsid w:val="00C03C52"/>
    <w:rsid w:val="00C05511"/>
    <w:rsid w:val="00C06D5C"/>
    <w:rsid w:val="00C13609"/>
    <w:rsid w:val="00C14553"/>
    <w:rsid w:val="00C150D0"/>
    <w:rsid w:val="00C16F55"/>
    <w:rsid w:val="00C17C08"/>
    <w:rsid w:val="00C240C4"/>
    <w:rsid w:val="00C2446A"/>
    <w:rsid w:val="00C248AB"/>
    <w:rsid w:val="00C254BC"/>
    <w:rsid w:val="00C26631"/>
    <w:rsid w:val="00C32840"/>
    <w:rsid w:val="00C4425D"/>
    <w:rsid w:val="00C44667"/>
    <w:rsid w:val="00C47AC3"/>
    <w:rsid w:val="00C52A31"/>
    <w:rsid w:val="00C55C86"/>
    <w:rsid w:val="00C6254B"/>
    <w:rsid w:val="00C62F93"/>
    <w:rsid w:val="00C745F6"/>
    <w:rsid w:val="00C80B2A"/>
    <w:rsid w:val="00C8187F"/>
    <w:rsid w:val="00C84D88"/>
    <w:rsid w:val="00C85BDC"/>
    <w:rsid w:val="00C87E68"/>
    <w:rsid w:val="00C9106F"/>
    <w:rsid w:val="00C93D08"/>
    <w:rsid w:val="00C969BD"/>
    <w:rsid w:val="00CA004B"/>
    <w:rsid w:val="00CA1401"/>
    <w:rsid w:val="00CA2750"/>
    <w:rsid w:val="00CC3045"/>
    <w:rsid w:val="00CC3339"/>
    <w:rsid w:val="00CC5439"/>
    <w:rsid w:val="00CC68BB"/>
    <w:rsid w:val="00CD08BD"/>
    <w:rsid w:val="00CD2BB3"/>
    <w:rsid w:val="00CD6150"/>
    <w:rsid w:val="00CD7593"/>
    <w:rsid w:val="00CD78CD"/>
    <w:rsid w:val="00CE0752"/>
    <w:rsid w:val="00CE0872"/>
    <w:rsid w:val="00CE345A"/>
    <w:rsid w:val="00CE487C"/>
    <w:rsid w:val="00CE6170"/>
    <w:rsid w:val="00CE7C17"/>
    <w:rsid w:val="00CF0128"/>
    <w:rsid w:val="00CF3B36"/>
    <w:rsid w:val="00CF56D7"/>
    <w:rsid w:val="00D00BA5"/>
    <w:rsid w:val="00D01AEE"/>
    <w:rsid w:val="00D03867"/>
    <w:rsid w:val="00D03B4D"/>
    <w:rsid w:val="00D05CC5"/>
    <w:rsid w:val="00D0619C"/>
    <w:rsid w:val="00D14E8B"/>
    <w:rsid w:val="00D17C94"/>
    <w:rsid w:val="00D209FC"/>
    <w:rsid w:val="00D2377E"/>
    <w:rsid w:val="00D2507E"/>
    <w:rsid w:val="00D34CD6"/>
    <w:rsid w:val="00D37FBA"/>
    <w:rsid w:val="00D4032D"/>
    <w:rsid w:val="00D42D92"/>
    <w:rsid w:val="00D434D2"/>
    <w:rsid w:val="00D43C01"/>
    <w:rsid w:val="00D447BA"/>
    <w:rsid w:val="00D4615F"/>
    <w:rsid w:val="00D46C0D"/>
    <w:rsid w:val="00D50225"/>
    <w:rsid w:val="00D537E7"/>
    <w:rsid w:val="00D564E6"/>
    <w:rsid w:val="00D5653A"/>
    <w:rsid w:val="00D56DFF"/>
    <w:rsid w:val="00D57819"/>
    <w:rsid w:val="00D708BE"/>
    <w:rsid w:val="00D72FA9"/>
    <w:rsid w:val="00D73A06"/>
    <w:rsid w:val="00D810E1"/>
    <w:rsid w:val="00D8168A"/>
    <w:rsid w:val="00D84226"/>
    <w:rsid w:val="00D8564C"/>
    <w:rsid w:val="00D87E69"/>
    <w:rsid w:val="00D9010F"/>
    <w:rsid w:val="00D90826"/>
    <w:rsid w:val="00D910E4"/>
    <w:rsid w:val="00D92AA4"/>
    <w:rsid w:val="00D932EA"/>
    <w:rsid w:val="00D9398F"/>
    <w:rsid w:val="00D94AA5"/>
    <w:rsid w:val="00D9646E"/>
    <w:rsid w:val="00D9650F"/>
    <w:rsid w:val="00D96534"/>
    <w:rsid w:val="00D9726C"/>
    <w:rsid w:val="00D97626"/>
    <w:rsid w:val="00DA0225"/>
    <w:rsid w:val="00DA3F93"/>
    <w:rsid w:val="00DA56DA"/>
    <w:rsid w:val="00DA6DC7"/>
    <w:rsid w:val="00DB2DD7"/>
    <w:rsid w:val="00DB459A"/>
    <w:rsid w:val="00DB55D6"/>
    <w:rsid w:val="00DB5C94"/>
    <w:rsid w:val="00DC0A9D"/>
    <w:rsid w:val="00DC2FFE"/>
    <w:rsid w:val="00DC7B31"/>
    <w:rsid w:val="00DD5C62"/>
    <w:rsid w:val="00DD62DD"/>
    <w:rsid w:val="00DD7113"/>
    <w:rsid w:val="00DD7407"/>
    <w:rsid w:val="00DE0934"/>
    <w:rsid w:val="00DE1CB9"/>
    <w:rsid w:val="00DE264B"/>
    <w:rsid w:val="00DE3805"/>
    <w:rsid w:val="00DF2100"/>
    <w:rsid w:val="00DF436E"/>
    <w:rsid w:val="00DF546B"/>
    <w:rsid w:val="00DF5A67"/>
    <w:rsid w:val="00E0185E"/>
    <w:rsid w:val="00E023EA"/>
    <w:rsid w:val="00E04CBF"/>
    <w:rsid w:val="00E06A8A"/>
    <w:rsid w:val="00E06FFA"/>
    <w:rsid w:val="00E07340"/>
    <w:rsid w:val="00E07BFC"/>
    <w:rsid w:val="00E12084"/>
    <w:rsid w:val="00E12BE8"/>
    <w:rsid w:val="00E13489"/>
    <w:rsid w:val="00E16A8A"/>
    <w:rsid w:val="00E20837"/>
    <w:rsid w:val="00E22F3B"/>
    <w:rsid w:val="00E33D59"/>
    <w:rsid w:val="00E362CD"/>
    <w:rsid w:val="00E447DE"/>
    <w:rsid w:val="00E61D7C"/>
    <w:rsid w:val="00E64234"/>
    <w:rsid w:val="00E65395"/>
    <w:rsid w:val="00E66C0F"/>
    <w:rsid w:val="00E67C1E"/>
    <w:rsid w:val="00E75C24"/>
    <w:rsid w:val="00E76923"/>
    <w:rsid w:val="00E8020D"/>
    <w:rsid w:val="00E80D19"/>
    <w:rsid w:val="00E824AC"/>
    <w:rsid w:val="00E82FF0"/>
    <w:rsid w:val="00E84024"/>
    <w:rsid w:val="00EA0427"/>
    <w:rsid w:val="00EA093E"/>
    <w:rsid w:val="00EA18C4"/>
    <w:rsid w:val="00EA28E7"/>
    <w:rsid w:val="00EA4DF6"/>
    <w:rsid w:val="00EA6035"/>
    <w:rsid w:val="00EB0BF2"/>
    <w:rsid w:val="00EB10BE"/>
    <w:rsid w:val="00EB1A83"/>
    <w:rsid w:val="00EB250B"/>
    <w:rsid w:val="00EB2EAD"/>
    <w:rsid w:val="00EB2F69"/>
    <w:rsid w:val="00EC0444"/>
    <w:rsid w:val="00EC6604"/>
    <w:rsid w:val="00EC67BA"/>
    <w:rsid w:val="00EC73D5"/>
    <w:rsid w:val="00ED10DF"/>
    <w:rsid w:val="00ED7FEC"/>
    <w:rsid w:val="00EE1B60"/>
    <w:rsid w:val="00EE4EB4"/>
    <w:rsid w:val="00EE6065"/>
    <w:rsid w:val="00EE62D3"/>
    <w:rsid w:val="00EE737C"/>
    <w:rsid w:val="00EF55D0"/>
    <w:rsid w:val="00EF7507"/>
    <w:rsid w:val="00F0269B"/>
    <w:rsid w:val="00F04115"/>
    <w:rsid w:val="00F06DF9"/>
    <w:rsid w:val="00F1234C"/>
    <w:rsid w:val="00F14C53"/>
    <w:rsid w:val="00F15CD3"/>
    <w:rsid w:val="00F21A0B"/>
    <w:rsid w:val="00F244CD"/>
    <w:rsid w:val="00F33CDA"/>
    <w:rsid w:val="00F36660"/>
    <w:rsid w:val="00F37519"/>
    <w:rsid w:val="00F43B29"/>
    <w:rsid w:val="00F56B3C"/>
    <w:rsid w:val="00F618AD"/>
    <w:rsid w:val="00F66275"/>
    <w:rsid w:val="00F66C5D"/>
    <w:rsid w:val="00F67931"/>
    <w:rsid w:val="00F7398D"/>
    <w:rsid w:val="00F73CCF"/>
    <w:rsid w:val="00F76C3F"/>
    <w:rsid w:val="00F81C3F"/>
    <w:rsid w:val="00F85CF4"/>
    <w:rsid w:val="00F86346"/>
    <w:rsid w:val="00F87188"/>
    <w:rsid w:val="00F91902"/>
    <w:rsid w:val="00F94A96"/>
    <w:rsid w:val="00F95EFB"/>
    <w:rsid w:val="00F97FC9"/>
    <w:rsid w:val="00FA0192"/>
    <w:rsid w:val="00FA035B"/>
    <w:rsid w:val="00FA2721"/>
    <w:rsid w:val="00FA27F3"/>
    <w:rsid w:val="00FA3DF2"/>
    <w:rsid w:val="00FA6896"/>
    <w:rsid w:val="00FB21CA"/>
    <w:rsid w:val="00FB416D"/>
    <w:rsid w:val="00FB7AC1"/>
    <w:rsid w:val="00FC0C6B"/>
    <w:rsid w:val="00FC11A1"/>
    <w:rsid w:val="00FC50A8"/>
    <w:rsid w:val="00FC7F4D"/>
    <w:rsid w:val="00FD227F"/>
    <w:rsid w:val="00FD7B8B"/>
    <w:rsid w:val="00FE1EBF"/>
    <w:rsid w:val="00FE2B03"/>
    <w:rsid w:val="00FE2DE3"/>
    <w:rsid w:val="00FE3DE4"/>
    <w:rsid w:val="00FE5597"/>
    <w:rsid w:val="00FE73A2"/>
    <w:rsid w:val="00FF4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2783E3F"/>
  <w15:docId w15:val="{9249B1D0-18AF-4868-BDC6-8DE025E82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3C3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6A1A84"/>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6A1A8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6A1A8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outlineLvl w:val="3"/>
    </w:pPr>
    <w:rPr>
      <w:sz w:val="24"/>
      <w:szCs w:val="24"/>
    </w:rPr>
  </w:style>
  <w:style w:type="paragraph" w:styleId="Heading5">
    <w:name w:val="heading 5"/>
    <w:basedOn w:val="Heading4"/>
    <w:next w:val="Normal"/>
    <w:link w:val="Heading5Char"/>
    <w:qFormat/>
    <w:rsid w:val="006A1A84"/>
    <w:pPr>
      <w:numPr>
        <w:ilvl w:val="4"/>
      </w:numPr>
      <w:outlineLvl w:val="4"/>
    </w:pPr>
    <w:rPr>
      <w:sz w:val="22"/>
      <w:szCs w:val="22"/>
    </w:rPr>
  </w:style>
  <w:style w:type="paragraph" w:styleId="Heading6">
    <w:name w:val="heading 6"/>
    <w:basedOn w:val="Normal"/>
    <w:next w:val="Normal"/>
    <w:link w:val="Heading6Char"/>
    <w:qFormat/>
    <w:rsid w:val="006A1A84"/>
    <w:pPr>
      <w:keepNext/>
      <w:keepLines/>
      <w:numPr>
        <w:ilvl w:val="5"/>
        <w:numId w:val="3"/>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3"/>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リスト段落,?? ??,?????,????,Lista1,列出段落,列出段落1,中等深浅网格 1 - 着色 21,목록 단락,列表段落"/>
    <w:basedOn w:val="Normal"/>
    <w:link w:val="ListParagraphChar"/>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6A1A8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semiHidden/>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
    <w:link w:val="Caption"/>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0519FA"/>
  </w:style>
  <w:style w:type="paragraph" w:styleId="Footer">
    <w:name w:val="footer"/>
    <w:basedOn w:val="Normal"/>
    <w:link w:val="FooterChar"/>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 Bullets Char,リスト段落 Char,?? ?? Char,????? Char,???? Char,Lista1 Char,列出段落 Char,列出段落1 Char,中等深浅网格 1 - 着色 21 Char,목록 단락 Char,列表段落 Char"/>
    <w:link w:val="ListParagraph"/>
    <w:uiPriority w:val="34"/>
    <w:qFormat/>
    <w:locked/>
    <w:rsid w:val="00AD179E"/>
  </w:style>
  <w:style w:type="character" w:styleId="CommentReference">
    <w:name w:val="annotation reference"/>
    <w:basedOn w:val="DefaultParagraphFont"/>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semiHidden/>
    <w:unhideWhenUsed/>
    <w:rsid w:val="009F1F01"/>
    <w:rPr>
      <w:b/>
      <w:bCs/>
    </w:rPr>
  </w:style>
  <w:style w:type="character" w:customStyle="1" w:styleId="CommentSubjectChar">
    <w:name w:val="Comment Subject Char"/>
    <w:basedOn w:val="CommentTextChar"/>
    <w:link w:val="CommentSubject"/>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semiHidden/>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character" w:styleId="PlaceholderText">
    <w:name w:val="Placeholder Text"/>
    <w:basedOn w:val="DefaultParagraphFont"/>
    <w:uiPriority w:val="99"/>
    <w:semiHidden/>
    <w:rsid w:val="00DB5C94"/>
    <w:rPr>
      <w:color w:val="808080"/>
    </w:rPr>
  </w:style>
  <w:style w:type="paragraph" w:customStyle="1" w:styleId="LGTdoc">
    <w:name w:val="LGTdoc_본문"/>
    <w:basedOn w:val="Normal"/>
    <w:rsid w:val="00047714"/>
    <w:pPr>
      <w:widowControl w:val="0"/>
      <w:autoSpaceDE w:val="0"/>
      <w:autoSpaceDN w:val="0"/>
      <w:adjustRightInd w:val="0"/>
      <w:snapToGrid w:val="0"/>
      <w:spacing w:afterLines="50" w:after="200" w:line="264" w:lineRule="auto"/>
      <w:jc w:val="both"/>
    </w:pPr>
    <w:rPr>
      <w:rFonts w:ascii="Times New Roman" w:eastAsia="Batang" w:hAnsi="Times New Roman" w:cs="Times New Roman"/>
      <w:kern w:val="2"/>
      <w:szCs w:val="24"/>
      <w:lang w:val="en-GB" w:eastAsia="ko-KR"/>
    </w:rPr>
  </w:style>
  <w:style w:type="character" w:customStyle="1" w:styleId="nlmcontrib">
    <w:name w:val="nlm_contrib"/>
    <w:basedOn w:val="DefaultParagraphFont"/>
    <w:rsid w:val="00A151E2"/>
  </w:style>
  <w:style w:type="character" w:customStyle="1" w:styleId="nlmstring-name">
    <w:name w:val="nlm_string-name"/>
    <w:basedOn w:val="DefaultParagraphFont"/>
    <w:rsid w:val="00A151E2"/>
  </w:style>
  <w:style w:type="paragraph" w:customStyle="1" w:styleId="CRCoverPage">
    <w:name w:val="CR Cover Page"/>
    <w:rsid w:val="003B6225"/>
    <w:pPr>
      <w:spacing w:after="120" w:line="240" w:lineRule="auto"/>
    </w:pPr>
    <w:rPr>
      <w:rFonts w:ascii="Arial" w:eastAsia="Batang" w:hAnsi="Arial" w:cs="Times New Roman"/>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718A9"/>
    <w:pPr>
      <w:spacing w:after="120" w:line="240" w:lineRule="auto"/>
      <w:jc w:val="both"/>
    </w:pPr>
    <w:rPr>
      <w:rFonts w:ascii="Times New Roman" w:eastAsia="MS Mincho" w:hAnsi="Times New Roman" w:cs="Times New Roman"/>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718A9"/>
    <w:rPr>
      <w:rFonts w:ascii="Times New Roman" w:eastAsia="MS Mincho" w:hAnsi="Times New Roman" w:cs="Times New Roman"/>
      <w:sz w:val="20"/>
      <w:szCs w:val="24"/>
    </w:rPr>
  </w:style>
  <w:style w:type="paragraph" w:customStyle="1" w:styleId="References">
    <w:name w:val="References"/>
    <w:basedOn w:val="Normal"/>
    <w:rsid w:val="001476FA"/>
    <w:pPr>
      <w:numPr>
        <w:numId w:val="26"/>
      </w:numPr>
      <w:autoSpaceDE w:val="0"/>
      <w:autoSpaceDN w:val="0"/>
      <w:snapToGrid w:val="0"/>
      <w:spacing w:after="60" w:line="240" w:lineRule="auto"/>
      <w:jc w:val="both"/>
    </w:pPr>
    <w:rPr>
      <w:rFonts w:ascii="Times New Roman" w:eastAsia="SimSun" w:hAnsi="Times New Roman" w:cs="Times New Roman"/>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110586">
      <w:bodyDiv w:val="1"/>
      <w:marLeft w:val="0"/>
      <w:marRight w:val="0"/>
      <w:marTop w:val="0"/>
      <w:marBottom w:val="0"/>
      <w:divBdr>
        <w:top w:val="none" w:sz="0" w:space="0" w:color="auto"/>
        <w:left w:val="none" w:sz="0" w:space="0" w:color="auto"/>
        <w:bottom w:val="none" w:sz="0" w:space="0" w:color="auto"/>
        <w:right w:val="none" w:sz="0" w:space="0" w:color="auto"/>
      </w:divBdr>
      <w:divsChild>
        <w:div w:id="1949197997">
          <w:marLeft w:val="0"/>
          <w:marRight w:val="0"/>
          <w:marTop w:val="0"/>
          <w:marBottom w:val="0"/>
          <w:divBdr>
            <w:top w:val="none" w:sz="0" w:space="0" w:color="auto"/>
            <w:left w:val="none" w:sz="0" w:space="0" w:color="auto"/>
            <w:bottom w:val="none" w:sz="0" w:space="0" w:color="auto"/>
            <w:right w:val="none" w:sz="0" w:space="0" w:color="auto"/>
          </w:divBdr>
          <w:divsChild>
            <w:div w:id="1248733270">
              <w:marLeft w:val="0"/>
              <w:marRight w:val="0"/>
              <w:marTop w:val="0"/>
              <w:marBottom w:val="0"/>
              <w:divBdr>
                <w:top w:val="none" w:sz="0" w:space="0" w:color="auto"/>
                <w:left w:val="none" w:sz="0" w:space="0" w:color="auto"/>
                <w:bottom w:val="none" w:sz="0" w:space="0" w:color="auto"/>
                <w:right w:val="none" w:sz="0" w:space="0" w:color="auto"/>
              </w:divBdr>
              <w:divsChild>
                <w:div w:id="802698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934774">
      <w:bodyDiv w:val="1"/>
      <w:marLeft w:val="0"/>
      <w:marRight w:val="0"/>
      <w:marTop w:val="0"/>
      <w:marBottom w:val="0"/>
      <w:divBdr>
        <w:top w:val="none" w:sz="0" w:space="0" w:color="auto"/>
        <w:left w:val="none" w:sz="0" w:space="0" w:color="auto"/>
        <w:bottom w:val="none" w:sz="0" w:space="0" w:color="auto"/>
        <w:right w:val="none" w:sz="0" w:space="0" w:color="auto"/>
      </w:divBdr>
      <w:divsChild>
        <w:div w:id="1184591637">
          <w:marLeft w:val="1800"/>
          <w:marRight w:val="0"/>
          <w:marTop w:val="100"/>
          <w:marBottom w:val="0"/>
          <w:divBdr>
            <w:top w:val="none" w:sz="0" w:space="0" w:color="auto"/>
            <w:left w:val="none" w:sz="0" w:space="0" w:color="auto"/>
            <w:bottom w:val="none" w:sz="0" w:space="0" w:color="auto"/>
            <w:right w:val="none" w:sz="0" w:space="0" w:color="auto"/>
          </w:divBdr>
        </w:div>
      </w:divsChild>
    </w:div>
    <w:div w:id="745882738">
      <w:bodyDiv w:val="1"/>
      <w:marLeft w:val="0"/>
      <w:marRight w:val="0"/>
      <w:marTop w:val="0"/>
      <w:marBottom w:val="0"/>
      <w:divBdr>
        <w:top w:val="none" w:sz="0" w:space="0" w:color="auto"/>
        <w:left w:val="none" w:sz="0" w:space="0" w:color="auto"/>
        <w:bottom w:val="none" w:sz="0" w:space="0" w:color="auto"/>
        <w:right w:val="none" w:sz="0" w:space="0" w:color="auto"/>
      </w:divBdr>
      <w:divsChild>
        <w:div w:id="1294166802">
          <w:marLeft w:val="360"/>
          <w:marRight w:val="0"/>
          <w:marTop w:val="200"/>
          <w:marBottom w:val="0"/>
          <w:divBdr>
            <w:top w:val="none" w:sz="0" w:space="0" w:color="auto"/>
            <w:left w:val="none" w:sz="0" w:space="0" w:color="auto"/>
            <w:bottom w:val="none" w:sz="0" w:space="0" w:color="auto"/>
            <w:right w:val="none" w:sz="0" w:space="0" w:color="auto"/>
          </w:divBdr>
        </w:div>
        <w:div w:id="1403941627">
          <w:marLeft w:val="1080"/>
          <w:marRight w:val="0"/>
          <w:marTop w:val="100"/>
          <w:marBottom w:val="0"/>
          <w:divBdr>
            <w:top w:val="none" w:sz="0" w:space="0" w:color="auto"/>
            <w:left w:val="none" w:sz="0" w:space="0" w:color="auto"/>
            <w:bottom w:val="none" w:sz="0" w:space="0" w:color="auto"/>
            <w:right w:val="none" w:sz="0" w:space="0" w:color="auto"/>
          </w:divBdr>
        </w:div>
        <w:div w:id="1969629213">
          <w:marLeft w:val="360"/>
          <w:marRight w:val="0"/>
          <w:marTop w:val="200"/>
          <w:marBottom w:val="0"/>
          <w:divBdr>
            <w:top w:val="none" w:sz="0" w:space="0" w:color="auto"/>
            <w:left w:val="none" w:sz="0" w:space="0" w:color="auto"/>
            <w:bottom w:val="none" w:sz="0" w:space="0" w:color="auto"/>
            <w:right w:val="none" w:sz="0" w:space="0" w:color="auto"/>
          </w:divBdr>
        </w:div>
        <w:div w:id="838467806">
          <w:marLeft w:val="360"/>
          <w:marRight w:val="0"/>
          <w:marTop w:val="200"/>
          <w:marBottom w:val="0"/>
          <w:divBdr>
            <w:top w:val="none" w:sz="0" w:space="0" w:color="auto"/>
            <w:left w:val="none" w:sz="0" w:space="0" w:color="auto"/>
            <w:bottom w:val="none" w:sz="0" w:space="0" w:color="auto"/>
            <w:right w:val="none" w:sz="0" w:space="0" w:color="auto"/>
          </w:divBdr>
        </w:div>
        <w:div w:id="906263904">
          <w:marLeft w:val="360"/>
          <w:marRight w:val="0"/>
          <w:marTop w:val="200"/>
          <w:marBottom w:val="0"/>
          <w:divBdr>
            <w:top w:val="none" w:sz="0" w:space="0" w:color="auto"/>
            <w:left w:val="none" w:sz="0" w:space="0" w:color="auto"/>
            <w:bottom w:val="none" w:sz="0" w:space="0" w:color="auto"/>
            <w:right w:val="none" w:sz="0" w:space="0" w:color="auto"/>
          </w:divBdr>
        </w:div>
        <w:div w:id="589970135">
          <w:marLeft w:val="360"/>
          <w:marRight w:val="0"/>
          <w:marTop w:val="200"/>
          <w:marBottom w:val="0"/>
          <w:divBdr>
            <w:top w:val="none" w:sz="0" w:space="0" w:color="auto"/>
            <w:left w:val="none" w:sz="0" w:space="0" w:color="auto"/>
            <w:bottom w:val="none" w:sz="0" w:space="0" w:color="auto"/>
            <w:right w:val="none" w:sz="0" w:space="0" w:color="auto"/>
          </w:divBdr>
        </w:div>
        <w:div w:id="701442435">
          <w:marLeft w:val="360"/>
          <w:marRight w:val="0"/>
          <w:marTop w:val="200"/>
          <w:marBottom w:val="0"/>
          <w:divBdr>
            <w:top w:val="none" w:sz="0" w:space="0" w:color="auto"/>
            <w:left w:val="none" w:sz="0" w:space="0" w:color="auto"/>
            <w:bottom w:val="none" w:sz="0" w:space="0" w:color="auto"/>
            <w:right w:val="none" w:sz="0" w:space="0" w:color="auto"/>
          </w:divBdr>
        </w:div>
      </w:divsChild>
    </w:div>
    <w:div w:id="788398365">
      <w:bodyDiv w:val="1"/>
      <w:marLeft w:val="0"/>
      <w:marRight w:val="0"/>
      <w:marTop w:val="0"/>
      <w:marBottom w:val="0"/>
      <w:divBdr>
        <w:top w:val="none" w:sz="0" w:space="0" w:color="auto"/>
        <w:left w:val="none" w:sz="0" w:space="0" w:color="auto"/>
        <w:bottom w:val="none" w:sz="0" w:space="0" w:color="auto"/>
        <w:right w:val="none" w:sz="0" w:space="0" w:color="auto"/>
      </w:divBdr>
      <w:divsChild>
        <w:div w:id="1854807167">
          <w:marLeft w:val="360"/>
          <w:marRight w:val="0"/>
          <w:marTop w:val="200"/>
          <w:marBottom w:val="0"/>
          <w:divBdr>
            <w:top w:val="none" w:sz="0" w:space="0" w:color="auto"/>
            <w:left w:val="none" w:sz="0" w:space="0" w:color="auto"/>
            <w:bottom w:val="none" w:sz="0" w:space="0" w:color="auto"/>
            <w:right w:val="none" w:sz="0" w:space="0" w:color="auto"/>
          </w:divBdr>
        </w:div>
        <w:div w:id="1296179923">
          <w:marLeft w:val="1080"/>
          <w:marRight w:val="0"/>
          <w:marTop w:val="100"/>
          <w:marBottom w:val="0"/>
          <w:divBdr>
            <w:top w:val="none" w:sz="0" w:space="0" w:color="auto"/>
            <w:left w:val="none" w:sz="0" w:space="0" w:color="auto"/>
            <w:bottom w:val="none" w:sz="0" w:space="0" w:color="auto"/>
            <w:right w:val="none" w:sz="0" w:space="0" w:color="auto"/>
          </w:divBdr>
        </w:div>
        <w:div w:id="679164741">
          <w:marLeft w:val="360"/>
          <w:marRight w:val="0"/>
          <w:marTop w:val="200"/>
          <w:marBottom w:val="0"/>
          <w:divBdr>
            <w:top w:val="none" w:sz="0" w:space="0" w:color="auto"/>
            <w:left w:val="none" w:sz="0" w:space="0" w:color="auto"/>
            <w:bottom w:val="none" w:sz="0" w:space="0" w:color="auto"/>
            <w:right w:val="none" w:sz="0" w:space="0" w:color="auto"/>
          </w:divBdr>
        </w:div>
        <w:div w:id="1757632440">
          <w:marLeft w:val="1080"/>
          <w:marRight w:val="0"/>
          <w:marTop w:val="100"/>
          <w:marBottom w:val="0"/>
          <w:divBdr>
            <w:top w:val="none" w:sz="0" w:space="0" w:color="auto"/>
            <w:left w:val="none" w:sz="0" w:space="0" w:color="auto"/>
            <w:bottom w:val="none" w:sz="0" w:space="0" w:color="auto"/>
            <w:right w:val="none" w:sz="0" w:space="0" w:color="auto"/>
          </w:divBdr>
        </w:div>
        <w:div w:id="93794795">
          <w:marLeft w:val="1080"/>
          <w:marRight w:val="0"/>
          <w:marTop w:val="100"/>
          <w:marBottom w:val="0"/>
          <w:divBdr>
            <w:top w:val="none" w:sz="0" w:space="0" w:color="auto"/>
            <w:left w:val="none" w:sz="0" w:space="0" w:color="auto"/>
            <w:bottom w:val="none" w:sz="0" w:space="0" w:color="auto"/>
            <w:right w:val="none" w:sz="0" w:space="0" w:color="auto"/>
          </w:divBdr>
        </w:div>
        <w:div w:id="778522574">
          <w:marLeft w:val="1080"/>
          <w:marRight w:val="0"/>
          <w:marTop w:val="100"/>
          <w:marBottom w:val="0"/>
          <w:divBdr>
            <w:top w:val="none" w:sz="0" w:space="0" w:color="auto"/>
            <w:left w:val="none" w:sz="0" w:space="0" w:color="auto"/>
            <w:bottom w:val="none" w:sz="0" w:space="0" w:color="auto"/>
            <w:right w:val="none" w:sz="0" w:space="0" w:color="auto"/>
          </w:divBdr>
        </w:div>
        <w:div w:id="1273976754">
          <w:marLeft w:val="360"/>
          <w:marRight w:val="0"/>
          <w:marTop w:val="200"/>
          <w:marBottom w:val="0"/>
          <w:divBdr>
            <w:top w:val="none" w:sz="0" w:space="0" w:color="auto"/>
            <w:left w:val="none" w:sz="0" w:space="0" w:color="auto"/>
            <w:bottom w:val="none" w:sz="0" w:space="0" w:color="auto"/>
            <w:right w:val="none" w:sz="0" w:space="0" w:color="auto"/>
          </w:divBdr>
        </w:div>
        <w:div w:id="1644775524">
          <w:marLeft w:val="360"/>
          <w:marRight w:val="0"/>
          <w:marTop w:val="20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0568563">
      <w:bodyDiv w:val="1"/>
      <w:marLeft w:val="0"/>
      <w:marRight w:val="0"/>
      <w:marTop w:val="0"/>
      <w:marBottom w:val="0"/>
      <w:divBdr>
        <w:top w:val="none" w:sz="0" w:space="0" w:color="auto"/>
        <w:left w:val="none" w:sz="0" w:space="0" w:color="auto"/>
        <w:bottom w:val="none" w:sz="0" w:space="0" w:color="auto"/>
        <w:right w:val="none" w:sz="0" w:space="0" w:color="auto"/>
      </w:divBdr>
    </w:div>
    <w:div w:id="1379359614">
      <w:bodyDiv w:val="1"/>
      <w:marLeft w:val="0"/>
      <w:marRight w:val="0"/>
      <w:marTop w:val="0"/>
      <w:marBottom w:val="0"/>
      <w:divBdr>
        <w:top w:val="none" w:sz="0" w:space="0" w:color="auto"/>
        <w:left w:val="none" w:sz="0" w:space="0" w:color="auto"/>
        <w:bottom w:val="none" w:sz="0" w:space="0" w:color="auto"/>
        <w:right w:val="none" w:sz="0" w:space="0" w:color="auto"/>
      </w:divBdr>
      <w:divsChild>
        <w:div w:id="1056243887">
          <w:marLeft w:val="360"/>
          <w:marRight w:val="0"/>
          <w:marTop w:val="200"/>
          <w:marBottom w:val="0"/>
          <w:divBdr>
            <w:top w:val="none" w:sz="0" w:space="0" w:color="auto"/>
            <w:left w:val="none" w:sz="0" w:space="0" w:color="auto"/>
            <w:bottom w:val="none" w:sz="0" w:space="0" w:color="auto"/>
            <w:right w:val="none" w:sz="0" w:space="0" w:color="auto"/>
          </w:divBdr>
        </w:div>
        <w:div w:id="1007945647">
          <w:marLeft w:val="1080"/>
          <w:marRight w:val="0"/>
          <w:marTop w:val="100"/>
          <w:marBottom w:val="0"/>
          <w:divBdr>
            <w:top w:val="none" w:sz="0" w:space="0" w:color="auto"/>
            <w:left w:val="none" w:sz="0" w:space="0" w:color="auto"/>
            <w:bottom w:val="none" w:sz="0" w:space="0" w:color="auto"/>
            <w:right w:val="none" w:sz="0" w:space="0" w:color="auto"/>
          </w:divBdr>
        </w:div>
        <w:div w:id="87042251">
          <w:marLeft w:val="360"/>
          <w:marRight w:val="0"/>
          <w:marTop w:val="200"/>
          <w:marBottom w:val="0"/>
          <w:divBdr>
            <w:top w:val="none" w:sz="0" w:space="0" w:color="auto"/>
            <w:left w:val="none" w:sz="0" w:space="0" w:color="auto"/>
            <w:bottom w:val="none" w:sz="0" w:space="0" w:color="auto"/>
            <w:right w:val="none" w:sz="0" w:space="0" w:color="auto"/>
          </w:divBdr>
        </w:div>
        <w:div w:id="20864193">
          <w:marLeft w:val="360"/>
          <w:marRight w:val="0"/>
          <w:marTop w:val="200"/>
          <w:marBottom w:val="0"/>
          <w:divBdr>
            <w:top w:val="none" w:sz="0" w:space="0" w:color="auto"/>
            <w:left w:val="none" w:sz="0" w:space="0" w:color="auto"/>
            <w:bottom w:val="none" w:sz="0" w:space="0" w:color="auto"/>
            <w:right w:val="none" w:sz="0" w:space="0" w:color="auto"/>
          </w:divBdr>
        </w:div>
        <w:div w:id="778528729">
          <w:marLeft w:val="360"/>
          <w:marRight w:val="0"/>
          <w:marTop w:val="200"/>
          <w:marBottom w:val="0"/>
          <w:divBdr>
            <w:top w:val="none" w:sz="0" w:space="0" w:color="auto"/>
            <w:left w:val="none" w:sz="0" w:space="0" w:color="auto"/>
            <w:bottom w:val="none" w:sz="0" w:space="0" w:color="auto"/>
            <w:right w:val="none" w:sz="0" w:space="0" w:color="auto"/>
          </w:divBdr>
        </w:div>
        <w:div w:id="459346040">
          <w:marLeft w:val="360"/>
          <w:marRight w:val="0"/>
          <w:marTop w:val="200"/>
          <w:marBottom w:val="0"/>
          <w:divBdr>
            <w:top w:val="none" w:sz="0" w:space="0" w:color="auto"/>
            <w:left w:val="none" w:sz="0" w:space="0" w:color="auto"/>
            <w:bottom w:val="none" w:sz="0" w:space="0" w:color="auto"/>
            <w:right w:val="none" w:sz="0" w:space="0" w:color="auto"/>
          </w:divBdr>
        </w:div>
      </w:divsChild>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3236353">
      <w:bodyDiv w:val="1"/>
      <w:marLeft w:val="0"/>
      <w:marRight w:val="0"/>
      <w:marTop w:val="0"/>
      <w:marBottom w:val="0"/>
      <w:divBdr>
        <w:top w:val="none" w:sz="0" w:space="0" w:color="auto"/>
        <w:left w:val="none" w:sz="0" w:space="0" w:color="auto"/>
        <w:bottom w:val="none" w:sz="0" w:space="0" w:color="auto"/>
        <w:right w:val="none" w:sz="0" w:space="0" w:color="auto"/>
      </w:divBdr>
      <w:divsChild>
        <w:div w:id="1941067039">
          <w:marLeft w:val="360"/>
          <w:marRight w:val="0"/>
          <w:marTop w:val="200"/>
          <w:marBottom w:val="0"/>
          <w:divBdr>
            <w:top w:val="none" w:sz="0" w:space="0" w:color="auto"/>
            <w:left w:val="none" w:sz="0" w:space="0" w:color="auto"/>
            <w:bottom w:val="none" w:sz="0" w:space="0" w:color="auto"/>
            <w:right w:val="none" w:sz="0" w:space="0" w:color="auto"/>
          </w:divBdr>
        </w:div>
        <w:div w:id="1131707625">
          <w:marLeft w:val="1080"/>
          <w:marRight w:val="0"/>
          <w:marTop w:val="100"/>
          <w:marBottom w:val="0"/>
          <w:divBdr>
            <w:top w:val="none" w:sz="0" w:space="0" w:color="auto"/>
            <w:left w:val="none" w:sz="0" w:space="0" w:color="auto"/>
            <w:bottom w:val="none" w:sz="0" w:space="0" w:color="auto"/>
            <w:right w:val="none" w:sz="0" w:space="0" w:color="auto"/>
          </w:divBdr>
        </w:div>
        <w:div w:id="35201576">
          <w:marLeft w:val="1800"/>
          <w:marRight w:val="0"/>
          <w:marTop w:val="100"/>
          <w:marBottom w:val="0"/>
          <w:divBdr>
            <w:top w:val="none" w:sz="0" w:space="0" w:color="auto"/>
            <w:left w:val="none" w:sz="0" w:space="0" w:color="auto"/>
            <w:bottom w:val="none" w:sz="0" w:space="0" w:color="auto"/>
            <w:right w:val="none" w:sz="0" w:space="0" w:color="auto"/>
          </w:divBdr>
        </w:div>
        <w:div w:id="963076763">
          <w:marLeft w:val="1800"/>
          <w:marRight w:val="0"/>
          <w:marTop w:val="100"/>
          <w:marBottom w:val="0"/>
          <w:divBdr>
            <w:top w:val="none" w:sz="0" w:space="0" w:color="auto"/>
            <w:left w:val="none" w:sz="0" w:space="0" w:color="auto"/>
            <w:bottom w:val="none" w:sz="0" w:space="0" w:color="auto"/>
            <w:right w:val="none" w:sz="0" w:space="0" w:color="auto"/>
          </w:divBdr>
        </w:div>
        <w:div w:id="497305964">
          <w:marLeft w:val="360"/>
          <w:marRight w:val="0"/>
          <w:marTop w:val="200"/>
          <w:marBottom w:val="0"/>
          <w:divBdr>
            <w:top w:val="none" w:sz="0" w:space="0" w:color="auto"/>
            <w:left w:val="none" w:sz="0" w:space="0" w:color="auto"/>
            <w:bottom w:val="none" w:sz="0" w:space="0" w:color="auto"/>
            <w:right w:val="none" w:sz="0" w:space="0" w:color="auto"/>
          </w:divBdr>
        </w:div>
        <w:div w:id="763038205">
          <w:marLeft w:val="360"/>
          <w:marRight w:val="0"/>
          <w:marTop w:val="200"/>
          <w:marBottom w:val="0"/>
          <w:divBdr>
            <w:top w:val="none" w:sz="0" w:space="0" w:color="auto"/>
            <w:left w:val="none" w:sz="0" w:space="0" w:color="auto"/>
            <w:bottom w:val="none" w:sz="0" w:space="0" w:color="auto"/>
            <w:right w:val="none" w:sz="0" w:space="0" w:color="auto"/>
          </w:divBdr>
        </w:div>
        <w:div w:id="1576892887">
          <w:marLeft w:val="360"/>
          <w:marRight w:val="0"/>
          <w:marTop w:val="200"/>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13348326">
      <w:bodyDiv w:val="1"/>
      <w:marLeft w:val="0"/>
      <w:marRight w:val="0"/>
      <w:marTop w:val="0"/>
      <w:marBottom w:val="0"/>
      <w:divBdr>
        <w:top w:val="none" w:sz="0" w:space="0" w:color="auto"/>
        <w:left w:val="none" w:sz="0" w:space="0" w:color="auto"/>
        <w:bottom w:val="none" w:sz="0" w:space="0" w:color="auto"/>
        <w:right w:val="none" w:sz="0" w:space="0" w:color="auto"/>
      </w:divBdr>
    </w:div>
    <w:div w:id="212816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MeetingCalendar/MeetingDetails.asp?mid=328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6D426-4DB2-4E0E-BE5F-E0F4024EB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5</Pages>
  <Words>1738</Words>
  <Characters>9908</Characters>
  <Application>Microsoft Office Word</Application>
  <DocSecurity>0</DocSecurity>
  <Lines>82</Lines>
  <Paragraphs>23</Paragraphs>
  <ScaleCrop>false</ScaleCrop>
  <HeadingPairs>
    <vt:vector size="8" baseType="variant">
      <vt:variant>
        <vt:lpstr>Title</vt:lpstr>
      </vt:variant>
      <vt:variant>
        <vt:i4>1</vt:i4>
      </vt:variant>
      <vt:variant>
        <vt:lpstr>Headings</vt:lpstr>
      </vt:variant>
      <vt:variant>
        <vt:i4>7</vt:i4>
      </vt:variant>
      <vt:variant>
        <vt:lpstr>Titre</vt:lpstr>
      </vt:variant>
      <vt:variant>
        <vt:i4>1</vt:i4>
      </vt:variant>
      <vt:variant>
        <vt:lpstr>Titel</vt:lpstr>
      </vt:variant>
      <vt:variant>
        <vt:i4>1</vt:i4>
      </vt:variant>
    </vt:vector>
  </HeadingPairs>
  <TitlesOfParts>
    <vt:vector size="10" baseType="lpstr">
      <vt:lpstr/>
      <vt:lpstr>Introduction</vt:lpstr>
      <vt:lpstr>The Coexistence Between LTE and NR Side-links</vt:lpstr>
      <vt:lpstr>On TDM Coexistence of LTE and NR Side-links </vt:lpstr>
      <vt:lpstr>Co-Channel Deployment of LTE and NR Side-links</vt:lpstr>
      <vt:lpstr>On LTE and NR Coexistence of Adjacent Channels -  NR Using Higher Numerologies</vt:lpstr>
      <vt:lpstr>Summary</vt:lpstr>
      <vt:lpstr>References</vt:lpstr>
      <vt:lpstr/>
      <vt:lpstr/>
    </vt:vector>
  </TitlesOfParts>
  <Company>Thales SPACE</Company>
  <LinksUpToDate>false</LinksUpToDate>
  <CharactersWithSpaces>11623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Alasti, Mehdi</cp:lastModifiedBy>
  <cp:revision>10</cp:revision>
  <cp:lastPrinted>2017-03-17T12:25:00Z</cp:lastPrinted>
  <dcterms:created xsi:type="dcterms:W3CDTF">2019-02-14T19:59:00Z</dcterms:created>
  <dcterms:modified xsi:type="dcterms:W3CDTF">2019-02-15T21:01:00Z</dcterms:modified>
</cp:coreProperties>
</file>